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EC" w:rsidRPr="003451F6" w:rsidRDefault="00B0350C" w:rsidP="00C255EC">
      <w:pPr>
        <w:spacing w:after="0" w:line="240" w:lineRule="auto"/>
        <w:jc w:val="center"/>
        <w:rPr>
          <w:rFonts w:ascii="Times New Roman" w:hAnsi="Times New Roman" w:cs="Times New Roman"/>
          <w:b/>
          <w:sz w:val="18"/>
        </w:rPr>
      </w:pPr>
      <w:r w:rsidRPr="003451F6">
        <w:rPr>
          <w:rFonts w:ascii="Times New Roman" w:hAnsi="Times New Roman" w:cs="Times New Roman"/>
          <w:b/>
          <w:sz w:val="24"/>
          <w:szCs w:val="28"/>
        </w:rPr>
        <w:t>Análise do crescimento populacional da Região Norte do Brasil (1980 a 2000) no co</w:t>
      </w:r>
      <w:r w:rsidRPr="003451F6">
        <w:rPr>
          <w:rFonts w:ascii="Times New Roman" w:hAnsi="Times New Roman" w:cs="Times New Roman"/>
          <w:b/>
          <w:sz w:val="24"/>
          <w:szCs w:val="28"/>
        </w:rPr>
        <w:t>n</w:t>
      </w:r>
      <w:r w:rsidRPr="003451F6">
        <w:rPr>
          <w:rFonts w:ascii="Times New Roman" w:hAnsi="Times New Roman" w:cs="Times New Roman"/>
          <w:b/>
          <w:sz w:val="24"/>
          <w:szCs w:val="28"/>
        </w:rPr>
        <w:t>texto da Nova Geografia Econômica</w:t>
      </w:r>
    </w:p>
    <w:p w:rsidR="00C255EC" w:rsidRDefault="00C255EC" w:rsidP="00C255EC">
      <w:pPr>
        <w:spacing w:after="0" w:line="240" w:lineRule="auto"/>
        <w:jc w:val="right"/>
        <w:rPr>
          <w:rFonts w:ascii="Times New Roman" w:hAnsi="Times New Roman" w:cs="Times New Roman"/>
        </w:rPr>
      </w:pPr>
      <w:r w:rsidRPr="001E1C96">
        <w:rPr>
          <w:rFonts w:ascii="Times New Roman" w:hAnsi="Times New Roman" w:cs="Times New Roman"/>
        </w:rPr>
        <w:t>Renilson Rodrigues da Silva</w:t>
      </w:r>
      <w:r>
        <w:rPr>
          <w:rStyle w:val="Refdenotaderodap"/>
          <w:rFonts w:ascii="Times New Roman" w:hAnsi="Times New Roman" w:cs="Times New Roman"/>
        </w:rPr>
        <w:footnoteReference w:id="1"/>
      </w:r>
    </w:p>
    <w:p w:rsidR="00C255EC" w:rsidRDefault="00492A96" w:rsidP="00C255EC">
      <w:pPr>
        <w:spacing w:after="0" w:line="240" w:lineRule="auto"/>
        <w:jc w:val="right"/>
        <w:rPr>
          <w:rFonts w:ascii="Times New Roman" w:hAnsi="Times New Roman" w:cs="Times New Roman"/>
        </w:rPr>
      </w:pPr>
      <w:r>
        <w:rPr>
          <w:rFonts w:ascii="Times New Roman" w:hAnsi="Times New Roman" w:cs="Times New Roman"/>
        </w:rPr>
        <w:t>Carlos José Caetano Bacha</w:t>
      </w:r>
      <w:r w:rsidR="00C255EC">
        <w:rPr>
          <w:rStyle w:val="Refdenotaderodap"/>
          <w:rFonts w:ascii="Times New Roman" w:hAnsi="Times New Roman" w:cs="Times New Roman"/>
        </w:rPr>
        <w:footnoteReference w:id="2"/>
      </w:r>
    </w:p>
    <w:p w:rsidR="00C255EC" w:rsidRPr="001E1C96" w:rsidRDefault="00C255EC" w:rsidP="00C255EC">
      <w:pPr>
        <w:spacing w:after="0" w:line="240" w:lineRule="auto"/>
        <w:rPr>
          <w:rFonts w:ascii="Times New Roman" w:hAnsi="Times New Roman" w:cs="Times New Roman"/>
          <w:b/>
          <w:sz w:val="24"/>
        </w:rPr>
      </w:pPr>
      <w:r w:rsidRPr="001E1C96">
        <w:rPr>
          <w:rFonts w:ascii="Times New Roman" w:hAnsi="Times New Roman" w:cs="Times New Roman"/>
          <w:b/>
          <w:sz w:val="24"/>
        </w:rPr>
        <w:t>RESUMO</w:t>
      </w:r>
    </w:p>
    <w:p w:rsidR="00C255EC" w:rsidRPr="00791B2B" w:rsidRDefault="00B0350C" w:rsidP="00492A96">
      <w:pPr>
        <w:spacing w:after="0" w:line="240" w:lineRule="auto"/>
        <w:jc w:val="both"/>
        <w:rPr>
          <w:rFonts w:ascii="Times New Roman" w:hAnsi="Times New Roman" w:cs="Times New Roman"/>
        </w:rPr>
      </w:pPr>
      <w:r w:rsidRPr="00B0350C">
        <w:rPr>
          <w:rFonts w:ascii="Times New Roman" w:eastAsia="Times New Roman" w:hAnsi="Times New Roman" w:cs="Times New Roman"/>
          <w:color w:val="000000"/>
          <w:lang w:eastAsia="pt-BR"/>
        </w:rPr>
        <w:t>O objetivo geral deste trabalho é analisar o crescimento populacional desigual dos municípios que compõem a R</w:t>
      </w:r>
      <w:r w:rsidRPr="00B0350C">
        <w:rPr>
          <w:rFonts w:ascii="Times New Roman" w:eastAsia="Times New Roman" w:hAnsi="Times New Roman" w:cs="Times New Roman"/>
          <w:color w:val="000000"/>
          <w:lang w:eastAsia="pt-BR"/>
        </w:rPr>
        <w:t>e</w:t>
      </w:r>
      <w:r w:rsidRPr="00B0350C">
        <w:rPr>
          <w:rFonts w:ascii="Times New Roman" w:eastAsia="Times New Roman" w:hAnsi="Times New Roman" w:cs="Times New Roman"/>
          <w:color w:val="000000"/>
          <w:lang w:eastAsia="pt-BR"/>
        </w:rPr>
        <w:t>gião Norte do Brasil - integralmente contida na Amazônia brasileira - e quantificar os determinantes desse cresc</w:t>
      </w:r>
      <w:r w:rsidRPr="00B0350C">
        <w:rPr>
          <w:rFonts w:ascii="Times New Roman" w:eastAsia="Times New Roman" w:hAnsi="Times New Roman" w:cs="Times New Roman"/>
          <w:color w:val="000000"/>
          <w:lang w:eastAsia="pt-BR"/>
        </w:rPr>
        <w:t>i</w:t>
      </w:r>
      <w:r w:rsidRPr="00B0350C">
        <w:rPr>
          <w:rFonts w:ascii="Times New Roman" w:eastAsia="Times New Roman" w:hAnsi="Times New Roman" w:cs="Times New Roman"/>
          <w:color w:val="000000"/>
          <w:lang w:eastAsia="pt-BR"/>
        </w:rPr>
        <w:t>mento no período de 1980 a 2000. Utilizando os conceitos da Nova Geografia Econômica - NGE e utilizando dados agregados em nível de município, são propostas e estimadas duas equações para explicar o crescimento populaci</w:t>
      </w:r>
      <w:r w:rsidRPr="00B0350C">
        <w:rPr>
          <w:rFonts w:ascii="Times New Roman" w:eastAsia="Times New Roman" w:hAnsi="Times New Roman" w:cs="Times New Roman"/>
          <w:color w:val="000000"/>
          <w:lang w:eastAsia="pt-BR"/>
        </w:rPr>
        <w:t>o</w:t>
      </w:r>
      <w:r w:rsidRPr="00B0350C">
        <w:rPr>
          <w:rFonts w:ascii="Times New Roman" w:eastAsia="Times New Roman" w:hAnsi="Times New Roman" w:cs="Times New Roman"/>
          <w:color w:val="000000"/>
          <w:lang w:eastAsia="pt-BR"/>
        </w:rPr>
        <w:t xml:space="preserve">nal: uma para a população rural e outra para a urbana. </w:t>
      </w:r>
      <w:proofErr w:type="gramStart"/>
      <w:r w:rsidRPr="00B0350C">
        <w:rPr>
          <w:rFonts w:ascii="Times New Roman" w:eastAsia="Times New Roman" w:hAnsi="Times New Roman" w:cs="Times New Roman"/>
          <w:color w:val="000000"/>
          <w:lang w:eastAsia="pt-BR"/>
        </w:rPr>
        <w:t>Estas equações visam testar duas hipóteses: 1a)</w:t>
      </w:r>
      <w:proofErr w:type="gramEnd"/>
      <w:r w:rsidRPr="00B0350C">
        <w:rPr>
          <w:rFonts w:ascii="Times New Roman" w:eastAsia="Times New Roman" w:hAnsi="Times New Roman" w:cs="Times New Roman"/>
          <w:color w:val="000000"/>
          <w:lang w:eastAsia="pt-BR"/>
        </w:rPr>
        <w:t xml:space="preserve"> de que o isolamento geográfico é um determinante da condição econômica da Amazônia; 2a) as aglomerações populaci</w:t>
      </w:r>
      <w:r w:rsidRPr="00B0350C">
        <w:rPr>
          <w:rFonts w:ascii="Times New Roman" w:eastAsia="Times New Roman" w:hAnsi="Times New Roman" w:cs="Times New Roman"/>
          <w:color w:val="000000"/>
          <w:lang w:eastAsia="pt-BR"/>
        </w:rPr>
        <w:t>o</w:t>
      </w:r>
      <w:r w:rsidRPr="00B0350C">
        <w:rPr>
          <w:rFonts w:ascii="Times New Roman" w:eastAsia="Times New Roman" w:hAnsi="Times New Roman" w:cs="Times New Roman"/>
          <w:color w:val="000000"/>
          <w:lang w:eastAsia="pt-BR"/>
        </w:rPr>
        <w:t xml:space="preserve">nais, representadas pelas taxas de crescimento populacional, atuam como indutores do crescimento. A primeira estimação é feita por meio de Mínimos Quadrados Ordinários. Na </w:t>
      </w:r>
      <w:proofErr w:type="spellStart"/>
      <w:r w:rsidRPr="00B0350C">
        <w:rPr>
          <w:rFonts w:ascii="Times New Roman" w:eastAsia="Times New Roman" w:hAnsi="Times New Roman" w:cs="Times New Roman"/>
          <w:color w:val="000000"/>
          <w:lang w:eastAsia="pt-BR"/>
        </w:rPr>
        <w:t>sequência</w:t>
      </w:r>
      <w:proofErr w:type="spellEnd"/>
      <w:r w:rsidRPr="00B0350C">
        <w:rPr>
          <w:rFonts w:ascii="Times New Roman" w:eastAsia="Times New Roman" w:hAnsi="Times New Roman" w:cs="Times New Roman"/>
          <w:color w:val="000000"/>
          <w:lang w:eastAsia="pt-BR"/>
        </w:rPr>
        <w:t>, testam-se os parâmetros para identif</w:t>
      </w:r>
      <w:r w:rsidRPr="00B0350C">
        <w:rPr>
          <w:rFonts w:ascii="Times New Roman" w:eastAsia="Times New Roman" w:hAnsi="Times New Roman" w:cs="Times New Roman"/>
          <w:color w:val="000000"/>
          <w:lang w:eastAsia="pt-BR"/>
        </w:rPr>
        <w:t>i</w:t>
      </w:r>
      <w:r w:rsidRPr="00B0350C">
        <w:rPr>
          <w:rFonts w:ascii="Times New Roman" w:eastAsia="Times New Roman" w:hAnsi="Times New Roman" w:cs="Times New Roman"/>
          <w:color w:val="000000"/>
          <w:lang w:eastAsia="pt-BR"/>
        </w:rPr>
        <w:t xml:space="preserve">car a necessidade ou não de se aplicar o ajuste espacial no modelo </w:t>
      </w:r>
      <w:proofErr w:type="spellStart"/>
      <w:r w:rsidRPr="00B0350C">
        <w:rPr>
          <w:rFonts w:ascii="Times New Roman" w:eastAsia="Times New Roman" w:hAnsi="Times New Roman" w:cs="Times New Roman"/>
          <w:color w:val="000000"/>
          <w:lang w:eastAsia="pt-BR"/>
        </w:rPr>
        <w:t>econométrico</w:t>
      </w:r>
      <w:proofErr w:type="spellEnd"/>
      <w:r w:rsidRPr="00B0350C">
        <w:rPr>
          <w:rFonts w:ascii="Times New Roman" w:eastAsia="Times New Roman" w:hAnsi="Times New Roman" w:cs="Times New Roman"/>
          <w:color w:val="000000"/>
          <w:lang w:eastAsia="pt-BR"/>
        </w:rPr>
        <w:t>, usando-se as técnicas de econ</w:t>
      </w:r>
      <w:r w:rsidRPr="00B0350C">
        <w:rPr>
          <w:rFonts w:ascii="Times New Roman" w:eastAsia="Times New Roman" w:hAnsi="Times New Roman" w:cs="Times New Roman"/>
          <w:color w:val="000000"/>
          <w:lang w:eastAsia="pt-BR"/>
        </w:rPr>
        <w:t>o</w:t>
      </w:r>
      <w:r w:rsidRPr="00B0350C">
        <w:rPr>
          <w:rFonts w:ascii="Times New Roman" w:eastAsia="Times New Roman" w:hAnsi="Times New Roman" w:cs="Times New Roman"/>
          <w:color w:val="000000"/>
          <w:lang w:eastAsia="pt-BR"/>
        </w:rPr>
        <w:t xml:space="preserve">metria espacial. As equações foram bem ajustadas com a incorporação do fenômeno espacial e estão coerentes com a fundamentação teórica. Isso valida </w:t>
      </w:r>
      <w:proofErr w:type="gramStart"/>
      <w:r w:rsidRPr="00B0350C">
        <w:rPr>
          <w:rFonts w:ascii="Times New Roman" w:eastAsia="Times New Roman" w:hAnsi="Times New Roman" w:cs="Times New Roman"/>
          <w:color w:val="000000"/>
          <w:lang w:eastAsia="pt-BR"/>
        </w:rPr>
        <w:t>a</w:t>
      </w:r>
      <w:proofErr w:type="gramEnd"/>
      <w:r w:rsidRPr="00B0350C">
        <w:rPr>
          <w:rFonts w:ascii="Times New Roman" w:eastAsia="Times New Roman" w:hAnsi="Times New Roman" w:cs="Times New Roman"/>
          <w:color w:val="000000"/>
          <w:lang w:eastAsia="pt-BR"/>
        </w:rPr>
        <w:t xml:space="preserve"> primeira hipótese do trabalho, ou seja, de que os municípios mais pobres têm no fator isolamento geográfico um dos determinantes da sua condição econômica. As dificuldades de acesso imp</w:t>
      </w:r>
      <w:r w:rsidRPr="00B0350C">
        <w:rPr>
          <w:rFonts w:ascii="Times New Roman" w:eastAsia="Times New Roman" w:hAnsi="Times New Roman" w:cs="Times New Roman"/>
          <w:color w:val="000000"/>
          <w:lang w:eastAsia="pt-BR"/>
        </w:rPr>
        <w:t>e</w:t>
      </w:r>
      <w:r w:rsidRPr="00B0350C">
        <w:rPr>
          <w:rFonts w:ascii="Times New Roman" w:eastAsia="Times New Roman" w:hAnsi="Times New Roman" w:cs="Times New Roman"/>
          <w:color w:val="000000"/>
          <w:lang w:eastAsia="pt-BR"/>
        </w:rPr>
        <w:t>dem esses municípios de escoar sua produção, basicamente oriunda da agropecuária, aos mercados potenciais. Co</w:t>
      </w:r>
      <w:r w:rsidRPr="00B0350C">
        <w:rPr>
          <w:rFonts w:ascii="Times New Roman" w:eastAsia="Times New Roman" w:hAnsi="Times New Roman" w:cs="Times New Roman"/>
          <w:color w:val="000000"/>
          <w:lang w:eastAsia="pt-BR"/>
        </w:rPr>
        <w:t>n</w:t>
      </w:r>
      <w:r w:rsidRPr="00B0350C">
        <w:rPr>
          <w:rFonts w:ascii="Times New Roman" w:eastAsia="Times New Roman" w:hAnsi="Times New Roman" w:cs="Times New Roman"/>
          <w:color w:val="000000"/>
          <w:lang w:eastAsia="pt-BR"/>
        </w:rPr>
        <w:t>firmou-se, também, a segunda hipótese, de que houve redução nos custos de transportes, que culminou na melhoria da acessibilidade e na formação das aglomerações populacionais. Consequentemente, as grandes aglomerações populacionais passaram a demandar produtos da própria região, gerando crescimento e melhorando as condições socioeconômicas de seus vizinhos, atuando como indutores de crescimento</w:t>
      </w:r>
      <w:r w:rsidR="00492A96" w:rsidRPr="007237A3">
        <w:rPr>
          <w:rFonts w:ascii="Times New Roman" w:eastAsia="Times New Roman" w:hAnsi="Times New Roman" w:cs="Times New Roman"/>
          <w:color w:val="000000"/>
          <w:lang w:eastAsia="pt-BR"/>
        </w:rPr>
        <w:t>.</w:t>
      </w:r>
      <w:r w:rsidR="00492A96" w:rsidRPr="00791B2B">
        <w:rPr>
          <w:rFonts w:ascii="Times New Roman" w:eastAsia="Times New Roman" w:hAnsi="Times New Roman" w:cs="Times New Roman"/>
          <w:color w:val="000000"/>
          <w:lang w:eastAsia="pt-BR"/>
        </w:rPr>
        <w:t xml:space="preserve"> </w:t>
      </w:r>
    </w:p>
    <w:p w:rsidR="00C255EC" w:rsidRPr="001E1C96" w:rsidRDefault="00C255EC" w:rsidP="00C255EC">
      <w:pPr>
        <w:spacing w:after="0" w:line="240" w:lineRule="auto"/>
        <w:jc w:val="both"/>
        <w:rPr>
          <w:rFonts w:ascii="Times New Roman" w:hAnsi="Times New Roman" w:cs="Times New Roman"/>
          <w:sz w:val="24"/>
          <w:szCs w:val="24"/>
        </w:rPr>
      </w:pPr>
    </w:p>
    <w:p w:rsidR="00C255EC" w:rsidRPr="001E1C96" w:rsidRDefault="00C255EC" w:rsidP="00C255EC">
      <w:pPr>
        <w:pStyle w:val="Default"/>
        <w:rPr>
          <w:lang w:val="pt-BR"/>
        </w:rPr>
      </w:pPr>
      <w:proofErr w:type="spellStart"/>
      <w:r w:rsidRPr="001E1C96">
        <w:rPr>
          <w:b/>
          <w:lang w:val="pt-BR"/>
        </w:rPr>
        <w:t>Palavras-chave</w:t>
      </w:r>
      <w:proofErr w:type="spellEnd"/>
      <w:r w:rsidRPr="001E1C96">
        <w:rPr>
          <w:bCs/>
          <w:lang w:val="pt-BR"/>
        </w:rPr>
        <w:t xml:space="preserve">: </w:t>
      </w:r>
      <w:r w:rsidR="002A0012">
        <w:rPr>
          <w:bCs/>
          <w:lang w:val="pt-BR"/>
        </w:rPr>
        <w:t>Amazônia</w:t>
      </w:r>
      <w:r>
        <w:rPr>
          <w:bCs/>
          <w:lang w:val="pt-BR"/>
        </w:rPr>
        <w:t xml:space="preserve">, </w:t>
      </w:r>
      <w:r w:rsidR="002A0012">
        <w:rPr>
          <w:bCs/>
          <w:lang w:val="pt-BR"/>
        </w:rPr>
        <w:t>aglomerações populacionais, acessibilidade</w:t>
      </w:r>
    </w:p>
    <w:p w:rsidR="00C255EC" w:rsidRPr="001E1C96" w:rsidRDefault="00C255EC" w:rsidP="00C255EC">
      <w:pPr>
        <w:spacing w:after="0" w:line="240" w:lineRule="auto"/>
        <w:rPr>
          <w:rFonts w:ascii="Times New Roman" w:hAnsi="Times New Roman" w:cs="Times New Roman"/>
          <w:sz w:val="24"/>
          <w:szCs w:val="24"/>
        </w:rPr>
      </w:pPr>
    </w:p>
    <w:p w:rsidR="00C255EC" w:rsidRPr="001E1C96" w:rsidRDefault="00C255EC" w:rsidP="00C255EC">
      <w:pPr>
        <w:spacing w:after="0" w:line="240" w:lineRule="auto"/>
        <w:rPr>
          <w:rFonts w:ascii="Times New Roman" w:hAnsi="Times New Roman" w:cs="Times New Roman"/>
          <w:b/>
          <w:lang w:val="en-CA"/>
        </w:rPr>
      </w:pPr>
      <w:r w:rsidRPr="00834781">
        <w:rPr>
          <w:rFonts w:ascii="Times New Roman" w:hAnsi="Times New Roman" w:cs="Times New Roman"/>
          <w:b/>
          <w:lang w:val="en-CA"/>
        </w:rPr>
        <w:t>ABSTRACT</w:t>
      </w:r>
    </w:p>
    <w:p w:rsidR="00C255EC" w:rsidRPr="001E59F2" w:rsidRDefault="003451F6" w:rsidP="00C255EC">
      <w:pPr>
        <w:spacing w:after="0" w:line="240" w:lineRule="auto"/>
        <w:jc w:val="both"/>
        <w:rPr>
          <w:rFonts w:ascii="Times New Roman" w:hAnsi="Times New Roman" w:cs="Times New Roman"/>
          <w:lang w:val="en-CA"/>
        </w:rPr>
      </w:pPr>
      <w:r w:rsidRPr="003451F6">
        <w:rPr>
          <w:rFonts w:ascii="Times New Roman" w:hAnsi="Times New Roman" w:cs="Times New Roman"/>
          <w:lang w:val="en-CA"/>
        </w:rPr>
        <w:t xml:space="preserve">This paper aims to analyze the unequal population growth of municipalities in the North Region of Brazil – fully contained in the Brazilian Amazon Region - and quantifies the determinants of this unequal population growth between 1980 and 2000. Using the concepts of the New Economic Geography, it was proposed </w:t>
      </w:r>
      <w:proofErr w:type="spellStart"/>
      <w:r w:rsidRPr="003451F6">
        <w:rPr>
          <w:rFonts w:ascii="Times New Roman" w:hAnsi="Times New Roman" w:cs="Times New Roman"/>
          <w:lang w:val="en-CA"/>
        </w:rPr>
        <w:t>and</w:t>
      </w:r>
      <w:proofErr w:type="spellEnd"/>
      <w:r w:rsidRPr="003451F6">
        <w:rPr>
          <w:rFonts w:ascii="Times New Roman" w:hAnsi="Times New Roman" w:cs="Times New Roman"/>
          <w:lang w:val="en-CA"/>
        </w:rPr>
        <w:t xml:space="preserve"> estimated two equations in order to explain the population growth. One of those equations was run for rural population and the other for urban population. These equations were designed in order to test two assumptions: 1st) geography isol</w:t>
      </w:r>
      <w:r w:rsidRPr="003451F6">
        <w:rPr>
          <w:rFonts w:ascii="Times New Roman" w:hAnsi="Times New Roman" w:cs="Times New Roman"/>
          <w:lang w:val="en-CA"/>
        </w:rPr>
        <w:t>a</w:t>
      </w:r>
      <w:r w:rsidRPr="003451F6">
        <w:rPr>
          <w:rFonts w:ascii="Times New Roman" w:hAnsi="Times New Roman" w:cs="Times New Roman"/>
          <w:lang w:val="en-CA"/>
        </w:rPr>
        <w:t>tion is the main determinant of economic condition of the Northern municipalities; and 2nd) major cities (popul</w:t>
      </w:r>
      <w:r w:rsidRPr="003451F6">
        <w:rPr>
          <w:rFonts w:ascii="Times New Roman" w:hAnsi="Times New Roman" w:cs="Times New Roman"/>
          <w:lang w:val="en-CA"/>
        </w:rPr>
        <w:t>a</w:t>
      </w:r>
      <w:r w:rsidRPr="003451F6">
        <w:rPr>
          <w:rFonts w:ascii="Times New Roman" w:hAnsi="Times New Roman" w:cs="Times New Roman"/>
          <w:lang w:val="en-CA"/>
        </w:rPr>
        <w:t>tion agglomeration) act as growth promoters. The first estimation is run by using Ordinary Least Square method and the parameters are tested to identify whether or not spatial adjustment is needed to be added. It was done by using spatial econometric techniques. The equations were well fitted with the insertion of spatial phenomenon, and they were consistent with the background theory. This validates the first assumption that poorest municipality has the geographical isolation as one determinant of their economic condition. The access bottlenecks prevent these municipalities of transporting their production – mainly from agriculture - to the potential market. It was found that the transportation cost has decreased due to the improvement of accessibility, and consequently creating the a</w:t>
      </w:r>
      <w:r w:rsidRPr="003451F6">
        <w:rPr>
          <w:rFonts w:ascii="Times New Roman" w:hAnsi="Times New Roman" w:cs="Times New Roman"/>
          <w:lang w:val="en-CA"/>
        </w:rPr>
        <w:t>g</w:t>
      </w:r>
      <w:r w:rsidRPr="003451F6">
        <w:rPr>
          <w:rFonts w:ascii="Times New Roman" w:hAnsi="Times New Roman" w:cs="Times New Roman"/>
          <w:lang w:val="en-CA"/>
        </w:rPr>
        <w:t xml:space="preserve">glomerations. Consequently, the large agglomerations began to demand products from their neighbouring region, </w:t>
      </w:r>
      <w:proofErr w:type="spellStart"/>
      <w:r w:rsidRPr="003451F6">
        <w:rPr>
          <w:rFonts w:ascii="Times New Roman" w:hAnsi="Times New Roman" w:cs="Times New Roman"/>
          <w:lang w:val="en-CA"/>
        </w:rPr>
        <w:t>gener-ating</w:t>
      </w:r>
      <w:proofErr w:type="spellEnd"/>
      <w:r w:rsidRPr="003451F6">
        <w:rPr>
          <w:rFonts w:ascii="Times New Roman" w:hAnsi="Times New Roman" w:cs="Times New Roman"/>
          <w:lang w:val="en-CA"/>
        </w:rPr>
        <w:t xml:space="preserve"> growth and improving the socioeconomic conditions of its neighbour cities, acting as growth-promoters</w:t>
      </w:r>
      <w:r w:rsidR="00791B2B" w:rsidRPr="00791B2B">
        <w:rPr>
          <w:rFonts w:ascii="Times New Roman" w:hAnsi="Times New Roman" w:cs="Times New Roman"/>
          <w:lang w:val="en-CA"/>
        </w:rPr>
        <w:t>.</w:t>
      </w:r>
    </w:p>
    <w:p w:rsidR="00C255EC" w:rsidRPr="001E1C96" w:rsidRDefault="00C255EC" w:rsidP="00C255EC">
      <w:pPr>
        <w:spacing w:after="0" w:line="240" w:lineRule="auto"/>
        <w:jc w:val="both"/>
        <w:rPr>
          <w:rFonts w:ascii="Times New Roman" w:hAnsi="Times New Roman" w:cs="Times New Roman"/>
          <w:bCs/>
          <w:sz w:val="24"/>
          <w:szCs w:val="24"/>
          <w:lang w:val="en-US"/>
        </w:rPr>
      </w:pPr>
    </w:p>
    <w:p w:rsidR="00C255EC" w:rsidRPr="00A30403" w:rsidRDefault="00C255EC" w:rsidP="00C255EC">
      <w:pPr>
        <w:spacing w:after="0" w:line="240" w:lineRule="auto"/>
        <w:jc w:val="both"/>
        <w:rPr>
          <w:rFonts w:ascii="Times New Roman" w:hAnsi="Times New Roman" w:cs="Times New Roman"/>
          <w:bCs/>
          <w:sz w:val="24"/>
          <w:szCs w:val="24"/>
          <w:lang w:val="en-CA"/>
        </w:rPr>
      </w:pPr>
      <w:r w:rsidRPr="00A30403">
        <w:rPr>
          <w:rFonts w:ascii="Times New Roman" w:hAnsi="Times New Roman" w:cs="Times New Roman"/>
          <w:b/>
          <w:bCs/>
          <w:sz w:val="24"/>
          <w:szCs w:val="24"/>
          <w:lang w:val="en-CA"/>
        </w:rPr>
        <w:t>Keywords</w:t>
      </w:r>
      <w:r w:rsidRPr="00A30403">
        <w:rPr>
          <w:rFonts w:ascii="Times New Roman" w:hAnsi="Times New Roman" w:cs="Times New Roman"/>
          <w:bCs/>
          <w:sz w:val="24"/>
          <w:szCs w:val="24"/>
          <w:lang w:val="en-CA"/>
        </w:rPr>
        <w:t xml:space="preserve">: </w:t>
      </w:r>
      <w:r w:rsidR="00A30403" w:rsidRPr="00A30403">
        <w:rPr>
          <w:rFonts w:ascii="Times New Roman" w:hAnsi="Times New Roman" w:cs="Times New Roman"/>
          <w:bCs/>
          <w:sz w:val="24"/>
          <w:szCs w:val="24"/>
          <w:lang w:val="en-CA"/>
        </w:rPr>
        <w:t>Amazon region</w:t>
      </w:r>
      <w:r w:rsidRPr="00A30403">
        <w:rPr>
          <w:rFonts w:ascii="Times New Roman" w:hAnsi="Times New Roman" w:cs="Times New Roman"/>
          <w:bCs/>
          <w:sz w:val="24"/>
          <w:szCs w:val="24"/>
          <w:lang w:val="en-CA"/>
        </w:rPr>
        <w:t xml:space="preserve">, </w:t>
      </w:r>
      <w:r w:rsidR="00A30403" w:rsidRPr="00A30403">
        <w:rPr>
          <w:rFonts w:ascii="Times New Roman" w:hAnsi="Times New Roman" w:cs="Times New Roman"/>
          <w:bCs/>
          <w:sz w:val="24"/>
          <w:szCs w:val="24"/>
          <w:lang w:val="en-CA"/>
        </w:rPr>
        <w:t xml:space="preserve">population agglomeration, </w:t>
      </w:r>
      <w:proofErr w:type="spellStart"/>
      <w:r w:rsidR="00F32A58" w:rsidRPr="00A30403">
        <w:rPr>
          <w:rFonts w:ascii="Times New Roman" w:hAnsi="Times New Roman" w:cs="Times New Roman"/>
          <w:bCs/>
          <w:sz w:val="24"/>
          <w:szCs w:val="24"/>
          <w:lang w:val="en-CA"/>
        </w:rPr>
        <w:t>ac</w:t>
      </w:r>
      <w:r w:rsidR="00A30403" w:rsidRPr="00A30403">
        <w:rPr>
          <w:rFonts w:ascii="Times New Roman" w:hAnsi="Times New Roman" w:cs="Times New Roman"/>
          <w:bCs/>
          <w:sz w:val="24"/>
          <w:szCs w:val="24"/>
          <w:lang w:val="en-CA"/>
        </w:rPr>
        <w:t>cesibility</w:t>
      </w:r>
      <w:proofErr w:type="spellEnd"/>
      <w:r w:rsidRPr="00A30403">
        <w:rPr>
          <w:rFonts w:ascii="Times New Roman" w:hAnsi="Times New Roman" w:cs="Times New Roman"/>
          <w:bCs/>
          <w:sz w:val="24"/>
          <w:szCs w:val="24"/>
          <w:lang w:val="en-CA"/>
        </w:rPr>
        <w:t>.</w:t>
      </w:r>
    </w:p>
    <w:p w:rsidR="00C255EC" w:rsidRPr="00A30403" w:rsidRDefault="00C255EC" w:rsidP="00C255EC">
      <w:pPr>
        <w:spacing w:after="0" w:line="240" w:lineRule="auto"/>
        <w:jc w:val="both"/>
        <w:rPr>
          <w:rStyle w:val="shorttext1"/>
          <w:rFonts w:ascii="Times New Roman" w:hAnsi="Times New Roman" w:cs="Times New Roman"/>
          <w:color w:val="000000"/>
          <w:shd w:val="clear" w:color="auto" w:fill="E6ECF9"/>
          <w:lang w:val="en-CA"/>
        </w:rPr>
      </w:pPr>
    </w:p>
    <w:p w:rsidR="003451F6" w:rsidRPr="00786734" w:rsidRDefault="003451F6" w:rsidP="003451F6">
      <w:pPr>
        <w:spacing w:after="0" w:line="240" w:lineRule="auto"/>
        <w:jc w:val="both"/>
        <w:rPr>
          <w:rFonts w:ascii="Times New Roman" w:hAnsi="Times New Roman"/>
          <w:bCs/>
          <w:sz w:val="24"/>
          <w:szCs w:val="24"/>
        </w:rPr>
      </w:pPr>
      <w:r w:rsidRPr="00786734">
        <w:rPr>
          <w:rFonts w:ascii="Times New Roman" w:hAnsi="Times New Roman"/>
          <w:bCs/>
          <w:sz w:val="24"/>
          <w:szCs w:val="24"/>
        </w:rPr>
        <w:t xml:space="preserve">Área </w:t>
      </w:r>
      <w:r>
        <w:rPr>
          <w:rFonts w:ascii="Times New Roman" w:hAnsi="Times New Roman"/>
          <w:bCs/>
          <w:sz w:val="24"/>
          <w:szCs w:val="24"/>
        </w:rPr>
        <w:t xml:space="preserve">09: </w:t>
      </w:r>
      <w:r w:rsidRPr="00786734">
        <w:rPr>
          <w:rFonts w:ascii="Times New Roman" w:hAnsi="Times New Roman"/>
          <w:bCs/>
          <w:sz w:val="24"/>
          <w:szCs w:val="24"/>
        </w:rPr>
        <w:t xml:space="preserve">Economia </w:t>
      </w:r>
      <w:r>
        <w:rPr>
          <w:rFonts w:ascii="Times New Roman" w:hAnsi="Times New Roman"/>
          <w:bCs/>
          <w:sz w:val="24"/>
          <w:szCs w:val="24"/>
        </w:rPr>
        <w:t>Regional e Urbana</w:t>
      </w:r>
    </w:p>
    <w:p w:rsidR="003451F6" w:rsidRDefault="003451F6" w:rsidP="003451F6">
      <w:pPr>
        <w:spacing w:after="0" w:line="240" w:lineRule="auto"/>
        <w:jc w:val="both"/>
        <w:rPr>
          <w:rFonts w:ascii="Times New Roman" w:hAnsi="Times New Roman"/>
          <w:bCs/>
          <w:sz w:val="24"/>
          <w:szCs w:val="24"/>
        </w:rPr>
      </w:pPr>
      <w:r w:rsidRPr="00786734">
        <w:rPr>
          <w:rFonts w:ascii="Times New Roman" w:hAnsi="Times New Roman"/>
          <w:bCs/>
          <w:sz w:val="24"/>
          <w:szCs w:val="24"/>
        </w:rPr>
        <w:t xml:space="preserve">Classificação JEL: </w:t>
      </w:r>
      <w:r>
        <w:rPr>
          <w:rFonts w:ascii="Times New Roman" w:hAnsi="Times New Roman"/>
          <w:bCs/>
          <w:sz w:val="24"/>
          <w:szCs w:val="24"/>
        </w:rPr>
        <w:t>R12, C21, R58</w:t>
      </w:r>
    </w:p>
    <w:p w:rsidR="000F562C" w:rsidRDefault="000F562C" w:rsidP="00C255EC">
      <w:pPr>
        <w:spacing w:after="0" w:line="240" w:lineRule="auto"/>
        <w:jc w:val="both"/>
        <w:rPr>
          <w:rFonts w:ascii="Times New Roman" w:eastAsia="Calibri" w:hAnsi="Times New Roman" w:cs="Times New Roman"/>
          <w:sz w:val="24"/>
          <w:szCs w:val="24"/>
        </w:rPr>
      </w:pPr>
    </w:p>
    <w:p w:rsidR="003451F6" w:rsidRDefault="003451F6" w:rsidP="00C255EC">
      <w:pPr>
        <w:spacing w:after="0" w:line="240" w:lineRule="auto"/>
        <w:jc w:val="both"/>
        <w:rPr>
          <w:rFonts w:ascii="Times New Roman" w:eastAsia="Calibri" w:hAnsi="Times New Roman" w:cs="Times New Roman"/>
          <w:sz w:val="24"/>
          <w:szCs w:val="24"/>
        </w:rPr>
      </w:pPr>
    </w:p>
    <w:p w:rsidR="00880AA0" w:rsidRDefault="00880AA0" w:rsidP="00C255EC">
      <w:pPr>
        <w:spacing w:after="0" w:line="240" w:lineRule="auto"/>
        <w:jc w:val="both"/>
        <w:rPr>
          <w:rFonts w:ascii="Times New Roman" w:eastAsia="Calibri" w:hAnsi="Times New Roman" w:cs="Times New Roman"/>
          <w:sz w:val="24"/>
          <w:szCs w:val="24"/>
        </w:rPr>
      </w:pPr>
    </w:p>
    <w:p w:rsidR="00880AA0" w:rsidRDefault="00880AA0" w:rsidP="00C255EC">
      <w:pPr>
        <w:spacing w:after="0" w:line="240" w:lineRule="auto"/>
        <w:jc w:val="both"/>
        <w:rPr>
          <w:rFonts w:ascii="Times New Roman" w:eastAsia="Calibri" w:hAnsi="Times New Roman" w:cs="Times New Roman"/>
          <w:sz w:val="24"/>
          <w:szCs w:val="24"/>
        </w:rPr>
      </w:pPr>
    </w:p>
    <w:p w:rsidR="003451F6" w:rsidRDefault="003451F6" w:rsidP="00C255EC">
      <w:pPr>
        <w:spacing w:after="0" w:line="240" w:lineRule="auto"/>
        <w:jc w:val="both"/>
        <w:rPr>
          <w:rFonts w:ascii="Times New Roman" w:eastAsia="Calibri" w:hAnsi="Times New Roman" w:cs="Times New Roman"/>
          <w:sz w:val="24"/>
          <w:szCs w:val="24"/>
        </w:rPr>
      </w:pPr>
    </w:p>
    <w:p w:rsidR="00122B35" w:rsidRDefault="00A30077" w:rsidP="009E6899">
      <w:pPr>
        <w:pStyle w:val="Ttulo1"/>
        <w:numPr>
          <w:ilvl w:val="0"/>
          <w:numId w:val="23"/>
        </w:numPr>
        <w:spacing w:after="0"/>
      </w:pPr>
      <w:bookmarkStart w:id="0" w:name="_Toc282363950"/>
      <w:r>
        <w:lastRenderedPageBreak/>
        <w:t>INTRODUÇÃO</w:t>
      </w:r>
      <w:bookmarkEnd w:id="0"/>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 Região Norte do Brasil é marcada pelas suas peculiaridades, as quais incluem acentuada </w:t>
      </w:r>
      <w:proofErr w:type="spellStart"/>
      <w:r w:rsidRPr="003451F6">
        <w:rPr>
          <w:rFonts w:ascii="Times New Roman" w:hAnsi="Times New Roman" w:cs="Times New Roman"/>
          <w:sz w:val="24"/>
          <w:szCs w:val="24"/>
        </w:rPr>
        <w:t>desigual-dade</w:t>
      </w:r>
      <w:proofErr w:type="spellEnd"/>
      <w:r w:rsidRPr="003451F6">
        <w:rPr>
          <w:rFonts w:ascii="Times New Roman" w:hAnsi="Times New Roman" w:cs="Times New Roman"/>
          <w:sz w:val="24"/>
          <w:szCs w:val="24"/>
        </w:rPr>
        <w:t xml:space="preserve"> socioeconômica e também isolamento geográfico em relação às regiões mais desenvolvidas do país. Seus indicadores sociais estão entre os piores do Brasil, em contraste com o seu expressivo crescimento econômico e populacional, muito acima da média nacional. O meio de transporte comumente utilizado é o fluvial, cujo tempo de viagem de um município a outro pode superar 15 dias. As suas sete capitais </w:t>
      </w:r>
      <w:proofErr w:type="spellStart"/>
      <w:r w:rsidRPr="003451F6">
        <w:rPr>
          <w:rFonts w:ascii="Times New Roman" w:hAnsi="Times New Roman" w:cs="Times New Roman"/>
          <w:sz w:val="24"/>
          <w:szCs w:val="24"/>
        </w:rPr>
        <w:t>con-centram</w:t>
      </w:r>
      <w:proofErr w:type="spellEnd"/>
      <w:r w:rsidRPr="003451F6">
        <w:rPr>
          <w:rFonts w:ascii="Times New Roman" w:hAnsi="Times New Roman" w:cs="Times New Roman"/>
          <w:sz w:val="24"/>
          <w:szCs w:val="24"/>
        </w:rPr>
        <w:t xml:space="preserve"> mais de 50% da população e do PIB gerado na região, usufruindo de indicadores sociais acima da média nacional. De outro lado, há cidades isoladas geograficamente, apresentando altos índices de pobreza. Trata-se de uma região que sofreu fortes intervenções do Governo Federal no intuito de integrá-la ao resto do país. Contudo, os efeitos dessa integração foram os mais adversos, desde o desmatamento a grandes concentrações econômicas e populacionais. Compreender a dinâmica populacional dessa região levando em conta essas peculiaridades, sobretudo na questão de concentração, é o foco desse trabalho. Para tanto, utiliza-se como referencial os preceitos da Nova Geografia Econômica – NGE. </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 Região Norte abrange uma área total de 3,9 milhões de quilômetros quadrados, a qual equivale a </w:t>
      </w:r>
      <w:proofErr w:type="gramStart"/>
      <w:r w:rsidRPr="003451F6">
        <w:rPr>
          <w:rFonts w:ascii="Times New Roman" w:hAnsi="Times New Roman" w:cs="Times New Roman"/>
          <w:sz w:val="24"/>
          <w:szCs w:val="24"/>
        </w:rPr>
        <w:t>cerca de 42,3</w:t>
      </w:r>
      <w:proofErr w:type="gramEnd"/>
      <w:r w:rsidRPr="003451F6">
        <w:rPr>
          <w:rFonts w:ascii="Times New Roman" w:hAnsi="Times New Roman" w:cs="Times New Roman"/>
          <w:sz w:val="24"/>
          <w:szCs w:val="24"/>
        </w:rPr>
        <w:t xml:space="preserve">% do território brasileiro e está integralmente contida no bioma amazônico. Portanto, ao referir-se à Amazônia refere-se, implicitamente, à Região Norte do Brasil, que é composta por sete </w:t>
      </w:r>
      <w:proofErr w:type="spellStart"/>
      <w:r w:rsidRPr="003451F6">
        <w:rPr>
          <w:rFonts w:ascii="Times New Roman" w:hAnsi="Times New Roman" w:cs="Times New Roman"/>
          <w:sz w:val="24"/>
          <w:szCs w:val="24"/>
        </w:rPr>
        <w:t>Esta-</w:t>
      </w:r>
      <w:proofErr w:type="gramStart"/>
      <w:r w:rsidRPr="003451F6">
        <w:rPr>
          <w:rFonts w:ascii="Times New Roman" w:hAnsi="Times New Roman" w:cs="Times New Roman"/>
          <w:sz w:val="24"/>
          <w:szCs w:val="24"/>
        </w:rPr>
        <w:t>dos</w:t>
      </w:r>
      <w:proofErr w:type="spellEnd"/>
      <w:r w:rsidRPr="003451F6">
        <w:rPr>
          <w:rFonts w:ascii="Times New Roman" w:hAnsi="Times New Roman" w:cs="Times New Roman"/>
          <w:sz w:val="24"/>
          <w:szCs w:val="24"/>
        </w:rPr>
        <w:t>,</w:t>
      </w:r>
      <w:proofErr w:type="gramEnd"/>
      <w:r w:rsidRPr="003451F6">
        <w:rPr>
          <w:rFonts w:ascii="Times New Roman" w:hAnsi="Times New Roman" w:cs="Times New Roman"/>
          <w:sz w:val="24"/>
          <w:szCs w:val="24"/>
        </w:rPr>
        <w:t xml:space="preserve"> divididos em 449 municípios (situação em 2000). Entre os anos de 1950 e 2000, sua população </w:t>
      </w:r>
      <w:proofErr w:type="spellStart"/>
      <w:r w:rsidRPr="003451F6">
        <w:rPr>
          <w:rFonts w:ascii="Times New Roman" w:hAnsi="Times New Roman" w:cs="Times New Roman"/>
          <w:sz w:val="24"/>
          <w:szCs w:val="24"/>
        </w:rPr>
        <w:t>cres-ceu</w:t>
      </w:r>
      <w:proofErr w:type="spellEnd"/>
      <w:r w:rsidRPr="003451F6">
        <w:rPr>
          <w:rFonts w:ascii="Times New Roman" w:hAnsi="Times New Roman" w:cs="Times New Roman"/>
          <w:sz w:val="24"/>
          <w:szCs w:val="24"/>
        </w:rPr>
        <w:t xml:space="preserve"> 1.570%, enquanto a nacional, 709%. O PIB (Produto Interno Bruto) cresceu 338,6% e o nacional, 140,4%. No entanto, esse crescimento foi </w:t>
      </w:r>
      <w:proofErr w:type="gramStart"/>
      <w:r w:rsidRPr="003451F6">
        <w:rPr>
          <w:rFonts w:ascii="Times New Roman" w:hAnsi="Times New Roman" w:cs="Times New Roman"/>
          <w:sz w:val="24"/>
          <w:szCs w:val="24"/>
        </w:rPr>
        <w:t>desigual .</w:t>
      </w:r>
      <w:proofErr w:type="gramEnd"/>
      <w:r w:rsidRPr="003451F6">
        <w:rPr>
          <w:rFonts w:ascii="Times New Roman" w:hAnsi="Times New Roman" w:cs="Times New Roman"/>
          <w:sz w:val="24"/>
          <w:szCs w:val="24"/>
        </w:rPr>
        <w:t xml:space="preserve"> A população urbana é de aproximadamente 70% do total e continua crescendo, enquanto a população rural é decrescente. Há alta concentração de riqueza e de população nas capitais. No Amazonas, por exemplo, a capital Manaus detém </w:t>
      </w:r>
      <w:proofErr w:type="gramStart"/>
      <w:r w:rsidRPr="003451F6">
        <w:rPr>
          <w:rFonts w:ascii="Times New Roman" w:hAnsi="Times New Roman" w:cs="Times New Roman"/>
          <w:sz w:val="24"/>
          <w:szCs w:val="24"/>
        </w:rPr>
        <w:t>51% da população e 81,5% do PIB</w:t>
      </w:r>
      <w:proofErr w:type="gramEnd"/>
      <w:r w:rsidRPr="003451F6">
        <w:rPr>
          <w:rFonts w:ascii="Times New Roman" w:hAnsi="Times New Roman" w:cs="Times New Roman"/>
          <w:sz w:val="24"/>
          <w:szCs w:val="24"/>
        </w:rPr>
        <w:t>. Em Roraima, a capital Boa Vista detém 61,9% da população e 71% do PIB. No Amapá, 59,8% da população está na capital, que concentra 64% do PIB. No Acre, a capital Rio Branco concentra 46% da população e 54% do PIB. O Estado com a população e riqueza mais equilibrada é Tocantins, o</w:t>
      </w:r>
      <w:r w:rsidRPr="003451F6">
        <w:rPr>
          <w:rFonts w:ascii="Times New Roman" w:hAnsi="Times New Roman" w:cs="Times New Roman"/>
          <w:sz w:val="24"/>
          <w:szCs w:val="24"/>
        </w:rPr>
        <w:t>n</w:t>
      </w:r>
      <w:r w:rsidRPr="003451F6">
        <w:rPr>
          <w:rFonts w:ascii="Times New Roman" w:hAnsi="Times New Roman" w:cs="Times New Roman"/>
          <w:sz w:val="24"/>
          <w:szCs w:val="24"/>
        </w:rPr>
        <w:t xml:space="preserve">de a </w:t>
      </w:r>
      <w:proofErr w:type="gramStart"/>
      <w:r w:rsidRPr="003451F6">
        <w:rPr>
          <w:rFonts w:ascii="Times New Roman" w:hAnsi="Times New Roman" w:cs="Times New Roman"/>
          <w:sz w:val="24"/>
          <w:szCs w:val="24"/>
        </w:rPr>
        <w:t>capital Palmas</w:t>
      </w:r>
      <w:proofErr w:type="gramEnd"/>
      <w:r w:rsidRPr="003451F6">
        <w:rPr>
          <w:rFonts w:ascii="Times New Roman" w:hAnsi="Times New Roman" w:cs="Times New Roman"/>
          <w:sz w:val="24"/>
          <w:szCs w:val="24"/>
        </w:rPr>
        <w:t xml:space="preserve"> concentra 16,6% da população e 20% do PIB. Entretanto, se considerados os cinco maiores municípios, essa concentração sobe para 38,5% e 47%, respectivamente (IBGE, 2009). Além das capitais, há cidades com população atual acima de 100 mil habitantes, que possivelmente impulsionam o crescimento econômico das regiões vizinhas. Esses centros são: </w:t>
      </w:r>
      <w:proofErr w:type="spellStart"/>
      <w:r w:rsidRPr="003451F6">
        <w:rPr>
          <w:rFonts w:ascii="Times New Roman" w:hAnsi="Times New Roman" w:cs="Times New Roman"/>
          <w:sz w:val="24"/>
          <w:szCs w:val="24"/>
        </w:rPr>
        <w:t>Ji-Paraná</w:t>
      </w:r>
      <w:proofErr w:type="spellEnd"/>
      <w:r w:rsidRPr="003451F6">
        <w:rPr>
          <w:rFonts w:ascii="Times New Roman" w:hAnsi="Times New Roman" w:cs="Times New Roman"/>
          <w:sz w:val="24"/>
          <w:szCs w:val="24"/>
        </w:rPr>
        <w:t xml:space="preserve">, em Rondônia; Parintins no Amazonas; Santarém e Marabá no Pará; Santana no Amapá; e </w:t>
      </w:r>
      <w:proofErr w:type="spellStart"/>
      <w:r w:rsidRPr="003451F6">
        <w:rPr>
          <w:rFonts w:ascii="Times New Roman" w:hAnsi="Times New Roman" w:cs="Times New Roman"/>
          <w:sz w:val="24"/>
          <w:szCs w:val="24"/>
        </w:rPr>
        <w:t>Araguaína</w:t>
      </w:r>
      <w:proofErr w:type="spellEnd"/>
      <w:r w:rsidRPr="003451F6">
        <w:rPr>
          <w:rFonts w:ascii="Times New Roman" w:hAnsi="Times New Roman" w:cs="Times New Roman"/>
          <w:sz w:val="24"/>
          <w:szCs w:val="24"/>
        </w:rPr>
        <w:t xml:space="preserve"> no Tocantins (SILVA, 2011).</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As transformações da Região Norte não foram acompanhadas por níveis de qualidade de vida satisf</w:t>
      </w:r>
      <w:r w:rsidRPr="003451F6">
        <w:rPr>
          <w:rFonts w:ascii="Times New Roman" w:hAnsi="Times New Roman" w:cs="Times New Roman"/>
          <w:sz w:val="24"/>
          <w:szCs w:val="24"/>
        </w:rPr>
        <w:t>a</w:t>
      </w:r>
      <w:r w:rsidRPr="003451F6">
        <w:rPr>
          <w:rFonts w:ascii="Times New Roman" w:hAnsi="Times New Roman" w:cs="Times New Roman"/>
          <w:sz w:val="24"/>
          <w:szCs w:val="24"/>
        </w:rPr>
        <w:t>tórios para a maioria de seus habitantes. No ano 2000, por exemplo, o segundo pior Índice de Desenvo</w:t>
      </w:r>
      <w:r w:rsidRPr="003451F6">
        <w:rPr>
          <w:rFonts w:ascii="Times New Roman" w:hAnsi="Times New Roman" w:cs="Times New Roman"/>
          <w:sz w:val="24"/>
          <w:szCs w:val="24"/>
        </w:rPr>
        <w:t>l</w:t>
      </w:r>
      <w:r w:rsidRPr="003451F6">
        <w:rPr>
          <w:rFonts w:ascii="Times New Roman" w:hAnsi="Times New Roman" w:cs="Times New Roman"/>
          <w:sz w:val="24"/>
          <w:szCs w:val="24"/>
        </w:rPr>
        <w:t xml:space="preserve">vimento Humano - </w:t>
      </w:r>
      <w:proofErr w:type="gramStart"/>
      <w:r w:rsidRPr="003451F6">
        <w:rPr>
          <w:rFonts w:ascii="Times New Roman" w:hAnsi="Times New Roman" w:cs="Times New Roman"/>
          <w:sz w:val="24"/>
          <w:szCs w:val="24"/>
        </w:rPr>
        <w:t>IDH ,</w:t>
      </w:r>
      <w:proofErr w:type="gramEnd"/>
      <w:r w:rsidRPr="003451F6">
        <w:rPr>
          <w:rFonts w:ascii="Times New Roman" w:hAnsi="Times New Roman" w:cs="Times New Roman"/>
          <w:sz w:val="24"/>
          <w:szCs w:val="24"/>
        </w:rPr>
        <w:t xml:space="preserve"> em nível de municípios do Brasil, pertencia à Região Norte, especificamente, ao município de Jordão, no Estado do Acre. Não por acaso, este é um dos municípios mais isolados do Br</w:t>
      </w:r>
      <w:r w:rsidRPr="003451F6">
        <w:rPr>
          <w:rFonts w:ascii="Times New Roman" w:hAnsi="Times New Roman" w:cs="Times New Roman"/>
          <w:sz w:val="24"/>
          <w:szCs w:val="24"/>
        </w:rPr>
        <w:t>a</w:t>
      </w:r>
      <w:r w:rsidRPr="003451F6">
        <w:rPr>
          <w:rFonts w:ascii="Times New Roman" w:hAnsi="Times New Roman" w:cs="Times New Roman"/>
          <w:sz w:val="24"/>
          <w:szCs w:val="24"/>
        </w:rPr>
        <w:t>sil. O seu IDH em relação à média nacional foi de 38% e em relação ao melhor IDH da Região Norte, 41% em 2000. Por outro lado, o melhor IDH municipal na Região Norte foi 5,2% superior à média naci</w:t>
      </w:r>
      <w:r w:rsidRPr="003451F6">
        <w:rPr>
          <w:rFonts w:ascii="Times New Roman" w:hAnsi="Times New Roman" w:cs="Times New Roman"/>
          <w:sz w:val="24"/>
          <w:szCs w:val="24"/>
        </w:rPr>
        <w:t>o</w:t>
      </w:r>
      <w:r w:rsidRPr="003451F6">
        <w:rPr>
          <w:rFonts w:ascii="Times New Roman" w:hAnsi="Times New Roman" w:cs="Times New Roman"/>
          <w:sz w:val="24"/>
          <w:szCs w:val="24"/>
        </w:rPr>
        <w:t>nal. Da mesma forma, a preservação da floresta ficou na contramão do crescimento. Além de índices s</w:t>
      </w:r>
      <w:r w:rsidRPr="003451F6">
        <w:rPr>
          <w:rFonts w:ascii="Times New Roman" w:hAnsi="Times New Roman" w:cs="Times New Roman"/>
          <w:sz w:val="24"/>
          <w:szCs w:val="24"/>
        </w:rPr>
        <w:t>o</w:t>
      </w:r>
      <w:r w:rsidRPr="003451F6">
        <w:rPr>
          <w:rFonts w:ascii="Times New Roman" w:hAnsi="Times New Roman" w:cs="Times New Roman"/>
          <w:sz w:val="24"/>
          <w:szCs w:val="24"/>
        </w:rPr>
        <w:t xml:space="preserve">ciais díspares, o nível de degradação ambiental foi igualmente expressivo, com grandes áreas desmatadas nas proximidades das rodovias construídas nas décadas passadas, equivalente ao tamanho de países como a Bélgica, </w:t>
      </w:r>
      <w:proofErr w:type="gramStart"/>
      <w:r w:rsidRPr="003451F6">
        <w:rPr>
          <w:rFonts w:ascii="Times New Roman" w:hAnsi="Times New Roman" w:cs="Times New Roman"/>
          <w:sz w:val="24"/>
          <w:szCs w:val="24"/>
        </w:rPr>
        <w:t>por exemplo</w:t>
      </w:r>
      <w:proofErr w:type="gramEnd"/>
      <w:r w:rsidRPr="003451F6">
        <w:rPr>
          <w:rFonts w:ascii="Times New Roman" w:hAnsi="Times New Roman" w:cs="Times New Roman"/>
          <w:sz w:val="24"/>
          <w:szCs w:val="24"/>
        </w:rPr>
        <w:t xml:space="preserve"> (SILVA, 2009).   </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Constata-se, portanto, que o crescimento econômico e populacional da Região Norte não tem </w:t>
      </w:r>
      <w:proofErr w:type="spellStart"/>
      <w:r w:rsidRPr="003451F6">
        <w:rPr>
          <w:rFonts w:ascii="Times New Roman" w:hAnsi="Times New Roman" w:cs="Times New Roman"/>
          <w:sz w:val="24"/>
          <w:szCs w:val="24"/>
        </w:rPr>
        <w:t>ocorri-do</w:t>
      </w:r>
      <w:proofErr w:type="spellEnd"/>
      <w:r w:rsidRPr="003451F6">
        <w:rPr>
          <w:rFonts w:ascii="Times New Roman" w:hAnsi="Times New Roman" w:cs="Times New Roman"/>
          <w:sz w:val="24"/>
          <w:szCs w:val="24"/>
        </w:rPr>
        <w:t xml:space="preserve"> de forma equilibrada e sustentável. Isto pode ser atribuído, em parte, à falta de acesso a serviços de saneamento básico e educação, por exemplo. Apesar disso, há também outras variáveis que influenciam, sobremaneira, esses resultados. Entre elas, está o acesso às cidades com melhor infraestrutura, que na maior parte da região é limitado ao modal aéreo e fluvial. A melhoria do sistema de transporte poderia viabilizar a expansão econômica mais equilibrada na região. A carência de infraestrutura de transporte é uma constante para quase todos os Estados da Região Norte, onde existem várias cidades quase que </w:t>
      </w:r>
      <w:proofErr w:type="spellStart"/>
      <w:r w:rsidRPr="003451F6">
        <w:rPr>
          <w:rFonts w:ascii="Times New Roman" w:hAnsi="Times New Roman" w:cs="Times New Roman"/>
          <w:sz w:val="24"/>
          <w:szCs w:val="24"/>
        </w:rPr>
        <w:t>com-pletamente</w:t>
      </w:r>
      <w:proofErr w:type="spellEnd"/>
      <w:r w:rsidRPr="003451F6">
        <w:rPr>
          <w:rFonts w:ascii="Times New Roman" w:hAnsi="Times New Roman" w:cs="Times New Roman"/>
          <w:sz w:val="24"/>
          <w:szCs w:val="24"/>
        </w:rPr>
        <w:t xml:space="preserve"> isoladas, cujas populações crescem pouco ou mesmo decrescem. Em parte, isso pode ser </w:t>
      </w:r>
      <w:proofErr w:type="spellStart"/>
      <w:r w:rsidRPr="003451F6">
        <w:rPr>
          <w:rFonts w:ascii="Times New Roman" w:hAnsi="Times New Roman" w:cs="Times New Roman"/>
          <w:sz w:val="24"/>
          <w:szCs w:val="24"/>
        </w:rPr>
        <w:t>atri-buído</w:t>
      </w:r>
      <w:proofErr w:type="spellEnd"/>
      <w:r w:rsidRPr="003451F6">
        <w:rPr>
          <w:rFonts w:ascii="Times New Roman" w:hAnsi="Times New Roman" w:cs="Times New Roman"/>
          <w:sz w:val="24"/>
          <w:szCs w:val="24"/>
        </w:rPr>
        <w:t xml:space="preserve"> à busca por </w:t>
      </w:r>
      <w:proofErr w:type="gramStart"/>
      <w:r w:rsidRPr="003451F6">
        <w:rPr>
          <w:rFonts w:ascii="Times New Roman" w:hAnsi="Times New Roman" w:cs="Times New Roman"/>
          <w:sz w:val="24"/>
          <w:szCs w:val="24"/>
        </w:rPr>
        <w:t>melhores oportunidades nos centros urbanos</w:t>
      </w:r>
      <w:proofErr w:type="gramEnd"/>
      <w:r w:rsidRPr="003451F6">
        <w:rPr>
          <w:rFonts w:ascii="Times New Roman" w:hAnsi="Times New Roman" w:cs="Times New Roman"/>
          <w:sz w:val="24"/>
          <w:szCs w:val="24"/>
        </w:rPr>
        <w:t xml:space="preserve"> maiores, em termos de emprego, melhores salários e acesso a bens e serviços. A lucratividade da produção agropecuária pode ter piorado em alg</w:t>
      </w:r>
      <w:r w:rsidRPr="003451F6">
        <w:rPr>
          <w:rFonts w:ascii="Times New Roman" w:hAnsi="Times New Roman" w:cs="Times New Roman"/>
          <w:sz w:val="24"/>
          <w:szCs w:val="24"/>
        </w:rPr>
        <w:t>u</w:t>
      </w:r>
      <w:r w:rsidRPr="003451F6">
        <w:rPr>
          <w:rFonts w:ascii="Times New Roman" w:hAnsi="Times New Roman" w:cs="Times New Roman"/>
          <w:sz w:val="24"/>
          <w:szCs w:val="24"/>
        </w:rPr>
        <w:t xml:space="preserve">mas localidades, tanto pelo cumprimento de legislação ambiental, como pelo preço do uso do solo ou </w:t>
      </w:r>
      <w:r w:rsidRPr="003451F6">
        <w:rPr>
          <w:rFonts w:ascii="Times New Roman" w:hAnsi="Times New Roman" w:cs="Times New Roman"/>
          <w:sz w:val="24"/>
          <w:szCs w:val="24"/>
        </w:rPr>
        <w:lastRenderedPageBreak/>
        <w:t xml:space="preserve">pelas dificuldades de escoamento da produção. Entretanto, em outras localidades o agronegócio ganhou importância. Por outro lado, pessoas e empresas fora dos Estados da Região Norte podem ter sido atraídas pelas aglomerações populacionais, assim como por incentivos fiscais ou da política de crédito.  </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Para avaliar a dinâmica de crescimento acima aludida, evidenciar como o sistema de transporte a </w:t>
      </w:r>
      <w:proofErr w:type="spellStart"/>
      <w:r w:rsidRPr="003451F6">
        <w:rPr>
          <w:rFonts w:ascii="Times New Roman" w:hAnsi="Times New Roman" w:cs="Times New Roman"/>
          <w:sz w:val="24"/>
          <w:szCs w:val="24"/>
        </w:rPr>
        <w:t>afe-ta</w:t>
      </w:r>
      <w:proofErr w:type="spellEnd"/>
      <w:r w:rsidRPr="003451F6">
        <w:rPr>
          <w:rFonts w:ascii="Times New Roman" w:hAnsi="Times New Roman" w:cs="Times New Roman"/>
          <w:sz w:val="24"/>
          <w:szCs w:val="24"/>
        </w:rPr>
        <w:t xml:space="preserve"> e discutir como políticas públicas podem ser elaboradas para permitir a redução das desigualdades </w:t>
      </w:r>
      <w:proofErr w:type="spellStart"/>
      <w:r w:rsidRPr="003451F6">
        <w:rPr>
          <w:rFonts w:ascii="Times New Roman" w:hAnsi="Times New Roman" w:cs="Times New Roman"/>
          <w:sz w:val="24"/>
          <w:szCs w:val="24"/>
        </w:rPr>
        <w:t>re-gionais</w:t>
      </w:r>
      <w:proofErr w:type="spellEnd"/>
      <w:r w:rsidRPr="003451F6">
        <w:rPr>
          <w:rFonts w:ascii="Times New Roman" w:hAnsi="Times New Roman" w:cs="Times New Roman"/>
          <w:sz w:val="24"/>
          <w:szCs w:val="24"/>
        </w:rPr>
        <w:t xml:space="preserve">, devem-se considerar, primordialmente, os impactos que os investimentos em infraestrutura de transporte ocasionaram na região em questão. No contexto do desenvolvimento territorial, a infraestrutura de transporte - em termos de capacidade, conectividade, velocidade em cada um dos modais, por exemplo - determina a qualidade de uma localização em relação a outras, ou seja, a vantagem competitiva dos </w:t>
      </w:r>
      <w:proofErr w:type="spellStart"/>
      <w:r w:rsidRPr="003451F6">
        <w:rPr>
          <w:rFonts w:ascii="Times New Roman" w:hAnsi="Times New Roman" w:cs="Times New Roman"/>
          <w:sz w:val="24"/>
          <w:szCs w:val="24"/>
        </w:rPr>
        <w:t>lo-cais</w:t>
      </w:r>
      <w:proofErr w:type="spellEnd"/>
      <w:r w:rsidRPr="003451F6">
        <w:rPr>
          <w:rFonts w:ascii="Times New Roman" w:hAnsi="Times New Roman" w:cs="Times New Roman"/>
          <w:sz w:val="24"/>
          <w:szCs w:val="24"/>
        </w:rPr>
        <w:t xml:space="preserve">, geralmente medida como acessibilidade. Portanto, faz-se necessário o uso de uma variável que capte os efeitos descritos acima. Isso é feito por meio do índice de acessibilidade. Com esse indicador, também chamado de potencial de mercado, será possível identificar as vantagens </w:t>
      </w:r>
      <w:proofErr w:type="spellStart"/>
      <w:r w:rsidRPr="003451F6">
        <w:rPr>
          <w:rFonts w:ascii="Times New Roman" w:hAnsi="Times New Roman" w:cs="Times New Roman"/>
          <w:sz w:val="24"/>
          <w:szCs w:val="24"/>
        </w:rPr>
        <w:t>locacionais</w:t>
      </w:r>
      <w:proofErr w:type="spellEnd"/>
      <w:r w:rsidRPr="003451F6">
        <w:rPr>
          <w:rFonts w:ascii="Times New Roman" w:hAnsi="Times New Roman" w:cs="Times New Roman"/>
          <w:sz w:val="24"/>
          <w:szCs w:val="24"/>
        </w:rPr>
        <w:t>, isto é, o potencial econômico de cada um dos municípios da região em análise. Neste sentido, será possível determinar em que nível a dinâmica populacional ocorrida nas últimas décadas foi ocasionada pelas mudanças no nível de acessibilidade e como estas contribuíram para seu crescimento. Maior acessibilidade a serviços de alto valor adicionado e acesso a grandes mercados potenciais têm favorecido o deslocamento e a fragment</w:t>
      </w:r>
      <w:r w:rsidRPr="003451F6">
        <w:rPr>
          <w:rFonts w:ascii="Times New Roman" w:hAnsi="Times New Roman" w:cs="Times New Roman"/>
          <w:sz w:val="24"/>
          <w:szCs w:val="24"/>
        </w:rPr>
        <w:t>a</w:t>
      </w:r>
      <w:r w:rsidRPr="003451F6">
        <w:rPr>
          <w:rFonts w:ascii="Times New Roman" w:hAnsi="Times New Roman" w:cs="Times New Roman"/>
          <w:sz w:val="24"/>
          <w:szCs w:val="24"/>
        </w:rPr>
        <w:t>ção das atividades produtivas. Isso leva também ao deslocamento da população em busca de oportunid</w:t>
      </w:r>
      <w:r w:rsidRPr="003451F6">
        <w:rPr>
          <w:rFonts w:ascii="Times New Roman" w:hAnsi="Times New Roman" w:cs="Times New Roman"/>
          <w:sz w:val="24"/>
          <w:szCs w:val="24"/>
        </w:rPr>
        <w:t>a</w:t>
      </w:r>
      <w:r w:rsidRPr="003451F6">
        <w:rPr>
          <w:rFonts w:ascii="Times New Roman" w:hAnsi="Times New Roman" w:cs="Times New Roman"/>
          <w:sz w:val="24"/>
          <w:szCs w:val="24"/>
        </w:rPr>
        <w:t xml:space="preserve">des nos grandes centros econômicos. Assim, pode ser que o forte crescimento, tanto populacional quanto econômico de algumas cidades da Região Norte esteja respondendo a um novo modelo de organização sócio-territorial. Esses aspectos podem ser mais bem compreendidos se examinados à luz das construções teóricas e analíticas da Nova Geografia Econômica - NGE.  </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Buscando esclarecer as questões acima, o objetivo geral deste trabalho é analisar o crescimento </w:t>
      </w:r>
      <w:proofErr w:type="spellStart"/>
      <w:r w:rsidRPr="003451F6">
        <w:rPr>
          <w:rFonts w:ascii="Times New Roman" w:hAnsi="Times New Roman" w:cs="Times New Roman"/>
          <w:sz w:val="24"/>
          <w:szCs w:val="24"/>
        </w:rPr>
        <w:t>po-pulacional</w:t>
      </w:r>
      <w:proofErr w:type="spellEnd"/>
      <w:r w:rsidRPr="003451F6">
        <w:rPr>
          <w:rFonts w:ascii="Times New Roman" w:hAnsi="Times New Roman" w:cs="Times New Roman"/>
          <w:sz w:val="24"/>
          <w:szCs w:val="24"/>
        </w:rPr>
        <w:t xml:space="preserve"> desigual dos municípios que compõem a Região Norte do Brasil e quantificar seus </w:t>
      </w:r>
      <w:proofErr w:type="spellStart"/>
      <w:r w:rsidRPr="003451F6">
        <w:rPr>
          <w:rFonts w:ascii="Times New Roman" w:hAnsi="Times New Roman" w:cs="Times New Roman"/>
          <w:sz w:val="24"/>
          <w:szCs w:val="24"/>
        </w:rPr>
        <w:t>determinan-tes</w:t>
      </w:r>
      <w:proofErr w:type="spellEnd"/>
      <w:r w:rsidRPr="003451F6">
        <w:rPr>
          <w:rFonts w:ascii="Times New Roman" w:hAnsi="Times New Roman" w:cs="Times New Roman"/>
          <w:sz w:val="24"/>
          <w:szCs w:val="24"/>
        </w:rPr>
        <w:t xml:space="preserve"> no período de 1980 a 2000, usando os conceitos da Nova Geografia Econômica - NGE. Para tanto, evidenciar-se-á o crescimento dos municípios, associando-o com as condições naturais da região e com o papel das políticas públicas </w:t>
      </w:r>
      <w:proofErr w:type="gramStart"/>
      <w:r w:rsidRPr="003451F6">
        <w:rPr>
          <w:rFonts w:ascii="Times New Roman" w:hAnsi="Times New Roman" w:cs="Times New Roman"/>
          <w:sz w:val="24"/>
          <w:szCs w:val="24"/>
        </w:rPr>
        <w:t>implementadas</w:t>
      </w:r>
      <w:proofErr w:type="gramEnd"/>
      <w:r w:rsidRPr="003451F6">
        <w:rPr>
          <w:rFonts w:ascii="Times New Roman" w:hAnsi="Times New Roman" w:cs="Times New Roman"/>
          <w:sz w:val="24"/>
          <w:szCs w:val="24"/>
        </w:rPr>
        <w:t xml:space="preserve">, utilizando as variáveis demográficas (obtidas no censo </w:t>
      </w:r>
      <w:proofErr w:type="spellStart"/>
      <w:r w:rsidRPr="003451F6">
        <w:rPr>
          <w:rFonts w:ascii="Times New Roman" w:hAnsi="Times New Roman" w:cs="Times New Roman"/>
          <w:sz w:val="24"/>
          <w:szCs w:val="24"/>
        </w:rPr>
        <w:t>de-mográfico</w:t>
      </w:r>
      <w:proofErr w:type="spellEnd"/>
      <w:r w:rsidRPr="003451F6">
        <w:rPr>
          <w:rFonts w:ascii="Times New Roman" w:hAnsi="Times New Roman" w:cs="Times New Roman"/>
          <w:sz w:val="24"/>
          <w:szCs w:val="24"/>
        </w:rPr>
        <w:t xml:space="preserve">) e o índice de acessibilidade, proposto por Silva (2011). O período escolhido para análise, de 1980 a 2000, cobre a fase em que os projetos de infraestrutura implantados na década de 1970 surtiram seus principais efeitos, em particular, nas mudanças da acessibilidade. O período analisado incorpora os efeitos da forte onda migratória de fins dos anos 70, que se consolidou na década de 80 e perdeu força na década de 90, quando a infraestrutura de transporte naquela região já não apresentava mudanças </w:t>
      </w:r>
      <w:proofErr w:type="spellStart"/>
      <w:r w:rsidRPr="003451F6">
        <w:rPr>
          <w:rFonts w:ascii="Times New Roman" w:hAnsi="Times New Roman" w:cs="Times New Roman"/>
          <w:sz w:val="24"/>
          <w:szCs w:val="24"/>
        </w:rPr>
        <w:t>substan-ciais</w:t>
      </w:r>
      <w:proofErr w:type="spellEnd"/>
      <w:r w:rsidRPr="003451F6">
        <w:rPr>
          <w:rFonts w:ascii="Times New Roman" w:hAnsi="Times New Roman" w:cs="Times New Roman"/>
          <w:sz w:val="24"/>
          <w:szCs w:val="24"/>
        </w:rPr>
        <w:t>.</w:t>
      </w:r>
    </w:p>
    <w:p w:rsidR="003451F6" w:rsidRP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Como já destacado, observa-se concentração da atividade econômica em algumas partes da Região Norte, enquanto que outras áreas permanecem aquém de um nível aceitável de evolução econômica e social. </w:t>
      </w:r>
      <w:proofErr w:type="gramStart"/>
      <w:r w:rsidRPr="003451F6">
        <w:rPr>
          <w:rFonts w:ascii="Times New Roman" w:hAnsi="Times New Roman" w:cs="Times New Roman"/>
          <w:sz w:val="24"/>
          <w:szCs w:val="24"/>
        </w:rPr>
        <w:t>Isso permite formular duas hipóteses a serem verificadas ao longo do artigo: 1o)</w:t>
      </w:r>
      <w:proofErr w:type="gramEnd"/>
      <w:r w:rsidRPr="003451F6">
        <w:rPr>
          <w:rFonts w:ascii="Times New Roman" w:hAnsi="Times New Roman" w:cs="Times New Roman"/>
          <w:sz w:val="24"/>
          <w:szCs w:val="24"/>
        </w:rPr>
        <w:t xml:space="preserve"> os municípios mais pobres têm no fator isolamento geográfico um dos determinantes da sua condição econômica. </w:t>
      </w:r>
      <w:proofErr w:type="gramStart"/>
      <w:r w:rsidRPr="003451F6">
        <w:rPr>
          <w:rFonts w:ascii="Times New Roman" w:hAnsi="Times New Roman" w:cs="Times New Roman"/>
          <w:sz w:val="24"/>
          <w:szCs w:val="24"/>
        </w:rPr>
        <w:t>As dificuldades de acesso os impedem de escoar sua produção, que na maioria dos casos é agropecuária, aos mercados potenciais; 2o)</w:t>
      </w:r>
      <w:proofErr w:type="gramEnd"/>
      <w:r w:rsidRPr="003451F6">
        <w:rPr>
          <w:rFonts w:ascii="Times New Roman" w:hAnsi="Times New Roman" w:cs="Times New Roman"/>
          <w:sz w:val="24"/>
          <w:szCs w:val="24"/>
        </w:rPr>
        <w:t xml:space="preserve"> houve redução nos custos de transportes, que culminou na melhoria da </w:t>
      </w:r>
      <w:proofErr w:type="spellStart"/>
      <w:r w:rsidRPr="003451F6">
        <w:rPr>
          <w:rFonts w:ascii="Times New Roman" w:hAnsi="Times New Roman" w:cs="Times New Roman"/>
          <w:sz w:val="24"/>
          <w:szCs w:val="24"/>
        </w:rPr>
        <w:t>acessibi-lidade</w:t>
      </w:r>
      <w:proofErr w:type="spellEnd"/>
      <w:r w:rsidRPr="003451F6">
        <w:rPr>
          <w:rFonts w:ascii="Times New Roman" w:hAnsi="Times New Roman" w:cs="Times New Roman"/>
          <w:sz w:val="24"/>
          <w:szCs w:val="24"/>
        </w:rPr>
        <w:t xml:space="preserve"> formando as aglomerações. Consequentemente, as grandes aglomerações passaram a demandar produtos da região, gerando crescimento e melhorando as condições socioeconômicas de seus vizinhos, portanto, atuando como “indutores de crescimento”. A confirmação dessas hipóteses é condizente com os pressupostos defendidos pela NGE. </w:t>
      </w:r>
    </w:p>
    <w:p w:rsidR="003451F6" w:rsidRDefault="003451F6" w:rsidP="003451F6">
      <w:pPr>
        <w:spacing w:after="12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Além dessa introdução, o artigo compõe-se de mais cinco seções. A seguir é apresentada a revisão da literatura. Na seção 3 são expostos os arcabouços teóricos e analíticos a partir do qual esse artigo está fundamentado. Na seção quatro é apresentada a metodologia utilizada para calcular aglomerações e seus determinantes. Na seção cinco são apresentados e discutidos os cálculos realizados; e a última seção </w:t>
      </w:r>
      <w:proofErr w:type="spellStart"/>
      <w:r w:rsidRPr="003451F6">
        <w:rPr>
          <w:rFonts w:ascii="Times New Roman" w:hAnsi="Times New Roman" w:cs="Times New Roman"/>
          <w:sz w:val="24"/>
          <w:szCs w:val="24"/>
        </w:rPr>
        <w:t>apre-senta</w:t>
      </w:r>
      <w:proofErr w:type="spellEnd"/>
      <w:r w:rsidRPr="003451F6">
        <w:rPr>
          <w:rFonts w:ascii="Times New Roman" w:hAnsi="Times New Roman" w:cs="Times New Roman"/>
          <w:sz w:val="24"/>
          <w:szCs w:val="24"/>
        </w:rPr>
        <w:t xml:space="preserve"> as conclusões do trabalho.   </w:t>
      </w:r>
      <w:r w:rsidR="008F4B97" w:rsidRPr="00D624EA">
        <w:rPr>
          <w:rFonts w:ascii="Times New Roman" w:hAnsi="Times New Roman" w:cs="Times New Roman"/>
          <w:sz w:val="24"/>
          <w:szCs w:val="24"/>
        </w:rPr>
        <w:t xml:space="preserve"> </w:t>
      </w:r>
    </w:p>
    <w:p w:rsidR="00DB43F5" w:rsidRDefault="008F4B97" w:rsidP="003451F6">
      <w:pPr>
        <w:spacing w:after="120" w:line="240" w:lineRule="auto"/>
        <w:ind w:firstLine="454"/>
        <w:jc w:val="both"/>
        <w:rPr>
          <w:rFonts w:ascii="Times New Roman" w:hAnsi="Times New Roman" w:cs="Times New Roman"/>
          <w:sz w:val="24"/>
          <w:szCs w:val="24"/>
        </w:rPr>
      </w:pPr>
      <w:r w:rsidRPr="00D624EA">
        <w:rPr>
          <w:rFonts w:ascii="Times New Roman" w:hAnsi="Times New Roman" w:cs="Times New Roman"/>
          <w:sz w:val="24"/>
          <w:szCs w:val="24"/>
        </w:rPr>
        <w:t xml:space="preserve">  </w:t>
      </w:r>
    </w:p>
    <w:p w:rsidR="003451F6" w:rsidRDefault="003451F6" w:rsidP="003451F6">
      <w:pPr>
        <w:spacing w:after="120" w:line="240" w:lineRule="auto"/>
        <w:ind w:firstLine="454"/>
        <w:jc w:val="both"/>
        <w:rPr>
          <w:rFonts w:ascii="Times New Roman" w:hAnsi="Times New Roman" w:cs="Times New Roman"/>
          <w:sz w:val="24"/>
          <w:szCs w:val="24"/>
        </w:rPr>
      </w:pPr>
    </w:p>
    <w:p w:rsidR="000C3C22" w:rsidRDefault="001E5EB1" w:rsidP="00824A2B">
      <w:pPr>
        <w:pStyle w:val="Ttulo4"/>
        <w:spacing w:after="0"/>
        <w:ind w:left="357" w:hanging="357"/>
      </w:pPr>
      <w:r>
        <w:lastRenderedPageBreak/>
        <w:t>REVISÃO DA LITERATURA</w:t>
      </w:r>
      <w:r w:rsidR="00EA070D">
        <w:t xml:space="preserve"> </w:t>
      </w:r>
    </w:p>
    <w:p w:rsidR="003451F6" w:rsidRPr="003451F6" w:rsidRDefault="003451F6" w:rsidP="00BB05DC">
      <w:pPr>
        <w:spacing w:after="12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Há ampla literatura que aborda o processo de desenvolvimento da Região Norte desde a chegada dos portugueses no Brasil, no século XVI, até os dias atuais. Trata-se de uma região diferenciada das demais, tanto por sua densa floresta, entrecortada por rios, pelo clima tropical, como também pelo seu relativo isolamento geográfico em relação às demais regiões do país, que tornam sua evolução socioeconômica igualmente diferenciada. Seu desenvolvimento é marcado por ciclos, que vão desde a exploração das “drogas do sertão”, conflitos de terras, à formação de pólos econômicos modernos (GUIMARÃES, 1995). Quatro tópicos já estudados e fortemente ligados ao objetivo deste trabalho merecem ser revistos. Eles são: a) a evolução econômica, social e ambiental da Região Norte; b) a relação entre criação de infraestr</w:t>
      </w:r>
      <w:r w:rsidRPr="003451F6">
        <w:rPr>
          <w:rFonts w:ascii="Times New Roman" w:hAnsi="Times New Roman" w:cs="Times New Roman"/>
          <w:sz w:val="24"/>
          <w:szCs w:val="24"/>
        </w:rPr>
        <w:t>u</w:t>
      </w:r>
      <w:r w:rsidRPr="003451F6">
        <w:rPr>
          <w:rFonts w:ascii="Times New Roman" w:hAnsi="Times New Roman" w:cs="Times New Roman"/>
          <w:sz w:val="24"/>
          <w:szCs w:val="24"/>
        </w:rPr>
        <w:t>tura, crescimento econômico e desmatamento; c) a relação entre acessibilidade e desenvolvimento; e d) as cidades maiores como indutores do crescimento de seus municípios vizinhos.</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Uma das primeiras obras a tratar cuidadosamente dos problemas de desenvolvimento econômico na Região Norte é a de Benchimol (1957), dando ênfase ao Estado do Amazonas. O tema foi posteriormente aprofundado por Benchimol (1966, 1977 e 1979) nas discussões que levaram à compreensão da formação econômica e social de toda a Amazônia. A base do crescimento econômico da região começou com o ciclo das drogas do sertão, </w:t>
      </w:r>
      <w:proofErr w:type="gramStart"/>
      <w:r w:rsidRPr="003451F6">
        <w:rPr>
          <w:rFonts w:ascii="Times New Roman" w:hAnsi="Times New Roman" w:cs="Times New Roman"/>
          <w:sz w:val="24"/>
          <w:szCs w:val="24"/>
        </w:rPr>
        <w:t>caracterizado</w:t>
      </w:r>
      <w:proofErr w:type="gramEnd"/>
      <w:r w:rsidRPr="003451F6">
        <w:rPr>
          <w:rFonts w:ascii="Times New Roman" w:hAnsi="Times New Roman" w:cs="Times New Roman"/>
          <w:sz w:val="24"/>
          <w:szCs w:val="24"/>
        </w:rPr>
        <w:t xml:space="preserve"> pela exploração e comércio de especiarias, que durou até meados do século XX. No entanto, um dos ciclos econômicos mais importantes foi o da Borracha que durou </w:t>
      </w:r>
      <w:proofErr w:type="spellStart"/>
      <w:r w:rsidRPr="003451F6">
        <w:rPr>
          <w:rFonts w:ascii="Times New Roman" w:hAnsi="Times New Roman" w:cs="Times New Roman"/>
          <w:sz w:val="24"/>
          <w:szCs w:val="24"/>
        </w:rPr>
        <w:t>basi-camente</w:t>
      </w:r>
      <w:proofErr w:type="spellEnd"/>
      <w:r w:rsidRPr="003451F6">
        <w:rPr>
          <w:rFonts w:ascii="Times New Roman" w:hAnsi="Times New Roman" w:cs="Times New Roman"/>
          <w:sz w:val="24"/>
          <w:szCs w:val="24"/>
        </w:rPr>
        <w:t xml:space="preserve"> de 1879 a 1912. Uma análise econômica de todo esse período pode ser vista em Santos (1980) e Ferreira Filho (1956). Após isso, somente na década de 1940, iniciaram-se várias tentativas de desenvo</w:t>
      </w:r>
      <w:r w:rsidRPr="003451F6">
        <w:rPr>
          <w:rFonts w:ascii="Times New Roman" w:hAnsi="Times New Roman" w:cs="Times New Roman"/>
          <w:sz w:val="24"/>
          <w:szCs w:val="24"/>
        </w:rPr>
        <w:t>l</w:t>
      </w:r>
      <w:r w:rsidRPr="003451F6">
        <w:rPr>
          <w:rFonts w:ascii="Times New Roman" w:hAnsi="Times New Roman" w:cs="Times New Roman"/>
          <w:sz w:val="24"/>
          <w:szCs w:val="24"/>
        </w:rPr>
        <w:t>ver a Amazônia, com a implantação de grandes projetos de desenvolvimento (BATISTA, 2007). Essa fase é marcada pelas políticas públicas direcionadas à região, com a criação da Superintendência de Valoriz</w:t>
      </w:r>
      <w:r w:rsidRPr="003451F6">
        <w:rPr>
          <w:rFonts w:ascii="Times New Roman" w:hAnsi="Times New Roman" w:cs="Times New Roman"/>
          <w:sz w:val="24"/>
          <w:szCs w:val="24"/>
        </w:rPr>
        <w:t>a</w:t>
      </w:r>
      <w:r w:rsidRPr="003451F6">
        <w:rPr>
          <w:rFonts w:ascii="Times New Roman" w:hAnsi="Times New Roman" w:cs="Times New Roman"/>
          <w:sz w:val="24"/>
          <w:szCs w:val="24"/>
        </w:rPr>
        <w:t xml:space="preserve">ção Econômica da Amazônia (SPVEA) em 1953 e, posteriormente, com a criação da Superintendência de Desenvolvimento da Amazônia (SUDAM) em 1966.    </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As políticas públicas na Amazônia, a partir dos grandes projetos de desenvolvimento, produziram </w:t>
      </w:r>
      <w:proofErr w:type="spellStart"/>
      <w:r w:rsidRPr="003451F6">
        <w:rPr>
          <w:rFonts w:ascii="Times New Roman" w:hAnsi="Times New Roman" w:cs="Times New Roman"/>
          <w:sz w:val="24"/>
          <w:szCs w:val="24"/>
        </w:rPr>
        <w:t>e-feitos</w:t>
      </w:r>
      <w:proofErr w:type="spellEnd"/>
      <w:r w:rsidRPr="003451F6">
        <w:rPr>
          <w:rFonts w:ascii="Times New Roman" w:hAnsi="Times New Roman" w:cs="Times New Roman"/>
          <w:sz w:val="24"/>
          <w:szCs w:val="24"/>
        </w:rPr>
        <w:t xml:space="preserve"> variados, começando pela forte migração interestadual ocorrida nos anos de 1970, a qual gerou </w:t>
      </w:r>
      <w:proofErr w:type="spellStart"/>
      <w:r w:rsidRPr="003451F6">
        <w:rPr>
          <w:rFonts w:ascii="Times New Roman" w:hAnsi="Times New Roman" w:cs="Times New Roman"/>
          <w:sz w:val="24"/>
          <w:szCs w:val="24"/>
        </w:rPr>
        <w:t>con-flitos</w:t>
      </w:r>
      <w:proofErr w:type="spellEnd"/>
      <w:r w:rsidRPr="003451F6">
        <w:rPr>
          <w:rFonts w:ascii="Times New Roman" w:hAnsi="Times New Roman" w:cs="Times New Roman"/>
          <w:sz w:val="24"/>
          <w:szCs w:val="24"/>
        </w:rPr>
        <w:t xml:space="preserve"> de terras, crescimento populacional e econômico vertiginoso, redução do isolamento geográfico e desmatamento (BECKER, 1982). O processo migratório de outras regiões do país para a Amazônia entre 1970 e 1980, ocasionado especialmente pela entrada de nordestinos e de sulistas na Região Norte, é </w:t>
      </w:r>
      <w:proofErr w:type="spellStart"/>
      <w:r w:rsidRPr="003451F6">
        <w:rPr>
          <w:rFonts w:ascii="Times New Roman" w:hAnsi="Times New Roman" w:cs="Times New Roman"/>
          <w:sz w:val="24"/>
          <w:szCs w:val="24"/>
        </w:rPr>
        <w:t>dis-cutida</w:t>
      </w:r>
      <w:proofErr w:type="spellEnd"/>
      <w:r w:rsidRPr="003451F6">
        <w:rPr>
          <w:rFonts w:ascii="Times New Roman" w:hAnsi="Times New Roman" w:cs="Times New Roman"/>
          <w:sz w:val="24"/>
          <w:szCs w:val="24"/>
        </w:rPr>
        <w:t xml:space="preserve"> por Brasil (1997). A migração num período de tempo maior, desde 1960 até o ano 2000, pode ser vista em Rocha (2005). Junto do aumento populacional, o crescimento econômico foi também </w:t>
      </w:r>
      <w:proofErr w:type="spellStart"/>
      <w:r w:rsidRPr="003451F6">
        <w:rPr>
          <w:rFonts w:ascii="Times New Roman" w:hAnsi="Times New Roman" w:cs="Times New Roman"/>
          <w:sz w:val="24"/>
          <w:szCs w:val="24"/>
        </w:rPr>
        <w:t>considerá-vel</w:t>
      </w:r>
      <w:proofErr w:type="spellEnd"/>
      <w:r w:rsidRPr="003451F6">
        <w:rPr>
          <w:rFonts w:ascii="Times New Roman" w:hAnsi="Times New Roman" w:cs="Times New Roman"/>
          <w:sz w:val="24"/>
          <w:szCs w:val="24"/>
        </w:rPr>
        <w:t xml:space="preserve">, como destaca Gomes e </w:t>
      </w:r>
      <w:proofErr w:type="spellStart"/>
      <w:r w:rsidRPr="003451F6">
        <w:rPr>
          <w:rFonts w:ascii="Times New Roman" w:hAnsi="Times New Roman" w:cs="Times New Roman"/>
          <w:sz w:val="24"/>
          <w:szCs w:val="24"/>
        </w:rPr>
        <w:t>Vergolino</w:t>
      </w:r>
      <w:proofErr w:type="spellEnd"/>
      <w:r w:rsidRPr="003451F6">
        <w:rPr>
          <w:rFonts w:ascii="Times New Roman" w:hAnsi="Times New Roman" w:cs="Times New Roman"/>
          <w:sz w:val="24"/>
          <w:szCs w:val="24"/>
        </w:rPr>
        <w:t xml:space="preserve"> (1997). </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A partir dos anos 90, o cenário econômico e social da Região Norte sofreu profundas modificações e, com isso, houve maior preocupação em pesquisas direcionadas a estudar fenômenos do crescimento </w:t>
      </w:r>
      <w:proofErr w:type="spellStart"/>
      <w:r w:rsidRPr="003451F6">
        <w:rPr>
          <w:rFonts w:ascii="Times New Roman" w:hAnsi="Times New Roman" w:cs="Times New Roman"/>
          <w:sz w:val="24"/>
          <w:szCs w:val="24"/>
        </w:rPr>
        <w:t>eco-nômico</w:t>
      </w:r>
      <w:proofErr w:type="spellEnd"/>
      <w:r w:rsidRPr="003451F6">
        <w:rPr>
          <w:rFonts w:ascii="Times New Roman" w:hAnsi="Times New Roman" w:cs="Times New Roman"/>
          <w:sz w:val="24"/>
          <w:szCs w:val="24"/>
        </w:rPr>
        <w:t xml:space="preserve"> ligadas aos aspectos do isolamento geográfico, tratando principalmente da logística e do </w:t>
      </w:r>
      <w:proofErr w:type="spellStart"/>
      <w:r w:rsidRPr="003451F6">
        <w:rPr>
          <w:rFonts w:ascii="Times New Roman" w:hAnsi="Times New Roman" w:cs="Times New Roman"/>
          <w:sz w:val="24"/>
          <w:szCs w:val="24"/>
        </w:rPr>
        <w:t>desma-tamento</w:t>
      </w:r>
      <w:proofErr w:type="spellEnd"/>
      <w:r w:rsidRPr="003451F6">
        <w:rPr>
          <w:rFonts w:ascii="Times New Roman" w:hAnsi="Times New Roman" w:cs="Times New Roman"/>
          <w:sz w:val="24"/>
          <w:szCs w:val="24"/>
        </w:rPr>
        <w:t xml:space="preserve"> (SILVA, 2006). A questão logística sempre representou um dos maiores problemas. Na região, a distância em relação aos grandes centros econômicos do país dificulta o acesso e escoamento da produção e de pessoas, especialmente aquelas que dependem somente do transporte fluvial. Com isso, foram </w:t>
      </w:r>
      <w:proofErr w:type="spellStart"/>
      <w:r w:rsidRPr="003451F6">
        <w:rPr>
          <w:rFonts w:ascii="Times New Roman" w:hAnsi="Times New Roman" w:cs="Times New Roman"/>
          <w:sz w:val="24"/>
          <w:szCs w:val="24"/>
        </w:rPr>
        <w:t>reali-zados</w:t>
      </w:r>
      <w:proofErr w:type="spellEnd"/>
      <w:r w:rsidRPr="003451F6">
        <w:rPr>
          <w:rFonts w:ascii="Times New Roman" w:hAnsi="Times New Roman" w:cs="Times New Roman"/>
          <w:sz w:val="24"/>
          <w:szCs w:val="24"/>
        </w:rPr>
        <w:t xml:space="preserve"> estudos objetivando integrar a Amazônia através da melhoria da infraestrutura de transporte. </w:t>
      </w:r>
      <w:proofErr w:type="spellStart"/>
      <w:r w:rsidRPr="003451F6">
        <w:rPr>
          <w:rFonts w:ascii="Times New Roman" w:hAnsi="Times New Roman" w:cs="Times New Roman"/>
          <w:sz w:val="24"/>
          <w:szCs w:val="24"/>
        </w:rPr>
        <w:t>Sant’Anna</w:t>
      </w:r>
      <w:proofErr w:type="spellEnd"/>
      <w:r w:rsidRPr="003451F6">
        <w:rPr>
          <w:rFonts w:ascii="Times New Roman" w:hAnsi="Times New Roman" w:cs="Times New Roman"/>
          <w:sz w:val="24"/>
          <w:szCs w:val="24"/>
        </w:rPr>
        <w:t xml:space="preserve"> (1998) detalha a malha viária da região e demonstra as limitadas alternativas de transporte, sugerindo diretrizes para uma rede de transportes e suas ligações com o exterior. </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As tentativas de integração da Amazônia ao resto do Brasil passam, invariavelmente, pela melhoria do sistema de transporte. Isso implica a construção de rodovias que irão induzir o crescimento econômico. No entanto, a preocupação com o desmatamento da floresta, por conta das políticas de desenvolvimento, atraiu a atenção de pesquisadores ao redor do mundo, buscando associar o desflorestamento com o </w:t>
      </w:r>
      <w:proofErr w:type="spellStart"/>
      <w:r w:rsidRPr="003451F6">
        <w:rPr>
          <w:rFonts w:ascii="Times New Roman" w:hAnsi="Times New Roman" w:cs="Times New Roman"/>
          <w:sz w:val="24"/>
          <w:szCs w:val="24"/>
        </w:rPr>
        <w:t>cres-cimento</w:t>
      </w:r>
      <w:proofErr w:type="spellEnd"/>
      <w:r w:rsidRPr="003451F6">
        <w:rPr>
          <w:rFonts w:ascii="Times New Roman" w:hAnsi="Times New Roman" w:cs="Times New Roman"/>
          <w:sz w:val="24"/>
          <w:szCs w:val="24"/>
        </w:rPr>
        <w:t xml:space="preserve"> econômico. As pesquisas foram direcionadas para os efeitos das políticas públicas naquela reg</w:t>
      </w:r>
      <w:r w:rsidRPr="003451F6">
        <w:rPr>
          <w:rFonts w:ascii="Times New Roman" w:hAnsi="Times New Roman" w:cs="Times New Roman"/>
          <w:sz w:val="24"/>
          <w:szCs w:val="24"/>
        </w:rPr>
        <w:t>i</w:t>
      </w:r>
      <w:r w:rsidRPr="003451F6">
        <w:rPr>
          <w:rFonts w:ascii="Times New Roman" w:hAnsi="Times New Roman" w:cs="Times New Roman"/>
          <w:sz w:val="24"/>
          <w:szCs w:val="24"/>
        </w:rPr>
        <w:t xml:space="preserve">ão, associando o desmatamento à infraestrutura de transporte, ao processo de urbanização e uso do solo. Utilizando imagens de satélite, </w:t>
      </w:r>
      <w:proofErr w:type="spellStart"/>
      <w:r w:rsidRPr="003451F6">
        <w:rPr>
          <w:rFonts w:ascii="Times New Roman" w:hAnsi="Times New Roman" w:cs="Times New Roman"/>
          <w:sz w:val="24"/>
          <w:szCs w:val="24"/>
        </w:rPr>
        <w:t>Pfaff</w:t>
      </w:r>
      <w:proofErr w:type="spellEnd"/>
      <w:r w:rsidRPr="003451F6">
        <w:rPr>
          <w:rFonts w:ascii="Times New Roman" w:hAnsi="Times New Roman" w:cs="Times New Roman"/>
          <w:sz w:val="24"/>
          <w:szCs w:val="24"/>
        </w:rPr>
        <w:t xml:space="preserve"> (1994) procurou explicar os condutores do processo de crescimento econômico, concluindo que municípios com acesso a transporte rodoviário apresentaram mais áreas </w:t>
      </w:r>
      <w:proofErr w:type="spellStart"/>
      <w:r w:rsidRPr="003451F6">
        <w:rPr>
          <w:rFonts w:ascii="Times New Roman" w:hAnsi="Times New Roman" w:cs="Times New Roman"/>
          <w:sz w:val="24"/>
          <w:szCs w:val="24"/>
        </w:rPr>
        <w:t>des-matadas</w:t>
      </w:r>
      <w:proofErr w:type="spellEnd"/>
      <w:r w:rsidRPr="003451F6">
        <w:rPr>
          <w:rFonts w:ascii="Times New Roman" w:hAnsi="Times New Roman" w:cs="Times New Roman"/>
          <w:sz w:val="24"/>
          <w:szCs w:val="24"/>
        </w:rPr>
        <w:t xml:space="preserve"> e isso gerou efeitos de desmatamento nos seus vizinhos. </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A construção das rodovias viabilizou a migração para o norte do país e o </w:t>
      </w:r>
      <w:proofErr w:type="spellStart"/>
      <w:r w:rsidRPr="003451F6">
        <w:rPr>
          <w:rFonts w:ascii="Times New Roman" w:hAnsi="Times New Roman" w:cs="Times New Roman"/>
          <w:sz w:val="24"/>
          <w:szCs w:val="24"/>
        </w:rPr>
        <w:t>consequente</w:t>
      </w:r>
      <w:proofErr w:type="spellEnd"/>
      <w:r w:rsidRPr="003451F6">
        <w:rPr>
          <w:rFonts w:ascii="Times New Roman" w:hAnsi="Times New Roman" w:cs="Times New Roman"/>
          <w:sz w:val="24"/>
          <w:szCs w:val="24"/>
        </w:rPr>
        <w:t xml:space="preserve"> aumento </w:t>
      </w:r>
      <w:proofErr w:type="spellStart"/>
      <w:r w:rsidRPr="003451F6">
        <w:rPr>
          <w:rFonts w:ascii="Times New Roman" w:hAnsi="Times New Roman" w:cs="Times New Roman"/>
          <w:sz w:val="24"/>
          <w:szCs w:val="24"/>
        </w:rPr>
        <w:t>popu-lacional</w:t>
      </w:r>
      <w:proofErr w:type="spellEnd"/>
      <w:r w:rsidRPr="003451F6">
        <w:rPr>
          <w:rFonts w:ascii="Times New Roman" w:hAnsi="Times New Roman" w:cs="Times New Roman"/>
          <w:sz w:val="24"/>
          <w:szCs w:val="24"/>
        </w:rPr>
        <w:t xml:space="preserve"> em zonas urbanas. Aplicando técnica de análise exploratória de dados, </w:t>
      </w:r>
      <w:proofErr w:type="spellStart"/>
      <w:r w:rsidRPr="003451F6">
        <w:rPr>
          <w:rFonts w:ascii="Times New Roman" w:hAnsi="Times New Roman" w:cs="Times New Roman"/>
          <w:sz w:val="24"/>
          <w:szCs w:val="24"/>
        </w:rPr>
        <w:t>Kampel</w:t>
      </w:r>
      <w:proofErr w:type="spellEnd"/>
      <w:r w:rsidRPr="003451F6">
        <w:rPr>
          <w:rFonts w:ascii="Times New Roman" w:hAnsi="Times New Roman" w:cs="Times New Roman"/>
          <w:sz w:val="24"/>
          <w:szCs w:val="24"/>
        </w:rPr>
        <w:t xml:space="preserve">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al. (2001) </w:t>
      </w:r>
      <w:proofErr w:type="spellStart"/>
      <w:r w:rsidRPr="003451F6">
        <w:rPr>
          <w:rFonts w:ascii="Times New Roman" w:hAnsi="Times New Roman" w:cs="Times New Roman"/>
          <w:sz w:val="24"/>
          <w:szCs w:val="24"/>
        </w:rPr>
        <w:t>ava-liou</w:t>
      </w:r>
      <w:proofErr w:type="spellEnd"/>
      <w:r w:rsidRPr="003451F6">
        <w:rPr>
          <w:rFonts w:ascii="Times New Roman" w:hAnsi="Times New Roman" w:cs="Times New Roman"/>
          <w:sz w:val="24"/>
          <w:szCs w:val="24"/>
        </w:rPr>
        <w:t xml:space="preserve"> o processo de urbanização da Amazônia de 1850 a 1990, ocasionado pela expansão da fronteira </w:t>
      </w:r>
      <w:proofErr w:type="spellStart"/>
      <w:r w:rsidRPr="003451F6">
        <w:rPr>
          <w:rFonts w:ascii="Times New Roman" w:hAnsi="Times New Roman" w:cs="Times New Roman"/>
          <w:sz w:val="24"/>
          <w:szCs w:val="24"/>
        </w:rPr>
        <w:t>agrí-</w:t>
      </w:r>
      <w:r w:rsidRPr="003451F6">
        <w:rPr>
          <w:rFonts w:ascii="Times New Roman" w:hAnsi="Times New Roman" w:cs="Times New Roman"/>
          <w:sz w:val="24"/>
          <w:szCs w:val="24"/>
        </w:rPr>
        <w:lastRenderedPageBreak/>
        <w:t>cola</w:t>
      </w:r>
      <w:proofErr w:type="spellEnd"/>
      <w:r w:rsidRPr="003451F6">
        <w:rPr>
          <w:rFonts w:ascii="Times New Roman" w:hAnsi="Times New Roman" w:cs="Times New Roman"/>
          <w:sz w:val="24"/>
          <w:szCs w:val="24"/>
        </w:rPr>
        <w:t xml:space="preserve"> e pelos investimentos em infraestrutura de transporte. A urbanização, o crescimento econômico e o desmatamento foram avaliados por Reis e </w:t>
      </w:r>
      <w:proofErr w:type="spellStart"/>
      <w:r w:rsidRPr="003451F6">
        <w:rPr>
          <w:rFonts w:ascii="Times New Roman" w:hAnsi="Times New Roman" w:cs="Times New Roman"/>
          <w:sz w:val="24"/>
          <w:szCs w:val="24"/>
        </w:rPr>
        <w:t>Guzman</w:t>
      </w:r>
      <w:proofErr w:type="spellEnd"/>
      <w:r w:rsidRPr="003451F6">
        <w:rPr>
          <w:rFonts w:ascii="Times New Roman" w:hAnsi="Times New Roman" w:cs="Times New Roman"/>
          <w:sz w:val="24"/>
          <w:szCs w:val="24"/>
        </w:rPr>
        <w:t xml:space="preserve"> (1993), que estimaram modelo </w:t>
      </w:r>
      <w:proofErr w:type="spellStart"/>
      <w:r w:rsidRPr="003451F6">
        <w:rPr>
          <w:rFonts w:ascii="Times New Roman" w:hAnsi="Times New Roman" w:cs="Times New Roman"/>
          <w:sz w:val="24"/>
          <w:szCs w:val="24"/>
        </w:rPr>
        <w:t>econométrico</w:t>
      </w:r>
      <w:proofErr w:type="spellEnd"/>
      <w:r w:rsidRPr="003451F6">
        <w:rPr>
          <w:rFonts w:ascii="Times New Roman" w:hAnsi="Times New Roman" w:cs="Times New Roman"/>
          <w:sz w:val="24"/>
          <w:szCs w:val="24"/>
        </w:rPr>
        <w:t xml:space="preserve"> para o desflorestamento da Amazônia brasileira e que realizaram avaliações dos custos e benefícios do </w:t>
      </w:r>
      <w:proofErr w:type="spellStart"/>
      <w:r w:rsidRPr="003451F6">
        <w:rPr>
          <w:rFonts w:ascii="Times New Roman" w:hAnsi="Times New Roman" w:cs="Times New Roman"/>
          <w:sz w:val="24"/>
          <w:szCs w:val="24"/>
        </w:rPr>
        <w:t>desen-volvimento</w:t>
      </w:r>
      <w:proofErr w:type="spellEnd"/>
      <w:r w:rsidRPr="003451F6">
        <w:rPr>
          <w:rFonts w:ascii="Times New Roman" w:hAnsi="Times New Roman" w:cs="Times New Roman"/>
          <w:sz w:val="24"/>
          <w:szCs w:val="24"/>
        </w:rPr>
        <w:t xml:space="preserve"> sustentado. Andersen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al. (2002), além de revisarem os principais projetos de impactos na Amazônia, inclusive o de construção de rodovias, utilizaram métodos </w:t>
      </w:r>
      <w:proofErr w:type="spellStart"/>
      <w:r w:rsidRPr="003451F6">
        <w:rPr>
          <w:rFonts w:ascii="Times New Roman" w:hAnsi="Times New Roman" w:cs="Times New Roman"/>
          <w:sz w:val="24"/>
          <w:szCs w:val="24"/>
        </w:rPr>
        <w:t>econométricos</w:t>
      </w:r>
      <w:proofErr w:type="spellEnd"/>
      <w:r w:rsidRPr="003451F6">
        <w:rPr>
          <w:rFonts w:ascii="Times New Roman" w:hAnsi="Times New Roman" w:cs="Times New Roman"/>
          <w:sz w:val="24"/>
          <w:szCs w:val="24"/>
        </w:rPr>
        <w:t xml:space="preserve"> para analisar seu crescimento e desenvolvimento econômico, explicando o desmatamento por essas variantes. Avaliaram-se, também, as emissões de carbonos, custos e benefícios do desmatamento e as formas de extrativismo como alternativas ao desmatamento. Em linhas gerais, trabalhos empíricos com utilização de técnicas da econometria espacial para analisar as relações entre crescimento, infraestrutura e desmatamento da </w:t>
      </w:r>
      <w:proofErr w:type="spellStart"/>
      <w:r w:rsidRPr="003451F6">
        <w:rPr>
          <w:rFonts w:ascii="Times New Roman" w:hAnsi="Times New Roman" w:cs="Times New Roman"/>
          <w:sz w:val="24"/>
          <w:szCs w:val="24"/>
        </w:rPr>
        <w:t>Ama-zônia</w:t>
      </w:r>
      <w:proofErr w:type="spellEnd"/>
      <w:r w:rsidRPr="003451F6">
        <w:rPr>
          <w:rFonts w:ascii="Times New Roman" w:hAnsi="Times New Roman" w:cs="Times New Roman"/>
          <w:sz w:val="24"/>
          <w:szCs w:val="24"/>
        </w:rPr>
        <w:t xml:space="preserve">, especialmente da Região Norte, são escassos. As mais recentes aplicações foram de </w:t>
      </w:r>
      <w:proofErr w:type="spellStart"/>
      <w:r w:rsidRPr="003451F6">
        <w:rPr>
          <w:rFonts w:ascii="Times New Roman" w:hAnsi="Times New Roman" w:cs="Times New Roman"/>
          <w:sz w:val="24"/>
          <w:szCs w:val="24"/>
        </w:rPr>
        <w:t>Igliori</w:t>
      </w:r>
      <w:proofErr w:type="spellEnd"/>
      <w:r w:rsidRPr="003451F6">
        <w:rPr>
          <w:rFonts w:ascii="Times New Roman" w:hAnsi="Times New Roman" w:cs="Times New Roman"/>
          <w:sz w:val="24"/>
          <w:szCs w:val="24"/>
        </w:rPr>
        <w:t xml:space="preserve"> (2006), que examinou se o nível de aglomeração inicial causou algum impacto nas taxas de desmatamento e </w:t>
      </w:r>
      <w:proofErr w:type="spellStart"/>
      <w:r w:rsidRPr="003451F6">
        <w:rPr>
          <w:rFonts w:ascii="Times New Roman" w:hAnsi="Times New Roman" w:cs="Times New Roman"/>
          <w:sz w:val="24"/>
          <w:szCs w:val="24"/>
        </w:rPr>
        <w:t>cres-cimento</w:t>
      </w:r>
      <w:proofErr w:type="spellEnd"/>
      <w:r w:rsidRPr="003451F6">
        <w:rPr>
          <w:rFonts w:ascii="Times New Roman" w:hAnsi="Times New Roman" w:cs="Times New Roman"/>
          <w:sz w:val="24"/>
          <w:szCs w:val="24"/>
        </w:rPr>
        <w:t xml:space="preserve"> na região; e Silva (2009), que utilizou as técnicas de análise exploratória de dados e de </w:t>
      </w:r>
      <w:proofErr w:type="spellStart"/>
      <w:r w:rsidRPr="003451F6">
        <w:rPr>
          <w:rFonts w:ascii="Times New Roman" w:hAnsi="Times New Roman" w:cs="Times New Roman"/>
          <w:sz w:val="24"/>
          <w:szCs w:val="24"/>
        </w:rPr>
        <w:t>econome-tria</w:t>
      </w:r>
      <w:proofErr w:type="spellEnd"/>
      <w:r w:rsidRPr="003451F6">
        <w:rPr>
          <w:rFonts w:ascii="Times New Roman" w:hAnsi="Times New Roman" w:cs="Times New Roman"/>
          <w:sz w:val="24"/>
          <w:szCs w:val="24"/>
        </w:rPr>
        <w:t xml:space="preserve"> espacial para explicar os determinantes da pobreza no Estado do Amazonas. Toda a discussão </w:t>
      </w:r>
      <w:proofErr w:type="spellStart"/>
      <w:r w:rsidRPr="003451F6">
        <w:rPr>
          <w:rFonts w:ascii="Times New Roman" w:hAnsi="Times New Roman" w:cs="Times New Roman"/>
          <w:sz w:val="24"/>
          <w:szCs w:val="24"/>
        </w:rPr>
        <w:t>apre-sentada</w:t>
      </w:r>
      <w:proofErr w:type="spellEnd"/>
      <w:r w:rsidRPr="003451F6">
        <w:rPr>
          <w:rFonts w:ascii="Times New Roman" w:hAnsi="Times New Roman" w:cs="Times New Roman"/>
          <w:sz w:val="24"/>
          <w:szCs w:val="24"/>
        </w:rPr>
        <w:t xml:space="preserve">, subjacente ao crescimento da Amazônia, parece ter um fator comum, que é a acessibilidade </w:t>
      </w:r>
      <w:proofErr w:type="spellStart"/>
      <w:r w:rsidRPr="003451F6">
        <w:rPr>
          <w:rFonts w:ascii="Times New Roman" w:hAnsi="Times New Roman" w:cs="Times New Roman"/>
          <w:sz w:val="24"/>
          <w:szCs w:val="24"/>
        </w:rPr>
        <w:t>pau-tada</w:t>
      </w:r>
      <w:proofErr w:type="spellEnd"/>
      <w:r w:rsidRPr="003451F6">
        <w:rPr>
          <w:rFonts w:ascii="Times New Roman" w:hAnsi="Times New Roman" w:cs="Times New Roman"/>
          <w:sz w:val="24"/>
          <w:szCs w:val="24"/>
        </w:rPr>
        <w:t xml:space="preserve"> no desenvolvimento de uma localidade e por isso se usa esse indicador neste trabalho.</w:t>
      </w:r>
    </w:p>
    <w:p w:rsidR="003451F6" w:rsidRPr="003451F6" w:rsidRDefault="003451F6" w:rsidP="003451F6">
      <w:pPr>
        <w:spacing w:after="240" w:line="240" w:lineRule="auto"/>
        <w:ind w:firstLine="454"/>
        <w:contextualSpacing/>
        <w:jc w:val="both"/>
        <w:outlineLvl w:val="2"/>
        <w:rPr>
          <w:rFonts w:ascii="Times New Roman" w:hAnsi="Times New Roman" w:cs="Times New Roman"/>
          <w:sz w:val="24"/>
          <w:szCs w:val="24"/>
        </w:rPr>
      </w:pPr>
      <w:r w:rsidRPr="003451F6">
        <w:rPr>
          <w:rFonts w:ascii="Times New Roman" w:hAnsi="Times New Roman" w:cs="Times New Roman"/>
          <w:sz w:val="24"/>
          <w:szCs w:val="24"/>
        </w:rPr>
        <w:t xml:space="preserve">De acordo com a Nova Geografia Econômica (NGE), maior acesso aos mercados reduz custos de transportes aos consumidores finais e produtores de bens intermediários que, juntamente com economias de escala das firmas, facilitam economias de aglomerações e elevam os preços dos fatores. Entretanto, a concentração da atividade econômica é igualmente consistente com explicações de acesso ao mercado (ROSENTHAL; WILLIAM, 2001). Como exemplo desse tipo de abordagem, o trabalho de economia de urbanização de Jacob (1969) apud </w:t>
      </w:r>
      <w:proofErr w:type="spellStart"/>
      <w:r w:rsidRPr="003451F6">
        <w:rPr>
          <w:rFonts w:ascii="Times New Roman" w:hAnsi="Times New Roman" w:cs="Times New Roman"/>
          <w:sz w:val="24"/>
          <w:szCs w:val="24"/>
        </w:rPr>
        <w:t>Duranton</w:t>
      </w:r>
      <w:proofErr w:type="spellEnd"/>
      <w:r w:rsidRPr="003451F6">
        <w:rPr>
          <w:rFonts w:ascii="Times New Roman" w:hAnsi="Times New Roman" w:cs="Times New Roman"/>
          <w:sz w:val="24"/>
          <w:szCs w:val="24"/>
        </w:rPr>
        <w:t xml:space="preserve"> (2008) analisa o conhecimento e difusão de tecnologia </w:t>
      </w:r>
      <w:proofErr w:type="spellStart"/>
      <w:r w:rsidRPr="003451F6">
        <w:rPr>
          <w:rFonts w:ascii="Times New Roman" w:hAnsi="Times New Roman" w:cs="Times New Roman"/>
          <w:sz w:val="24"/>
          <w:szCs w:val="24"/>
        </w:rPr>
        <w:t>vari-ando</w:t>
      </w:r>
      <w:proofErr w:type="spellEnd"/>
      <w:r w:rsidRPr="003451F6">
        <w:rPr>
          <w:rFonts w:ascii="Times New Roman" w:hAnsi="Times New Roman" w:cs="Times New Roman"/>
          <w:sz w:val="24"/>
          <w:szCs w:val="24"/>
        </w:rPr>
        <w:t xml:space="preserve"> com o tamanho da cidade. Da mesma forma, amenidades urbanas e oferta de serviços especializados podem estar disponíveis somente nas grandes cidades, embora efeitos adversos de congestão possam também ocorrer, como pontua </w:t>
      </w:r>
      <w:proofErr w:type="spellStart"/>
      <w:r w:rsidRPr="003451F6">
        <w:rPr>
          <w:rFonts w:ascii="Times New Roman" w:hAnsi="Times New Roman" w:cs="Times New Roman"/>
          <w:sz w:val="24"/>
          <w:szCs w:val="24"/>
        </w:rPr>
        <w:t>Glaeser</w:t>
      </w:r>
      <w:proofErr w:type="spellEnd"/>
      <w:r w:rsidRPr="003451F6">
        <w:rPr>
          <w:rFonts w:ascii="Times New Roman" w:hAnsi="Times New Roman" w:cs="Times New Roman"/>
          <w:sz w:val="24"/>
          <w:szCs w:val="24"/>
        </w:rPr>
        <w:t xml:space="preserve"> (1998). Nessa mesma linha, acrescentando aspectos da NGE, </w:t>
      </w:r>
      <w:proofErr w:type="spellStart"/>
      <w:r w:rsidRPr="003451F6">
        <w:rPr>
          <w:rFonts w:ascii="Times New Roman" w:hAnsi="Times New Roman" w:cs="Times New Roman"/>
          <w:sz w:val="24"/>
          <w:szCs w:val="24"/>
        </w:rPr>
        <w:t>mui-tos</w:t>
      </w:r>
      <w:proofErr w:type="spellEnd"/>
      <w:r w:rsidRPr="003451F6">
        <w:rPr>
          <w:rFonts w:ascii="Times New Roman" w:hAnsi="Times New Roman" w:cs="Times New Roman"/>
          <w:sz w:val="24"/>
          <w:szCs w:val="24"/>
        </w:rPr>
        <w:t xml:space="preserve"> pesquisadores têm focado suas análises no tamanho das cidades, como </w:t>
      </w:r>
      <w:proofErr w:type="spellStart"/>
      <w:r w:rsidRPr="003451F6">
        <w:rPr>
          <w:rFonts w:ascii="Times New Roman" w:hAnsi="Times New Roman" w:cs="Times New Roman"/>
          <w:sz w:val="24"/>
          <w:szCs w:val="24"/>
        </w:rPr>
        <w:t>Brülhart</w:t>
      </w:r>
      <w:proofErr w:type="spellEnd"/>
      <w:r w:rsidRPr="003451F6">
        <w:rPr>
          <w:rFonts w:ascii="Times New Roman" w:hAnsi="Times New Roman" w:cs="Times New Roman"/>
          <w:sz w:val="24"/>
          <w:szCs w:val="24"/>
        </w:rPr>
        <w:t xml:space="preserve"> e </w:t>
      </w:r>
      <w:proofErr w:type="spellStart"/>
      <w:r w:rsidRPr="003451F6">
        <w:rPr>
          <w:rFonts w:ascii="Times New Roman" w:hAnsi="Times New Roman" w:cs="Times New Roman"/>
          <w:sz w:val="24"/>
          <w:szCs w:val="24"/>
        </w:rPr>
        <w:t>Koenig</w:t>
      </w:r>
      <w:proofErr w:type="spellEnd"/>
      <w:r w:rsidRPr="003451F6">
        <w:rPr>
          <w:rFonts w:ascii="Times New Roman" w:hAnsi="Times New Roman" w:cs="Times New Roman"/>
          <w:sz w:val="24"/>
          <w:szCs w:val="24"/>
        </w:rPr>
        <w:t xml:space="preserve"> (2006), que constataram mudanças salariais associadas ao tamanho das capitais da Europa, enquanto que Eaton e </w:t>
      </w:r>
      <w:proofErr w:type="spellStart"/>
      <w:r w:rsidRPr="003451F6">
        <w:rPr>
          <w:rFonts w:ascii="Times New Roman" w:hAnsi="Times New Roman" w:cs="Times New Roman"/>
          <w:sz w:val="24"/>
          <w:szCs w:val="24"/>
        </w:rPr>
        <w:t>Eckstein</w:t>
      </w:r>
      <w:proofErr w:type="spellEnd"/>
      <w:r w:rsidRPr="003451F6">
        <w:rPr>
          <w:rFonts w:ascii="Times New Roman" w:hAnsi="Times New Roman" w:cs="Times New Roman"/>
          <w:sz w:val="24"/>
          <w:szCs w:val="24"/>
        </w:rPr>
        <w:t xml:space="preserve"> (1997) descobriram os impactos do tamanho das cidades na formação de capital humano e no retorno dos fatores. </w:t>
      </w:r>
    </w:p>
    <w:p w:rsidR="00632B6A" w:rsidRDefault="003451F6" w:rsidP="003451F6">
      <w:pPr>
        <w:spacing w:after="240" w:line="240" w:lineRule="auto"/>
        <w:ind w:firstLine="454"/>
        <w:contextualSpacing/>
        <w:jc w:val="both"/>
        <w:outlineLvl w:val="2"/>
        <w:rPr>
          <w:rFonts w:ascii="Times New Roman" w:hAnsi="Times New Roman" w:cs="Times New Roman"/>
          <w:sz w:val="24"/>
          <w:szCs w:val="24"/>
        </w:rPr>
      </w:pPr>
      <w:proofErr w:type="spellStart"/>
      <w:r w:rsidRPr="003451F6">
        <w:rPr>
          <w:rFonts w:ascii="Times New Roman" w:hAnsi="Times New Roman" w:cs="Times New Roman"/>
          <w:sz w:val="24"/>
          <w:szCs w:val="24"/>
        </w:rPr>
        <w:t>Duranton</w:t>
      </w:r>
      <w:proofErr w:type="spellEnd"/>
      <w:r w:rsidRPr="003451F6">
        <w:rPr>
          <w:rFonts w:ascii="Times New Roman" w:hAnsi="Times New Roman" w:cs="Times New Roman"/>
          <w:sz w:val="24"/>
          <w:szCs w:val="24"/>
        </w:rPr>
        <w:t xml:space="preserve"> (2008) destaca que - desde o trabalho de </w:t>
      </w:r>
      <w:proofErr w:type="spellStart"/>
      <w:r w:rsidRPr="003451F6">
        <w:rPr>
          <w:rFonts w:ascii="Times New Roman" w:hAnsi="Times New Roman" w:cs="Times New Roman"/>
          <w:sz w:val="24"/>
          <w:szCs w:val="24"/>
        </w:rPr>
        <w:t>Jacobs</w:t>
      </w:r>
      <w:proofErr w:type="spellEnd"/>
      <w:r w:rsidRPr="003451F6">
        <w:rPr>
          <w:rFonts w:ascii="Times New Roman" w:hAnsi="Times New Roman" w:cs="Times New Roman"/>
          <w:sz w:val="24"/>
          <w:szCs w:val="24"/>
        </w:rPr>
        <w:t xml:space="preserve"> (1969) e Lucas (1988) - a hipótese de </w:t>
      </w:r>
      <w:proofErr w:type="spellStart"/>
      <w:r w:rsidRPr="003451F6">
        <w:rPr>
          <w:rFonts w:ascii="Times New Roman" w:hAnsi="Times New Roman" w:cs="Times New Roman"/>
          <w:sz w:val="24"/>
          <w:szCs w:val="24"/>
        </w:rPr>
        <w:t>di-nâmica</w:t>
      </w:r>
      <w:proofErr w:type="spellEnd"/>
      <w:r w:rsidRPr="003451F6">
        <w:rPr>
          <w:rFonts w:ascii="Times New Roman" w:hAnsi="Times New Roman" w:cs="Times New Roman"/>
          <w:sz w:val="24"/>
          <w:szCs w:val="24"/>
        </w:rPr>
        <w:t xml:space="preserve"> dos retornos crescentes nas cidades, </w:t>
      </w:r>
      <w:proofErr w:type="gramStart"/>
      <w:r w:rsidRPr="003451F6">
        <w:rPr>
          <w:rFonts w:ascii="Times New Roman" w:hAnsi="Times New Roman" w:cs="Times New Roman"/>
          <w:sz w:val="24"/>
          <w:szCs w:val="24"/>
        </w:rPr>
        <w:t>sustentadas</w:t>
      </w:r>
      <w:proofErr w:type="gramEnd"/>
      <w:r w:rsidRPr="003451F6">
        <w:rPr>
          <w:rFonts w:ascii="Times New Roman" w:hAnsi="Times New Roman" w:cs="Times New Roman"/>
          <w:sz w:val="24"/>
          <w:szCs w:val="24"/>
        </w:rPr>
        <w:t xml:space="preserve"> por algum tipo de </w:t>
      </w:r>
      <w:proofErr w:type="spellStart"/>
      <w:r w:rsidRPr="003451F6">
        <w:rPr>
          <w:rFonts w:ascii="Times New Roman" w:hAnsi="Times New Roman" w:cs="Times New Roman"/>
          <w:sz w:val="24"/>
          <w:szCs w:val="24"/>
        </w:rPr>
        <w:t>externalidade</w:t>
      </w:r>
      <w:proofErr w:type="spellEnd"/>
      <w:r w:rsidRPr="003451F6">
        <w:rPr>
          <w:rFonts w:ascii="Times New Roman" w:hAnsi="Times New Roman" w:cs="Times New Roman"/>
          <w:sz w:val="24"/>
          <w:szCs w:val="24"/>
        </w:rPr>
        <w:t xml:space="preserve"> de capital </w:t>
      </w:r>
      <w:proofErr w:type="spellStart"/>
      <w:r w:rsidRPr="003451F6">
        <w:rPr>
          <w:rFonts w:ascii="Times New Roman" w:hAnsi="Times New Roman" w:cs="Times New Roman"/>
          <w:sz w:val="24"/>
          <w:szCs w:val="24"/>
        </w:rPr>
        <w:t>huma-no</w:t>
      </w:r>
      <w:proofErr w:type="spellEnd"/>
      <w:r w:rsidRPr="003451F6">
        <w:rPr>
          <w:rFonts w:ascii="Times New Roman" w:hAnsi="Times New Roman" w:cs="Times New Roman"/>
          <w:sz w:val="24"/>
          <w:szCs w:val="24"/>
        </w:rPr>
        <w:t xml:space="preserve"> ou difusão de conhecimento (</w:t>
      </w:r>
      <w:proofErr w:type="spellStart"/>
      <w:r w:rsidRPr="003451F6">
        <w:rPr>
          <w:rFonts w:ascii="Times New Roman" w:hAnsi="Times New Roman" w:cs="Times New Roman"/>
          <w:sz w:val="24"/>
          <w:szCs w:val="24"/>
        </w:rPr>
        <w:t>spillovers</w:t>
      </w:r>
      <w:proofErr w:type="spellEnd"/>
      <w:r w:rsidRPr="003451F6">
        <w:rPr>
          <w:rFonts w:ascii="Times New Roman" w:hAnsi="Times New Roman" w:cs="Times New Roman"/>
          <w:sz w:val="24"/>
          <w:szCs w:val="24"/>
        </w:rPr>
        <w:t xml:space="preserve">), tem sido o ponto principal das análises que tratam as cidades como “indutores do crescimento”. </w:t>
      </w:r>
      <w:proofErr w:type="spellStart"/>
      <w:r w:rsidRPr="003451F6">
        <w:rPr>
          <w:rFonts w:ascii="Times New Roman" w:hAnsi="Times New Roman" w:cs="Times New Roman"/>
          <w:sz w:val="24"/>
          <w:szCs w:val="24"/>
          <w:lang w:val="en-US"/>
        </w:rPr>
        <w:t>Ades</w:t>
      </w:r>
      <w:proofErr w:type="spellEnd"/>
      <w:r w:rsidRPr="003451F6">
        <w:rPr>
          <w:rFonts w:ascii="Times New Roman" w:hAnsi="Times New Roman" w:cs="Times New Roman"/>
          <w:sz w:val="24"/>
          <w:szCs w:val="24"/>
          <w:lang w:val="en-US"/>
        </w:rPr>
        <w:t xml:space="preserve"> e </w:t>
      </w:r>
      <w:proofErr w:type="spellStart"/>
      <w:r w:rsidRPr="003451F6">
        <w:rPr>
          <w:rFonts w:ascii="Times New Roman" w:hAnsi="Times New Roman" w:cs="Times New Roman"/>
          <w:sz w:val="24"/>
          <w:szCs w:val="24"/>
          <w:lang w:val="en-US"/>
        </w:rPr>
        <w:t>Glaeser</w:t>
      </w:r>
      <w:proofErr w:type="spellEnd"/>
      <w:r w:rsidRPr="003451F6">
        <w:rPr>
          <w:rFonts w:ascii="Times New Roman" w:hAnsi="Times New Roman" w:cs="Times New Roman"/>
          <w:sz w:val="24"/>
          <w:szCs w:val="24"/>
          <w:lang w:val="en-US"/>
        </w:rPr>
        <w:t xml:space="preserve"> (1995), Black e Henderson (1999), </w:t>
      </w:r>
      <w:proofErr w:type="spellStart"/>
      <w:r w:rsidRPr="003451F6">
        <w:rPr>
          <w:rFonts w:ascii="Times New Roman" w:hAnsi="Times New Roman" w:cs="Times New Roman"/>
          <w:sz w:val="24"/>
          <w:szCs w:val="24"/>
          <w:lang w:val="en-US"/>
        </w:rPr>
        <w:t>Bertinelli</w:t>
      </w:r>
      <w:proofErr w:type="spellEnd"/>
      <w:r w:rsidRPr="003451F6">
        <w:rPr>
          <w:rFonts w:ascii="Times New Roman" w:hAnsi="Times New Roman" w:cs="Times New Roman"/>
          <w:sz w:val="24"/>
          <w:szCs w:val="24"/>
          <w:lang w:val="en-US"/>
        </w:rPr>
        <w:t xml:space="preserve"> e Black (2004), Rossi-</w:t>
      </w:r>
      <w:proofErr w:type="spellStart"/>
      <w:r w:rsidRPr="003451F6">
        <w:rPr>
          <w:rFonts w:ascii="Times New Roman" w:hAnsi="Times New Roman" w:cs="Times New Roman"/>
          <w:sz w:val="24"/>
          <w:szCs w:val="24"/>
          <w:lang w:val="en-US"/>
        </w:rPr>
        <w:t>Hansberg</w:t>
      </w:r>
      <w:proofErr w:type="spellEnd"/>
      <w:r w:rsidRPr="003451F6">
        <w:rPr>
          <w:rFonts w:ascii="Times New Roman" w:hAnsi="Times New Roman" w:cs="Times New Roman"/>
          <w:sz w:val="24"/>
          <w:szCs w:val="24"/>
          <w:lang w:val="en-US"/>
        </w:rPr>
        <w:t xml:space="preserve"> e Wright (2007), </w:t>
      </w:r>
      <w:proofErr w:type="spellStart"/>
      <w:r w:rsidRPr="003451F6">
        <w:rPr>
          <w:rFonts w:ascii="Times New Roman" w:hAnsi="Times New Roman" w:cs="Times New Roman"/>
          <w:sz w:val="24"/>
          <w:szCs w:val="24"/>
          <w:lang w:val="en-US"/>
        </w:rPr>
        <w:t>Glaeser</w:t>
      </w:r>
      <w:proofErr w:type="spellEnd"/>
      <w:r w:rsidRPr="003451F6">
        <w:rPr>
          <w:rFonts w:ascii="Times New Roman" w:hAnsi="Times New Roman" w:cs="Times New Roman"/>
          <w:sz w:val="24"/>
          <w:szCs w:val="24"/>
          <w:lang w:val="en-US"/>
        </w:rPr>
        <w:t xml:space="preserve"> et al. </w:t>
      </w:r>
      <w:r w:rsidRPr="003451F6">
        <w:rPr>
          <w:rFonts w:ascii="Times New Roman" w:hAnsi="Times New Roman" w:cs="Times New Roman"/>
          <w:sz w:val="24"/>
          <w:szCs w:val="24"/>
        </w:rPr>
        <w:t xml:space="preserve">(1995), são alguns exemplos. No Brasil, merecem destaques os trabalhos de Da Mata (2005a, b), que avaliaram os fatores de crescimento das cidades </w:t>
      </w:r>
      <w:proofErr w:type="spellStart"/>
      <w:r w:rsidRPr="003451F6">
        <w:rPr>
          <w:rFonts w:ascii="Times New Roman" w:hAnsi="Times New Roman" w:cs="Times New Roman"/>
          <w:sz w:val="24"/>
          <w:szCs w:val="24"/>
        </w:rPr>
        <w:t>brasi-leiras</w:t>
      </w:r>
      <w:proofErr w:type="spellEnd"/>
      <w:r w:rsidRPr="003451F6">
        <w:rPr>
          <w:rFonts w:ascii="Times New Roman" w:hAnsi="Times New Roman" w:cs="Times New Roman"/>
          <w:sz w:val="24"/>
          <w:szCs w:val="24"/>
        </w:rPr>
        <w:t xml:space="preserve"> sob a ótica da Nova Geografia Econômica. Análise mais regional pode ser encontrada no trabalho de Oliveira (2004), que avaliou o crescimento das cidades nordestinas e Oliveira (2005) que estudou o crescimento econômico das cidades do Estado do Ceará. Neste trabalho, a principal referência utilizada para avaliar o crescimento das cidades atuando como “indutores de crescimento”, dentro dos preceitos da NGE, será o modelo de </w:t>
      </w:r>
      <w:proofErr w:type="spellStart"/>
      <w:r w:rsidRPr="003451F6">
        <w:rPr>
          <w:rFonts w:ascii="Times New Roman" w:hAnsi="Times New Roman" w:cs="Times New Roman"/>
          <w:sz w:val="24"/>
          <w:szCs w:val="24"/>
        </w:rPr>
        <w:t>Partridge</w:t>
      </w:r>
      <w:proofErr w:type="spellEnd"/>
      <w:r w:rsidRPr="003451F6">
        <w:rPr>
          <w:rFonts w:ascii="Times New Roman" w:hAnsi="Times New Roman" w:cs="Times New Roman"/>
          <w:sz w:val="24"/>
          <w:szCs w:val="24"/>
        </w:rPr>
        <w:t xml:space="preserve">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al. (2007).   </w:t>
      </w:r>
      <w:r w:rsidR="00632B6A">
        <w:rPr>
          <w:rFonts w:ascii="Times New Roman" w:hAnsi="Times New Roman" w:cs="Times New Roman"/>
          <w:sz w:val="24"/>
          <w:szCs w:val="24"/>
        </w:rPr>
        <w:t xml:space="preserve">  </w:t>
      </w:r>
    </w:p>
    <w:p w:rsidR="00B355AA" w:rsidRDefault="006555E8" w:rsidP="00824A2B">
      <w:pPr>
        <w:pStyle w:val="Ttulo3"/>
        <w:numPr>
          <w:ilvl w:val="0"/>
          <w:numId w:val="1"/>
        </w:numPr>
        <w:spacing w:line="240" w:lineRule="auto"/>
      </w:pPr>
      <w:bookmarkStart w:id="1" w:name="_Toc282363968"/>
      <w:r>
        <w:t xml:space="preserve">A NOVA GEOGRAFIA </w:t>
      </w:r>
      <w:proofErr w:type="gramStart"/>
      <w:r>
        <w:t>ECONÔMICA</w:t>
      </w:r>
      <w:bookmarkEnd w:id="1"/>
      <w:r>
        <w:t xml:space="preserve"> -NGE</w:t>
      </w:r>
      <w:proofErr w:type="gramEnd"/>
      <w:r w:rsidR="00430850">
        <w:t xml:space="preserve"> </w:t>
      </w:r>
    </w:p>
    <w:p w:rsidR="00E8719B" w:rsidRDefault="003451F6" w:rsidP="0044685B">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 chamada Nova Geografia Econômica, entre outros aspectos, estuda a localização da atividade </w:t>
      </w:r>
      <w:proofErr w:type="spellStart"/>
      <w:r w:rsidRPr="003451F6">
        <w:rPr>
          <w:rFonts w:ascii="Times New Roman" w:hAnsi="Times New Roman" w:cs="Times New Roman"/>
          <w:sz w:val="24"/>
          <w:szCs w:val="24"/>
        </w:rPr>
        <w:t>eco-nômica</w:t>
      </w:r>
      <w:proofErr w:type="spellEnd"/>
      <w:r w:rsidRPr="003451F6">
        <w:rPr>
          <w:rFonts w:ascii="Times New Roman" w:hAnsi="Times New Roman" w:cs="Times New Roman"/>
          <w:sz w:val="24"/>
          <w:szCs w:val="24"/>
        </w:rPr>
        <w:t xml:space="preserve"> no espaço. A NGE pode ser também descrita como um gênero ou um estilo de análise econômica, o qual procura explicar a estrutura espacial da economia usando algumas técnicas matemáticas para </w:t>
      </w:r>
      <w:proofErr w:type="spellStart"/>
      <w:r w:rsidRPr="003451F6">
        <w:rPr>
          <w:rFonts w:ascii="Times New Roman" w:hAnsi="Times New Roman" w:cs="Times New Roman"/>
          <w:sz w:val="24"/>
          <w:szCs w:val="24"/>
        </w:rPr>
        <w:t>pro-duzir</w:t>
      </w:r>
      <w:proofErr w:type="spellEnd"/>
      <w:r w:rsidRPr="003451F6">
        <w:rPr>
          <w:rFonts w:ascii="Times New Roman" w:hAnsi="Times New Roman" w:cs="Times New Roman"/>
          <w:sz w:val="24"/>
          <w:szCs w:val="24"/>
        </w:rPr>
        <w:t xml:space="preserve"> modelos nos quais há retornos crescentes dos fatores de produção, incorpora os custos de </w:t>
      </w:r>
      <w:proofErr w:type="spellStart"/>
      <w:r w:rsidRPr="003451F6">
        <w:rPr>
          <w:rFonts w:ascii="Times New Roman" w:hAnsi="Times New Roman" w:cs="Times New Roman"/>
          <w:sz w:val="24"/>
          <w:szCs w:val="24"/>
        </w:rPr>
        <w:t>transpor-tes</w:t>
      </w:r>
      <w:proofErr w:type="spellEnd"/>
      <w:r w:rsidRPr="003451F6">
        <w:rPr>
          <w:rFonts w:ascii="Times New Roman" w:hAnsi="Times New Roman" w:cs="Times New Roman"/>
          <w:sz w:val="24"/>
          <w:szCs w:val="24"/>
        </w:rPr>
        <w:t xml:space="preserve"> e os mercados operam em concorrência imperfeita (KRUGMAN, 1998). Em particular, é uma vertente da literatura iniciada por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(1991a), usando economias de aglomeração para ajudar a explicar o porquê das indústrias se agruparem dentro de determinados países e/ou regiões. Desde então, tem cresc</w:t>
      </w:r>
      <w:r w:rsidRPr="003451F6">
        <w:rPr>
          <w:rFonts w:ascii="Times New Roman" w:hAnsi="Times New Roman" w:cs="Times New Roman"/>
          <w:sz w:val="24"/>
          <w:szCs w:val="24"/>
        </w:rPr>
        <w:t>i</w:t>
      </w:r>
      <w:r w:rsidRPr="003451F6">
        <w:rPr>
          <w:rFonts w:ascii="Times New Roman" w:hAnsi="Times New Roman" w:cs="Times New Roman"/>
          <w:sz w:val="24"/>
          <w:szCs w:val="24"/>
        </w:rPr>
        <w:t xml:space="preserve">do substancialmente o número de teóricos nesse campo e, em menor grau, os trabalhos empíricos. O foco padrão no estudo de aglomeração pela NGE é voltado para aqueles elementos ditos de segunda natureza, como potencial de mercado, densidade do mercado de trabalho e economias externas puras. Por outro </w:t>
      </w:r>
      <w:r w:rsidRPr="003451F6">
        <w:rPr>
          <w:rFonts w:ascii="Times New Roman" w:hAnsi="Times New Roman" w:cs="Times New Roman"/>
          <w:sz w:val="24"/>
          <w:szCs w:val="24"/>
        </w:rPr>
        <w:lastRenderedPageBreak/>
        <w:t xml:space="preserve">lado, há também uma corrente teórica complementar, que considera como fatores geradores da </w:t>
      </w:r>
      <w:proofErr w:type="spellStart"/>
      <w:r w:rsidRPr="003451F6">
        <w:rPr>
          <w:rFonts w:ascii="Times New Roman" w:hAnsi="Times New Roman" w:cs="Times New Roman"/>
          <w:sz w:val="24"/>
          <w:szCs w:val="24"/>
        </w:rPr>
        <w:t>aglomera-ção</w:t>
      </w:r>
      <w:proofErr w:type="spellEnd"/>
      <w:r w:rsidRPr="003451F6">
        <w:rPr>
          <w:rFonts w:ascii="Times New Roman" w:hAnsi="Times New Roman" w:cs="Times New Roman"/>
          <w:sz w:val="24"/>
          <w:szCs w:val="24"/>
        </w:rPr>
        <w:t xml:space="preserve"> os elementos de primeira natureza, como recursos naturais, clima, por exemplo.</w:t>
      </w:r>
      <w:r w:rsidR="005B43D7">
        <w:rPr>
          <w:rFonts w:ascii="Times New Roman" w:hAnsi="Times New Roman" w:cs="Times New Roman"/>
          <w:sz w:val="24"/>
          <w:szCs w:val="24"/>
        </w:rPr>
        <w:t xml:space="preserve"> </w:t>
      </w:r>
    </w:p>
    <w:p w:rsidR="003451F6" w:rsidRPr="003451F6" w:rsidRDefault="003451F6" w:rsidP="003451F6">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Muitas atividades econômicas são concentradas geograficamente. Todavia, nem todas as pessoas vi-vem em uma única grande cidade, tampouco a produção de bens na economia está concentrada em um único local. Há um conjunto de forças atuando em direções opostas: de um lado, as forças centrípetas, que tendem a promover a concentração geográfica; e, de outro, as forças centrífugas, agindo no sentido </w:t>
      </w:r>
      <w:proofErr w:type="spellStart"/>
      <w:r w:rsidRPr="003451F6">
        <w:rPr>
          <w:rFonts w:ascii="Times New Roman" w:hAnsi="Times New Roman" w:cs="Times New Roman"/>
          <w:sz w:val="24"/>
          <w:szCs w:val="24"/>
        </w:rPr>
        <w:t>con-trário</w:t>
      </w:r>
      <w:proofErr w:type="spellEnd"/>
      <w:r w:rsidRPr="003451F6">
        <w:rPr>
          <w:rFonts w:ascii="Times New Roman" w:hAnsi="Times New Roman" w:cs="Times New Roman"/>
          <w:sz w:val="24"/>
          <w:szCs w:val="24"/>
        </w:rPr>
        <w:t xml:space="preserve">. Forças centrífugas são regidas por efeitos do tamanho de mercado, economias externas puras e mercado de trabalho. Forças centrípetas são regidas por imobilidade de fatores, renda da terra e </w:t>
      </w:r>
      <w:proofErr w:type="spellStart"/>
      <w:r w:rsidRPr="003451F6">
        <w:rPr>
          <w:rFonts w:ascii="Times New Roman" w:hAnsi="Times New Roman" w:cs="Times New Roman"/>
          <w:sz w:val="24"/>
          <w:szCs w:val="24"/>
        </w:rPr>
        <w:t>deseco-nomias</w:t>
      </w:r>
      <w:proofErr w:type="spellEnd"/>
      <w:r w:rsidRPr="003451F6">
        <w:rPr>
          <w:rFonts w:ascii="Times New Roman" w:hAnsi="Times New Roman" w:cs="Times New Roman"/>
          <w:sz w:val="24"/>
          <w:szCs w:val="24"/>
        </w:rPr>
        <w:t xml:space="preserve"> externas puras (KRUGMAN, 1998). A fundamentação da NGE pode ser vista em </w:t>
      </w:r>
      <w:proofErr w:type="spellStart"/>
      <w:r w:rsidRPr="003451F6">
        <w:rPr>
          <w:rFonts w:ascii="Times New Roman" w:hAnsi="Times New Roman" w:cs="Times New Roman"/>
          <w:sz w:val="24"/>
          <w:szCs w:val="24"/>
        </w:rPr>
        <w:t>Fujita</w:t>
      </w:r>
      <w:proofErr w:type="spellEnd"/>
      <w:r w:rsidRPr="003451F6">
        <w:rPr>
          <w:rFonts w:ascii="Times New Roman" w:hAnsi="Times New Roman" w:cs="Times New Roman"/>
          <w:sz w:val="24"/>
          <w:szCs w:val="24"/>
        </w:rPr>
        <w:t xml:space="preserve">,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e </w:t>
      </w:r>
      <w:proofErr w:type="spellStart"/>
      <w:r w:rsidRPr="003451F6">
        <w:rPr>
          <w:rFonts w:ascii="Times New Roman" w:hAnsi="Times New Roman" w:cs="Times New Roman"/>
          <w:sz w:val="24"/>
          <w:szCs w:val="24"/>
        </w:rPr>
        <w:t>Venables</w:t>
      </w:r>
      <w:proofErr w:type="spellEnd"/>
      <w:r w:rsidRPr="003451F6">
        <w:rPr>
          <w:rFonts w:ascii="Times New Roman" w:hAnsi="Times New Roman" w:cs="Times New Roman"/>
          <w:sz w:val="24"/>
          <w:szCs w:val="24"/>
        </w:rPr>
        <w:t xml:space="preserve"> (2002) que apresentam, resumidamente, as idéias de seus antecessores intelectuais, que são: as aglomerações em </w:t>
      </w:r>
      <w:proofErr w:type="gramStart"/>
      <w:r w:rsidRPr="003451F6">
        <w:rPr>
          <w:rFonts w:ascii="Times New Roman" w:hAnsi="Times New Roman" w:cs="Times New Roman"/>
          <w:sz w:val="24"/>
          <w:szCs w:val="24"/>
        </w:rPr>
        <w:t>Marshall ,</w:t>
      </w:r>
      <w:proofErr w:type="gramEnd"/>
      <w:r w:rsidRPr="003451F6">
        <w:rPr>
          <w:rFonts w:ascii="Times New Roman" w:hAnsi="Times New Roman" w:cs="Times New Roman"/>
          <w:sz w:val="24"/>
          <w:szCs w:val="24"/>
        </w:rPr>
        <w:t xml:space="preserve"> a teoria da localização de Weber, a teoria do lugar central de </w:t>
      </w:r>
      <w:proofErr w:type="spellStart"/>
      <w:r w:rsidRPr="003451F6">
        <w:rPr>
          <w:rFonts w:ascii="Times New Roman" w:hAnsi="Times New Roman" w:cs="Times New Roman"/>
          <w:sz w:val="24"/>
          <w:szCs w:val="24"/>
        </w:rPr>
        <w:t>Chrys-taller</w:t>
      </w:r>
      <w:proofErr w:type="spellEnd"/>
      <w:r w:rsidRPr="003451F6">
        <w:rPr>
          <w:rFonts w:ascii="Times New Roman" w:hAnsi="Times New Roman" w:cs="Times New Roman"/>
          <w:sz w:val="24"/>
          <w:szCs w:val="24"/>
        </w:rPr>
        <w:t xml:space="preserve"> e </w:t>
      </w:r>
      <w:proofErr w:type="spellStart"/>
      <w:r w:rsidRPr="003451F6">
        <w:rPr>
          <w:rFonts w:ascii="Times New Roman" w:hAnsi="Times New Roman" w:cs="Times New Roman"/>
          <w:sz w:val="24"/>
          <w:szCs w:val="24"/>
        </w:rPr>
        <w:t>Lösch</w:t>
      </w:r>
      <w:proofErr w:type="spellEnd"/>
      <w:r w:rsidRPr="003451F6">
        <w:rPr>
          <w:rFonts w:ascii="Times New Roman" w:hAnsi="Times New Roman" w:cs="Times New Roman"/>
          <w:sz w:val="24"/>
          <w:szCs w:val="24"/>
        </w:rPr>
        <w:t xml:space="preserve">, os processos cumulativos no crescimento regional de Myrdal, o conceito de um índice de potencial de mercado (Harris 1954), bem como o modelo de </w:t>
      </w:r>
      <w:proofErr w:type="spellStart"/>
      <w:r w:rsidRPr="003451F6">
        <w:rPr>
          <w:rFonts w:ascii="Times New Roman" w:hAnsi="Times New Roman" w:cs="Times New Roman"/>
          <w:sz w:val="24"/>
          <w:szCs w:val="24"/>
        </w:rPr>
        <w:t>Henderson</w:t>
      </w:r>
      <w:proofErr w:type="spellEnd"/>
      <w:r w:rsidRPr="003451F6">
        <w:rPr>
          <w:rFonts w:ascii="Times New Roman" w:hAnsi="Times New Roman" w:cs="Times New Roman"/>
          <w:sz w:val="24"/>
          <w:szCs w:val="24"/>
        </w:rPr>
        <w:t xml:space="preserve"> (1974) de formação da cidade. </w:t>
      </w:r>
    </w:p>
    <w:p w:rsidR="00E8719B" w:rsidRDefault="003451F6" w:rsidP="003451F6">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 literatura padrão da NGE está baseada na contribuição seminal do modelo centro-periferia, </w:t>
      </w:r>
      <w:proofErr w:type="spellStart"/>
      <w:r w:rsidRPr="003451F6">
        <w:rPr>
          <w:rFonts w:ascii="Times New Roman" w:hAnsi="Times New Roman" w:cs="Times New Roman"/>
          <w:sz w:val="24"/>
          <w:szCs w:val="24"/>
        </w:rPr>
        <w:t>intro-duzido</w:t>
      </w:r>
      <w:proofErr w:type="spellEnd"/>
      <w:r w:rsidRPr="003451F6">
        <w:rPr>
          <w:rFonts w:ascii="Times New Roman" w:hAnsi="Times New Roman" w:cs="Times New Roman"/>
          <w:sz w:val="24"/>
          <w:szCs w:val="24"/>
        </w:rPr>
        <w:t xml:space="preserve"> por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(1991a, b), que será a base teórica desse trabalho. No referido modelo, utilizam-se alguns mecanismos básicos para modelar uma economia em concorrência monopolista.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(1998) destaca que esses mecanismos são um conjunto de técnicas que permitem tratar os problemas da estrutura de mercados propostos pela suposição de que existem retornos crescentes à escala. São eles: a </w:t>
      </w:r>
      <w:proofErr w:type="spellStart"/>
      <w:r w:rsidRPr="003451F6">
        <w:rPr>
          <w:rFonts w:ascii="Times New Roman" w:hAnsi="Times New Roman" w:cs="Times New Roman"/>
          <w:sz w:val="24"/>
          <w:szCs w:val="24"/>
        </w:rPr>
        <w:t>concorrên-cia</w:t>
      </w:r>
      <w:proofErr w:type="spellEnd"/>
      <w:r w:rsidRPr="003451F6">
        <w:rPr>
          <w:rFonts w:ascii="Times New Roman" w:hAnsi="Times New Roman" w:cs="Times New Roman"/>
          <w:sz w:val="24"/>
          <w:szCs w:val="24"/>
        </w:rPr>
        <w:t xml:space="preserve"> monopolista de </w:t>
      </w:r>
      <w:proofErr w:type="spellStart"/>
      <w:r w:rsidRPr="003451F6">
        <w:rPr>
          <w:rFonts w:ascii="Times New Roman" w:hAnsi="Times New Roman" w:cs="Times New Roman"/>
          <w:sz w:val="24"/>
          <w:szCs w:val="24"/>
        </w:rPr>
        <w:t>Dixit</w:t>
      </w:r>
      <w:proofErr w:type="spellEnd"/>
      <w:r w:rsidRPr="003451F6">
        <w:rPr>
          <w:rFonts w:ascii="Times New Roman" w:hAnsi="Times New Roman" w:cs="Times New Roman"/>
          <w:sz w:val="24"/>
          <w:szCs w:val="24"/>
        </w:rPr>
        <w:t xml:space="preserve"> e Stiglitz e a evolução dos custos de transporte do tipo iceberg de Samuelson. O modelo centro-periferia incorpora os elementos acima descritos. Este modelo permite a derivação da </w:t>
      </w:r>
      <w:proofErr w:type="spellStart"/>
      <w:r w:rsidRPr="003451F6">
        <w:rPr>
          <w:rFonts w:ascii="Times New Roman" w:hAnsi="Times New Roman" w:cs="Times New Roman"/>
          <w:sz w:val="24"/>
          <w:szCs w:val="24"/>
        </w:rPr>
        <w:t>fun-ção</w:t>
      </w:r>
      <w:proofErr w:type="spellEnd"/>
      <w:r w:rsidRPr="003451F6">
        <w:rPr>
          <w:rFonts w:ascii="Times New Roman" w:hAnsi="Times New Roman" w:cs="Times New Roman"/>
          <w:sz w:val="24"/>
          <w:szCs w:val="24"/>
        </w:rPr>
        <w:t xml:space="preserve"> potencial de mercado, que neste trabalho será simplificada com o uso do indicador de acessibilidade, seguindo o apresentado por Silva (2011). O modelo centro-periferia de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é representado, em </w:t>
      </w:r>
      <w:proofErr w:type="spellStart"/>
      <w:r w:rsidRPr="003451F6">
        <w:rPr>
          <w:rFonts w:ascii="Times New Roman" w:hAnsi="Times New Roman" w:cs="Times New Roman"/>
          <w:sz w:val="24"/>
          <w:szCs w:val="24"/>
        </w:rPr>
        <w:t>sín-tese</w:t>
      </w:r>
      <w:proofErr w:type="spellEnd"/>
      <w:r w:rsidRPr="003451F6">
        <w:rPr>
          <w:rFonts w:ascii="Times New Roman" w:hAnsi="Times New Roman" w:cs="Times New Roman"/>
          <w:sz w:val="24"/>
          <w:szCs w:val="24"/>
        </w:rPr>
        <w:t>, pela seguinte equação:</w:t>
      </w:r>
      <w:r w:rsidR="00EB1DD5">
        <w:rPr>
          <w:rFonts w:ascii="Times New Roman" w:hAnsi="Times New Roman" w:cs="Times New Roman"/>
          <w:sz w:val="24"/>
          <w:szCs w:val="24"/>
        </w:rPr>
        <w:t xml:space="preserve"> </w:t>
      </w:r>
    </w:p>
    <w:p w:rsidR="00E8719B" w:rsidRPr="006E1F1E" w:rsidRDefault="00BE7E61" w:rsidP="00EB1DD5">
      <w:pPr>
        <w:tabs>
          <w:tab w:val="left" w:pos="8364"/>
        </w:tabs>
        <w:autoSpaceDE w:val="0"/>
        <w:autoSpaceDN w:val="0"/>
        <w:adjustRightInd w:val="0"/>
        <w:spacing w:line="240" w:lineRule="auto"/>
        <w:ind w:firstLine="2552"/>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D</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R</m:t>
                    </m:r>
                  </m:sup>
                  <m:e>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m:t>
                        </m:r>
                      </m:sub>
                    </m:sSub>
                  </m:e>
                </m:nary>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j</m:t>
                    </m:r>
                  </m:sub>
                  <m:sup>
                    <m:r>
                      <w:rPr>
                        <w:rFonts w:ascii="Cambria Math" w:hAnsi="Cambria Math" w:cs="Times New Roman"/>
                        <w:sz w:val="24"/>
                        <w:szCs w:val="24"/>
                      </w:rPr>
                      <m:t>σ-</m:t>
                    </m:r>
                    <m:r>
                      <w:rPr>
                        <w:rFonts w:ascii="Cambria Math" w:hAnsi="Times New Roman" w:cs="Times New Roman"/>
                        <w:sz w:val="24"/>
                        <w:szCs w:val="24"/>
                      </w:rPr>
                      <m:t>1</m:t>
                    </m:r>
                  </m:sup>
                </m:sSubSup>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σ</m:t>
                    </m:r>
                  </m:sup>
                </m:sSubSup>
              </m:e>
            </m:d>
          </m:e>
          <m:sup>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σ</m:t>
                </m:r>
              </m:den>
            </m:f>
          </m:sup>
        </m:sSup>
        <m:r>
          <w:rPr>
            <w:rFonts w:ascii="Cambria Math" w:hAnsi="Times New Roman" w:cs="Times New Roman"/>
            <w:sz w:val="24"/>
            <w:szCs w:val="24"/>
          </w:rPr>
          <m:t>=MA</m:t>
        </m:r>
      </m:oMath>
      <w:r w:rsidR="00E8719B">
        <w:rPr>
          <w:rFonts w:ascii="Times New Roman" w:eastAsiaTheme="minorEastAsia" w:hAnsi="Times New Roman" w:cs="Times New Roman"/>
          <w:sz w:val="24"/>
          <w:szCs w:val="24"/>
        </w:rPr>
        <w:t xml:space="preserve"> </w:t>
      </w:r>
      <w:r w:rsidR="00E8719B">
        <w:rPr>
          <w:rFonts w:ascii="Times New Roman" w:eastAsiaTheme="minorEastAsia" w:hAnsi="Times New Roman" w:cs="Times New Roman"/>
          <w:sz w:val="24"/>
          <w:szCs w:val="24"/>
        </w:rPr>
        <w:tab/>
      </w:r>
      <w:bookmarkStart w:id="2" w:name="equacao13"/>
      <w:r w:rsidR="00E8719B">
        <w:rPr>
          <w:rFonts w:ascii="Times New Roman" w:eastAsiaTheme="minorEastAsia" w:hAnsi="Times New Roman" w:cs="Times New Roman"/>
          <w:sz w:val="24"/>
          <w:szCs w:val="24"/>
        </w:rPr>
        <w:t>(1)</w:t>
      </w:r>
      <w:bookmarkEnd w:id="2"/>
    </w:p>
    <w:p w:rsidR="00E06A9D" w:rsidRDefault="00136E35" w:rsidP="0044685B">
      <w:pPr>
        <w:spacing w:after="0" w:line="240" w:lineRule="auto"/>
        <w:ind w:firstLine="454"/>
        <w:jc w:val="both"/>
        <w:rPr>
          <w:rFonts w:ascii="Times New Roman" w:hAnsi="Times New Roman" w:cs="Times New Roman"/>
          <w:sz w:val="24"/>
          <w:szCs w:val="24"/>
        </w:rPr>
      </w:pPr>
      <w:r w:rsidRPr="00136E35">
        <w:rPr>
          <w:rFonts w:ascii="Times New Roman" w:hAnsi="Times New Roman" w:cs="Times New Roman"/>
          <w:sz w:val="24"/>
          <w:szCs w:val="24"/>
        </w:rPr>
        <w:t>A equação acima é denominada por Reeding e Venables (2004) como Market Access (MA). O sal</w:t>
      </w:r>
      <w:r w:rsidRPr="00136E35">
        <w:rPr>
          <w:rFonts w:ascii="Times New Roman" w:hAnsi="Times New Roman" w:cs="Times New Roman"/>
          <w:sz w:val="24"/>
          <w:szCs w:val="24"/>
        </w:rPr>
        <w:t>á</w:t>
      </w:r>
      <w:r w:rsidRPr="00136E35">
        <w:rPr>
          <w:rFonts w:ascii="Times New Roman" w:hAnsi="Times New Roman" w:cs="Times New Roman"/>
          <w:sz w:val="24"/>
          <w:szCs w:val="24"/>
        </w:rPr>
        <w:t xml:space="preserve">rio </w:t>
      </w:r>
      <w:r w:rsidR="0091491D" w:rsidRPr="0091491D">
        <w:rPr>
          <w:rFonts w:ascii="Times New Roman" w:hAnsi="Times New Roman" w:cs="Times New Roman"/>
          <w:i/>
          <w:sz w:val="24"/>
          <w:szCs w:val="24"/>
        </w:rPr>
        <w:t>w</w:t>
      </w:r>
      <w:r w:rsidR="0091491D">
        <w:rPr>
          <w:rFonts w:ascii="Times New Roman" w:hAnsi="Times New Roman" w:cs="Times New Roman"/>
          <w:sz w:val="24"/>
          <w:szCs w:val="24"/>
        </w:rPr>
        <w:t xml:space="preserve"> </w:t>
      </w:r>
      <w:r w:rsidRPr="00136E35">
        <w:rPr>
          <w:rFonts w:ascii="Times New Roman" w:hAnsi="Times New Roman" w:cs="Times New Roman"/>
          <w:sz w:val="24"/>
          <w:szCs w:val="24"/>
        </w:rPr>
        <w:t>em cada localidade depende positivamente do nível de renda de cada um dos mercados que a e</w:t>
      </w:r>
      <w:r w:rsidRPr="00136E35">
        <w:rPr>
          <w:rFonts w:ascii="Times New Roman" w:hAnsi="Times New Roman" w:cs="Times New Roman"/>
          <w:sz w:val="24"/>
          <w:szCs w:val="24"/>
        </w:rPr>
        <w:t>m</w:t>
      </w:r>
      <w:r w:rsidRPr="00136E35">
        <w:rPr>
          <w:rFonts w:ascii="Times New Roman" w:hAnsi="Times New Roman" w:cs="Times New Roman"/>
          <w:sz w:val="24"/>
          <w:szCs w:val="24"/>
        </w:rPr>
        <w:t>presa atende (</w:t>
      </w:r>
      <w:r w:rsidRPr="00136E35">
        <w:rPr>
          <w:rFonts w:ascii="Times New Roman" w:hAnsi="Times New Roman" w:cs="Times New Roman"/>
          <w:i/>
          <w:sz w:val="24"/>
          <w:szCs w:val="24"/>
        </w:rPr>
        <w:t>E</w:t>
      </w:r>
      <w:r w:rsidRPr="00136E35">
        <w:rPr>
          <w:rFonts w:ascii="Times New Roman" w:hAnsi="Times New Roman" w:cs="Times New Roman"/>
          <w:i/>
          <w:sz w:val="24"/>
          <w:szCs w:val="24"/>
          <w:vertAlign w:val="subscript"/>
        </w:rPr>
        <w:t>j</w:t>
      </w:r>
      <w:r w:rsidRPr="00136E35">
        <w:rPr>
          <w:rFonts w:ascii="Times New Roman" w:hAnsi="Times New Roman" w:cs="Times New Roman"/>
          <w:sz w:val="24"/>
          <w:szCs w:val="24"/>
        </w:rPr>
        <w:t>), negativamente dos custos de transporte entre as diferentes localidades (</w:t>
      </w:r>
      <w:r w:rsidRPr="00136E35">
        <w:rPr>
          <w:rFonts w:ascii="Times New Roman" w:hAnsi="Times New Roman" w:cs="Times New Roman"/>
          <w:i/>
          <w:sz w:val="24"/>
          <w:szCs w:val="24"/>
        </w:rPr>
        <w:t>T</w:t>
      </w:r>
      <w:r w:rsidRPr="00136E35">
        <w:rPr>
          <w:rFonts w:ascii="Times New Roman" w:hAnsi="Times New Roman" w:cs="Times New Roman"/>
          <w:i/>
          <w:sz w:val="24"/>
          <w:szCs w:val="24"/>
          <w:vertAlign w:val="subscript"/>
        </w:rPr>
        <w:t>ij</w:t>
      </w:r>
      <w:r w:rsidRPr="00136E35">
        <w:rPr>
          <w:rFonts w:ascii="Times New Roman" w:hAnsi="Times New Roman" w:cs="Times New Roman"/>
          <w:sz w:val="24"/>
          <w:szCs w:val="24"/>
        </w:rPr>
        <w:t>) e positiv</w:t>
      </w:r>
      <w:r w:rsidRPr="00136E35">
        <w:rPr>
          <w:rFonts w:ascii="Times New Roman" w:hAnsi="Times New Roman" w:cs="Times New Roman"/>
          <w:sz w:val="24"/>
          <w:szCs w:val="24"/>
        </w:rPr>
        <w:t>a</w:t>
      </w:r>
      <w:r w:rsidRPr="00136E35">
        <w:rPr>
          <w:rFonts w:ascii="Times New Roman" w:hAnsi="Times New Roman" w:cs="Times New Roman"/>
          <w:sz w:val="24"/>
          <w:szCs w:val="24"/>
        </w:rPr>
        <w:t>mente do nível de preços nos diferentes mercados (</w:t>
      </w:r>
      <w:r w:rsidRPr="00136E35">
        <w:rPr>
          <w:rFonts w:ascii="Times New Roman" w:hAnsi="Times New Roman" w:cs="Times New Roman"/>
          <w:i/>
          <w:sz w:val="24"/>
          <w:szCs w:val="24"/>
        </w:rPr>
        <w:t>P</w:t>
      </w:r>
      <w:r w:rsidRPr="00136E35">
        <w:rPr>
          <w:rFonts w:ascii="Times New Roman" w:hAnsi="Times New Roman" w:cs="Times New Roman"/>
          <w:i/>
          <w:sz w:val="24"/>
          <w:szCs w:val="24"/>
          <w:vertAlign w:val="subscript"/>
        </w:rPr>
        <w:t>j</w:t>
      </w:r>
      <w:r w:rsidRPr="00136E35">
        <w:rPr>
          <w:rFonts w:ascii="Times New Roman" w:hAnsi="Times New Roman" w:cs="Times New Roman"/>
          <w:sz w:val="24"/>
          <w:szCs w:val="24"/>
        </w:rPr>
        <w:t>). O índice de preço diminui com o número de var</w:t>
      </w:r>
      <w:r w:rsidRPr="00136E35">
        <w:rPr>
          <w:rFonts w:ascii="Times New Roman" w:hAnsi="Times New Roman" w:cs="Times New Roman"/>
          <w:sz w:val="24"/>
          <w:szCs w:val="24"/>
        </w:rPr>
        <w:t>i</w:t>
      </w:r>
      <w:r w:rsidRPr="00136E35">
        <w:rPr>
          <w:rFonts w:ascii="Times New Roman" w:hAnsi="Times New Roman" w:cs="Times New Roman"/>
          <w:sz w:val="24"/>
          <w:szCs w:val="24"/>
        </w:rPr>
        <w:t xml:space="preserve">edades (empresas) o qual nos permite interpretá-lo como uma medida inversa do grau de concorrência. Portanto, o nível dos salários nominais da indústria na região </w:t>
      </w:r>
      <w:r w:rsidRPr="00136E35">
        <w:rPr>
          <w:rFonts w:ascii="Times New Roman" w:hAnsi="Times New Roman" w:cs="Times New Roman"/>
          <w:i/>
          <w:sz w:val="24"/>
          <w:szCs w:val="24"/>
        </w:rPr>
        <w:t>i</w:t>
      </w:r>
      <w:r w:rsidRPr="00136E35">
        <w:rPr>
          <w:rFonts w:ascii="Times New Roman" w:hAnsi="Times New Roman" w:cs="Times New Roman"/>
          <w:sz w:val="24"/>
          <w:szCs w:val="24"/>
        </w:rPr>
        <w:t xml:space="preserve"> depende de uma soma ponderada do poder de compra em todas as regiões acessíveis </w:t>
      </w:r>
      <w:r w:rsidRPr="00136E35">
        <w:rPr>
          <w:rFonts w:ascii="Times New Roman" w:hAnsi="Times New Roman" w:cs="Times New Roman"/>
          <w:i/>
          <w:sz w:val="24"/>
          <w:szCs w:val="24"/>
        </w:rPr>
        <w:t>j</w:t>
      </w:r>
      <w:r w:rsidRPr="00136E35">
        <w:rPr>
          <w:rFonts w:ascii="Times New Roman" w:hAnsi="Times New Roman" w:cs="Times New Roman"/>
          <w:sz w:val="24"/>
          <w:szCs w:val="24"/>
        </w:rPr>
        <w:t xml:space="preserve">, cujo fator de ponderação é o custo de transporte que decresce à medida que a distância entre as regiões </w:t>
      </w:r>
      <w:r w:rsidRPr="00136E35">
        <w:rPr>
          <w:rFonts w:ascii="Times New Roman" w:hAnsi="Times New Roman" w:cs="Times New Roman"/>
          <w:i/>
          <w:sz w:val="24"/>
          <w:szCs w:val="24"/>
        </w:rPr>
        <w:t>i</w:t>
      </w:r>
      <w:r w:rsidRPr="00136E35">
        <w:rPr>
          <w:rFonts w:ascii="Times New Roman" w:hAnsi="Times New Roman" w:cs="Times New Roman"/>
          <w:sz w:val="24"/>
          <w:szCs w:val="24"/>
        </w:rPr>
        <w:t xml:space="preserve"> e </w:t>
      </w:r>
      <w:r w:rsidRPr="00136E35">
        <w:rPr>
          <w:rFonts w:ascii="Times New Roman" w:hAnsi="Times New Roman" w:cs="Times New Roman"/>
          <w:i/>
          <w:sz w:val="24"/>
          <w:szCs w:val="24"/>
        </w:rPr>
        <w:t>j</w:t>
      </w:r>
      <w:r w:rsidRPr="00136E35">
        <w:rPr>
          <w:rFonts w:ascii="Times New Roman" w:hAnsi="Times New Roman" w:cs="Times New Roman"/>
          <w:sz w:val="24"/>
          <w:szCs w:val="24"/>
        </w:rPr>
        <w:t xml:space="preserve"> diminui. Por conseguinte, aquelas regiões com bom acesso a grandes mercados tenderão a pagar salários mais altos como decorrência de reduções nos custos de tran</w:t>
      </w:r>
      <w:r w:rsidRPr="00136E35">
        <w:rPr>
          <w:rFonts w:ascii="Times New Roman" w:hAnsi="Times New Roman" w:cs="Times New Roman"/>
          <w:sz w:val="24"/>
          <w:szCs w:val="24"/>
        </w:rPr>
        <w:t>s</w:t>
      </w:r>
      <w:r w:rsidRPr="00136E35">
        <w:rPr>
          <w:rFonts w:ascii="Times New Roman" w:hAnsi="Times New Roman" w:cs="Times New Roman"/>
          <w:sz w:val="24"/>
          <w:szCs w:val="24"/>
        </w:rPr>
        <w:t>portes. Por essa formulação, o acesso ao mercado é o que determina o salário nominal de uma região ofe</w:t>
      </w:r>
      <w:r w:rsidRPr="00136E35">
        <w:rPr>
          <w:rFonts w:ascii="Times New Roman" w:hAnsi="Times New Roman" w:cs="Times New Roman"/>
          <w:sz w:val="24"/>
          <w:szCs w:val="24"/>
        </w:rPr>
        <w:t>r</w:t>
      </w:r>
      <w:r w:rsidRPr="00136E35">
        <w:rPr>
          <w:rFonts w:ascii="Times New Roman" w:hAnsi="Times New Roman" w:cs="Times New Roman"/>
          <w:sz w:val="24"/>
          <w:szCs w:val="24"/>
        </w:rPr>
        <w:t>tante. Pode-se notar que o modelo tem dois tipos de forças que afetam a localização das empresas: forças centrípetas (que atraem as empresas para os locais centrais) e forças centrífugas (excluindo-as dos locais centrais). O primeiro tipo de forças seria dado pelo índice de preços que cria ligações no lado da demanda e dos custos, pela mobilidade inter-regional dos trabalhadores industriais. O segundo tipo de força é d</w:t>
      </w:r>
      <w:r w:rsidRPr="00136E35">
        <w:rPr>
          <w:rFonts w:ascii="Times New Roman" w:hAnsi="Times New Roman" w:cs="Times New Roman"/>
          <w:sz w:val="24"/>
          <w:szCs w:val="24"/>
        </w:rPr>
        <w:t>e</w:t>
      </w:r>
      <w:r w:rsidRPr="00136E35">
        <w:rPr>
          <w:rFonts w:ascii="Times New Roman" w:hAnsi="Times New Roman" w:cs="Times New Roman"/>
          <w:sz w:val="24"/>
          <w:szCs w:val="24"/>
        </w:rPr>
        <w:t>terminado pelos efeitos da concorrência, tanto no mercado de produtos como no de fatores, que eliminam os lucros das empresas.</w:t>
      </w:r>
      <w:r w:rsidR="00E8719B">
        <w:rPr>
          <w:rFonts w:ascii="Times New Roman" w:hAnsi="Times New Roman" w:cs="Times New Roman"/>
          <w:sz w:val="24"/>
          <w:szCs w:val="24"/>
        </w:rPr>
        <w:t xml:space="preserve"> </w:t>
      </w:r>
    </w:p>
    <w:p w:rsidR="00E8719B" w:rsidRDefault="00F55B4C" w:rsidP="00E10B09">
      <w:pPr>
        <w:autoSpaceDE w:val="0"/>
        <w:autoSpaceDN w:val="0"/>
        <w:adjustRightInd w:val="0"/>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A </w:t>
      </w:r>
      <w:r w:rsidR="009F74BC">
        <w:rPr>
          <w:rFonts w:ascii="Times New Roman" w:hAnsi="Times New Roman" w:cs="Times New Roman"/>
          <w:sz w:val="24"/>
          <w:szCs w:val="24"/>
        </w:rPr>
        <w:t xml:space="preserve">estimação da equação </w:t>
      </w:r>
      <w:r w:rsidR="001D25FA">
        <w:rPr>
          <w:rFonts w:ascii="Times New Roman" w:eastAsiaTheme="minorEastAsia" w:hAnsi="Times New Roman" w:cs="Times New Roman"/>
          <w:sz w:val="24"/>
          <w:szCs w:val="24"/>
        </w:rPr>
        <w:t>(1)</w:t>
      </w:r>
      <w:r w:rsidR="009F74BC">
        <w:rPr>
          <w:rFonts w:ascii="Times New Roman" w:hAnsi="Times New Roman" w:cs="Times New Roman"/>
          <w:sz w:val="24"/>
          <w:szCs w:val="24"/>
        </w:rPr>
        <w:t xml:space="preserve">, potencial de mercado, </w:t>
      </w:r>
      <w:r w:rsidR="00E06A9D">
        <w:rPr>
          <w:rFonts w:ascii="Times New Roman" w:hAnsi="Times New Roman" w:cs="Times New Roman"/>
          <w:sz w:val="24"/>
          <w:szCs w:val="24"/>
        </w:rPr>
        <w:t>apresenta muitas dificuldades</w:t>
      </w:r>
      <w:r w:rsidR="009F74BC">
        <w:rPr>
          <w:rFonts w:ascii="Times New Roman" w:hAnsi="Times New Roman" w:cs="Times New Roman"/>
          <w:sz w:val="24"/>
          <w:szCs w:val="24"/>
        </w:rPr>
        <w:t xml:space="preserve"> incluindo </w:t>
      </w:r>
      <w:r w:rsidR="009F74BC" w:rsidRPr="009F74BC">
        <w:rPr>
          <w:rFonts w:ascii="Times New Roman" w:hAnsi="Times New Roman" w:cs="Times New Roman"/>
          <w:sz w:val="24"/>
          <w:szCs w:val="24"/>
        </w:rPr>
        <w:t>dois pr</w:t>
      </w:r>
      <w:r w:rsidR="009F74BC" w:rsidRPr="009F74BC">
        <w:rPr>
          <w:rFonts w:ascii="Times New Roman" w:hAnsi="Times New Roman" w:cs="Times New Roman"/>
          <w:sz w:val="24"/>
          <w:szCs w:val="24"/>
        </w:rPr>
        <w:t>o</w:t>
      </w:r>
      <w:r w:rsidR="009F74BC" w:rsidRPr="009F74BC">
        <w:rPr>
          <w:rFonts w:ascii="Times New Roman" w:hAnsi="Times New Roman" w:cs="Times New Roman"/>
          <w:sz w:val="24"/>
          <w:szCs w:val="24"/>
        </w:rPr>
        <w:t>blemas econométricos importantes: dado que essa equação é não linear, devem-se empregar técnicas de estimação não linear</w:t>
      </w:r>
      <w:r w:rsidR="002F328A">
        <w:rPr>
          <w:rFonts w:ascii="Times New Roman" w:hAnsi="Times New Roman" w:cs="Times New Roman"/>
          <w:sz w:val="24"/>
          <w:szCs w:val="24"/>
        </w:rPr>
        <w:t xml:space="preserve">. Além disso, </w:t>
      </w:r>
      <w:r w:rsidR="009F74BC" w:rsidRPr="009F74BC">
        <w:rPr>
          <w:rFonts w:ascii="Times New Roman" w:hAnsi="Times New Roman" w:cs="Times New Roman"/>
          <w:sz w:val="24"/>
          <w:szCs w:val="24"/>
        </w:rPr>
        <w:t xml:space="preserve">é também </w:t>
      </w:r>
      <w:r w:rsidR="00486FEF">
        <w:rPr>
          <w:rFonts w:ascii="Times New Roman" w:hAnsi="Times New Roman" w:cs="Times New Roman"/>
          <w:sz w:val="24"/>
          <w:szCs w:val="24"/>
        </w:rPr>
        <w:t xml:space="preserve">frequente </w:t>
      </w:r>
      <w:r w:rsidR="002F328A">
        <w:rPr>
          <w:rFonts w:ascii="Times New Roman" w:hAnsi="Times New Roman" w:cs="Times New Roman"/>
          <w:sz w:val="24"/>
          <w:szCs w:val="24"/>
        </w:rPr>
        <w:t xml:space="preserve">ocorrer </w:t>
      </w:r>
      <w:r w:rsidR="009F74BC" w:rsidRPr="009F74BC">
        <w:rPr>
          <w:rFonts w:ascii="Times New Roman" w:hAnsi="Times New Roman" w:cs="Times New Roman"/>
          <w:sz w:val="24"/>
          <w:szCs w:val="24"/>
        </w:rPr>
        <w:t xml:space="preserve">problemas com endogeneidade que podem viesar a estimação dos parâmetros. </w:t>
      </w:r>
      <w:r w:rsidR="002F328A">
        <w:rPr>
          <w:rFonts w:ascii="Times New Roman" w:hAnsi="Times New Roman" w:cs="Times New Roman"/>
          <w:sz w:val="24"/>
          <w:szCs w:val="24"/>
        </w:rPr>
        <w:t xml:space="preserve">Também, </w:t>
      </w:r>
      <w:r w:rsidR="009F74BC" w:rsidRPr="009F74BC">
        <w:rPr>
          <w:rFonts w:ascii="Times New Roman" w:hAnsi="Times New Roman" w:cs="Times New Roman"/>
          <w:sz w:val="24"/>
          <w:szCs w:val="24"/>
        </w:rPr>
        <w:t>não há disponibilidade de índice de preços dos produtos manufaturados (</w:t>
      </w:r>
      <w:r w:rsidR="009F74BC" w:rsidRPr="002F328A">
        <w:rPr>
          <w:rFonts w:ascii="Times New Roman" w:hAnsi="Times New Roman" w:cs="Times New Roman"/>
          <w:i/>
          <w:sz w:val="24"/>
          <w:szCs w:val="24"/>
        </w:rPr>
        <w:t>p</w:t>
      </w:r>
      <w:r w:rsidR="009F74BC" w:rsidRPr="002F328A">
        <w:rPr>
          <w:rFonts w:ascii="Times New Roman" w:hAnsi="Times New Roman" w:cs="Times New Roman"/>
          <w:i/>
          <w:sz w:val="24"/>
          <w:szCs w:val="24"/>
          <w:vertAlign w:val="subscript"/>
        </w:rPr>
        <w:t>i</w:t>
      </w:r>
      <w:r w:rsidR="009F74BC" w:rsidRPr="009F74BC">
        <w:rPr>
          <w:rFonts w:ascii="Times New Roman" w:hAnsi="Times New Roman" w:cs="Times New Roman"/>
          <w:sz w:val="24"/>
          <w:szCs w:val="24"/>
        </w:rPr>
        <w:t>) a nenhum nível de agregação regional. A solução geralmente encontrada é utilizar o modelo potencial de mercado de Harris (1954), tal como é feito neste trabalho, do qual se deriva o indic</w:t>
      </w:r>
      <w:r w:rsidR="009F74BC" w:rsidRPr="009F74BC">
        <w:rPr>
          <w:rFonts w:ascii="Times New Roman" w:hAnsi="Times New Roman" w:cs="Times New Roman"/>
          <w:sz w:val="24"/>
          <w:szCs w:val="24"/>
        </w:rPr>
        <w:t>a</w:t>
      </w:r>
      <w:r w:rsidR="009F74BC" w:rsidRPr="009F74BC">
        <w:rPr>
          <w:rFonts w:ascii="Times New Roman" w:hAnsi="Times New Roman" w:cs="Times New Roman"/>
          <w:sz w:val="24"/>
          <w:szCs w:val="24"/>
        </w:rPr>
        <w:t>dor de acessibilidade.</w:t>
      </w:r>
      <w:r w:rsidR="009F74BC">
        <w:rPr>
          <w:rFonts w:ascii="Times New Roman" w:hAnsi="Times New Roman" w:cs="Times New Roman"/>
          <w:sz w:val="24"/>
          <w:szCs w:val="24"/>
        </w:rPr>
        <w:t xml:space="preserve"> Apesar dos problemas </w:t>
      </w:r>
      <w:r w:rsidR="00A5490C">
        <w:rPr>
          <w:rFonts w:ascii="Times New Roman" w:hAnsi="Times New Roman" w:cs="Times New Roman"/>
          <w:sz w:val="24"/>
          <w:szCs w:val="24"/>
        </w:rPr>
        <w:t xml:space="preserve">envolvendo a equação de potencial de mercado, </w:t>
      </w:r>
      <w:r w:rsidR="00E8719B">
        <w:rPr>
          <w:rFonts w:ascii="Times New Roman" w:hAnsi="Times New Roman" w:cs="Times New Roman"/>
          <w:sz w:val="24"/>
          <w:szCs w:val="24"/>
        </w:rPr>
        <w:t>alguns tr</w:t>
      </w:r>
      <w:r w:rsidR="00E8719B">
        <w:rPr>
          <w:rFonts w:ascii="Times New Roman" w:hAnsi="Times New Roman" w:cs="Times New Roman"/>
          <w:sz w:val="24"/>
          <w:szCs w:val="24"/>
        </w:rPr>
        <w:t>a</w:t>
      </w:r>
      <w:r w:rsidR="00E8719B">
        <w:rPr>
          <w:rFonts w:ascii="Times New Roman" w:hAnsi="Times New Roman" w:cs="Times New Roman"/>
          <w:sz w:val="24"/>
          <w:szCs w:val="24"/>
        </w:rPr>
        <w:lastRenderedPageBreak/>
        <w:t xml:space="preserve">balhos testando </w:t>
      </w:r>
      <w:r w:rsidR="00076112">
        <w:rPr>
          <w:rFonts w:ascii="Times New Roman" w:hAnsi="Times New Roman" w:cs="Times New Roman"/>
          <w:sz w:val="24"/>
          <w:szCs w:val="24"/>
        </w:rPr>
        <w:t xml:space="preserve">seus argumentos </w:t>
      </w:r>
      <w:r w:rsidR="00A5490C">
        <w:rPr>
          <w:rFonts w:ascii="Times New Roman" w:hAnsi="Times New Roman" w:cs="Times New Roman"/>
          <w:sz w:val="24"/>
          <w:szCs w:val="24"/>
        </w:rPr>
        <w:t xml:space="preserve">já foram realizados. </w:t>
      </w:r>
      <w:r w:rsidR="009F74BC">
        <w:rPr>
          <w:rFonts w:ascii="Times New Roman" w:hAnsi="Times New Roman" w:cs="Times New Roman"/>
          <w:sz w:val="24"/>
          <w:szCs w:val="24"/>
        </w:rPr>
        <w:t xml:space="preserve">Entre eles: </w:t>
      </w:r>
      <w:r w:rsidR="00E8719B">
        <w:rPr>
          <w:rFonts w:ascii="Times New Roman" w:hAnsi="Times New Roman" w:cs="Times New Roman"/>
          <w:sz w:val="24"/>
          <w:szCs w:val="24"/>
        </w:rPr>
        <w:t>Puga e Venables (1996), Ottaviano e Pinelli (2006) e, aplicado ao Brasil, Silveira Neto</w:t>
      </w:r>
      <w:r w:rsidR="00E8719B">
        <w:rPr>
          <w:rStyle w:val="Refdenotaderodap"/>
          <w:rFonts w:ascii="Times New Roman" w:hAnsi="Times New Roman" w:cs="Times New Roman"/>
          <w:sz w:val="24"/>
          <w:szCs w:val="24"/>
        </w:rPr>
        <w:footnoteReference w:id="3"/>
      </w:r>
      <w:r w:rsidR="00E8719B">
        <w:rPr>
          <w:rFonts w:ascii="Times New Roman" w:hAnsi="Times New Roman" w:cs="Times New Roman"/>
          <w:sz w:val="24"/>
          <w:szCs w:val="24"/>
        </w:rPr>
        <w:t xml:space="preserve"> (2002), (2005).</w:t>
      </w:r>
      <w:r w:rsidR="00E06A9D">
        <w:rPr>
          <w:rFonts w:ascii="Times New Roman" w:hAnsi="Times New Roman" w:cs="Times New Roman"/>
          <w:sz w:val="24"/>
          <w:szCs w:val="24"/>
        </w:rPr>
        <w:t xml:space="preserve"> </w:t>
      </w:r>
    </w:p>
    <w:p w:rsidR="00E8719B" w:rsidRDefault="00E8719B" w:rsidP="001A6AC1">
      <w:pPr>
        <w:pStyle w:val="Ttulo2"/>
        <w:spacing w:after="0" w:line="240" w:lineRule="auto"/>
        <w:ind w:left="567" w:hanging="567"/>
      </w:pPr>
      <w:bookmarkStart w:id="3" w:name="_Ref279846354"/>
      <w:bookmarkStart w:id="4" w:name="_Toc282363976"/>
      <w:r>
        <w:t>Determinantes da aglomeração – Novas abordagens à NGE</w:t>
      </w:r>
      <w:bookmarkEnd w:id="3"/>
      <w:bookmarkEnd w:id="4"/>
    </w:p>
    <w:p w:rsidR="003451F6" w:rsidRPr="003451F6" w:rsidRDefault="003451F6" w:rsidP="003451F6">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Novas abordagens complementares à NGE têm surgido para explicar os processos de aglomerações. Esses trabalhos empíricos buscam testar as hipóteses do modelo básico da NGE levando em conta um conjunto de três alternativas que incorporam novas variáveis, as quais são: 1) as variáveis que medem as vantagens naturais (clima, recursos naturais, etc.), também conhecidas como elementos de primeira </w:t>
      </w:r>
      <w:proofErr w:type="spellStart"/>
      <w:r w:rsidRPr="003451F6">
        <w:rPr>
          <w:rFonts w:ascii="Times New Roman" w:hAnsi="Times New Roman" w:cs="Times New Roman"/>
          <w:sz w:val="24"/>
          <w:szCs w:val="24"/>
        </w:rPr>
        <w:t>natu-reza</w:t>
      </w:r>
      <w:proofErr w:type="spellEnd"/>
      <w:r w:rsidRPr="003451F6">
        <w:rPr>
          <w:rFonts w:ascii="Times New Roman" w:hAnsi="Times New Roman" w:cs="Times New Roman"/>
          <w:sz w:val="24"/>
          <w:szCs w:val="24"/>
        </w:rPr>
        <w:t xml:space="preserve">, abordadas por Gallup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al. (1999), Ellison e </w:t>
      </w:r>
      <w:proofErr w:type="spellStart"/>
      <w:r w:rsidRPr="003451F6">
        <w:rPr>
          <w:rFonts w:ascii="Times New Roman" w:hAnsi="Times New Roman" w:cs="Times New Roman"/>
          <w:sz w:val="24"/>
          <w:szCs w:val="24"/>
        </w:rPr>
        <w:t>Glaeser</w:t>
      </w:r>
      <w:proofErr w:type="spellEnd"/>
      <w:r w:rsidRPr="003451F6">
        <w:rPr>
          <w:rFonts w:ascii="Times New Roman" w:hAnsi="Times New Roman" w:cs="Times New Roman"/>
          <w:sz w:val="24"/>
          <w:szCs w:val="24"/>
        </w:rPr>
        <w:t xml:space="preserve"> (1999), </w:t>
      </w:r>
      <w:proofErr w:type="spellStart"/>
      <w:r w:rsidRPr="003451F6">
        <w:rPr>
          <w:rFonts w:ascii="Times New Roman" w:hAnsi="Times New Roman" w:cs="Times New Roman"/>
          <w:sz w:val="24"/>
          <w:szCs w:val="24"/>
        </w:rPr>
        <w:t>Glaeser</w:t>
      </w:r>
      <w:proofErr w:type="spellEnd"/>
      <w:r w:rsidRPr="003451F6">
        <w:rPr>
          <w:rFonts w:ascii="Times New Roman" w:hAnsi="Times New Roman" w:cs="Times New Roman"/>
          <w:sz w:val="24"/>
          <w:szCs w:val="24"/>
        </w:rPr>
        <w:t xml:space="preserve"> </w:t>
      </w:r>
      <w:proofErr w:type="spellStart"/>
      <w:r w:rsidRPr="003451F6">
        <w:rPr>
          <w:rFonts w:ascii="Times New Roman" w:hAnsi="Times New Roman" w:cs="Times New Roman"/>
          <w:sz w:val="24"/>
          <w:szCs w:val="24"/>
        </w:rPr>
        <w:t>et</w:t>
      </w:r>
      <w:proofErr w:type="spellEnd"/>
      <w:r w:rsidRPr="003451F6">
        <w:rPr>
          <w:rFonts w:ascii="Times New Roman" w:hAnsi="Times New Roman" w:cs="Times New Roman"/>
          <w:sz w:val="24"/>
          <w:szCs w:val="24"/>
        </w:rPr>
        <w:t xml:space="preserve"> al. (1995) e </w:t>
      </w:r>
      <w:proofErr w:type="spellStart"/>
      <w:r w:rsidRPr="003451F6">
        <w:rPr>
          <w:rFonts w:ascii="Times New Roman" w:hAnsi="Times New Roman" w:cs="Times New Roman"/>
          <w:sz w:val="24"/>
          <w:szCs w:val="24"/>
        </w:rPr>
        <w:t>Krugman</w:t>
      </w:r>
      <w:proofErr w:type="spellEnd"/>
      <w:r w:rsidRPr="003451F6">
        <w:rPr>
          <w:rFonts w:ascii="Times New Roman" w:hAnsi="Times New Roman" w:cs="Times New Roman"/>
          <w:sz w:val="24"/>
          <w:szCs w:val="24"/>
        </w:rPr>
        <w:t xml:space="preserve"> (1993); b) as variáveis que captam as </w:t>
      </w:r>
      <w:proofErr w:type="spellStart"/>
      <w:r w:rsidRPr="003451F6">
        <w:rPr>
          <w:rFonts w:ascii="Times New Roman" w:hAnsi="Times New Roman" w:cs="Times New Roman"/>
          <w:sz w:val="24"/>
          <w:szCs w:val="24"/>
        </w:rPr>
        <w:t>externalidades</w:t>
      </w:r>
      <w:proofErr w:type="spellEnd"/>
      <w:r w:rsidRPr="003451F6">
        <w:rPr>
          <w:rFonts w:ascii="Times New Roman" w:hAnsi="Times New Roman" w:cs="Times New Roman"/>
          <w:sz w:val="24"/>
          <w:szCs w:val="24"/>
        </w:rPr>
        <w:t xml:space="preserve"> geradas pelo capital humano, ou seja, que relacionam o retorno da qualificação em um dado local ao número de trabalhadores qualificados lá estabelecidos. Supõe-se que regiões dotadas de alta qualificação tendem a atrair grande número de trabalhadores </w:t>
      </w:r>
      <w:proofErr w:type="spellStart"/>
      <w:r w:rsidRPr="003451F6">
        <w:rPr>
          <w:rFonts w:ascii="Times New Roman" w:hAnsi="Times New Roman" w:cs="Times New Roman"/>
          <w:sz w:val="24"/>
          <w:szCs w:val="24"/>
        </w:rPr>
        <w:t>qualifi-cados</w:t>
      </w:r>
      <w:proofErr w:type="spellEnd"/>
      <w:r w:rsidRPr="003451F6">
        <w:rPr>
          <w:rFonts w:ascii="Times New Roman" w:hAnsi="Times New Roman" w:cs="Times New Roman"/>
          <w:sz w:val="24"/>
          <w:szCs w:val="24"/>
        </w:rPr>
        <w:t>; c) variáveis que captam as</w:t>
      </w:r>
      <w:r w:rsidRPr="003451F6">
        <w:rPr>
          <w:rFonts w:ascii="Times New Roman" w:hAnsi="Times New Roman" w:cs="Times New Roman"/>
          <w:sz w:val="24"/>
          <w:szCs w:val="24"/>
        </w:rPr>
        <w:tab/>
      </w:r>
      <w:proofErr w:type="spellStart"/>
      <w:r w:rsidRPr="003451F6">
        <w:rPr>
          <w:rFonts w:ascii="Times New Roman" w:hAnsi="Times New Roman" w:cs="Times New Roman"/>
          <w:sz w:val="24"/>
          <w:szCs w:val="24"/>
        </w:rPr>
        <w:t>externalidades</w:t>
      </w:r>
      <w:proofErr w:type="spellEnd"/>
      <w:r w:rsidRPr="003451F6">
        <w:rPr>
          <w:rFonts w:ascii="Times New Roman" w:hAnsi="Times New Roman" w:cs="Times New Roman"/>
          <w:sz w:val="24"/>
          <w:szCs w:val="24"/>
        </w:rPr>
        <w:t xml:space="preserve"> tecnológica/difusão do conhecimento (</w:t>
      </w:r>
      <w:proofErr w:type="spellStart"/>
      <w:r w:rsidRPr="003451F6">
        <w:rPr>
          <w:rFonts w:ascii="Times New Roman" w:hAnsi="Times New Roman" w:cs="Times New Roman"/>
          <w:sz w:val="24"/>
          <w:szCs w:val="24"/>
        </w:rPr>
        <w:t>Knowledge</w:t>
      </w:r>
      <w:proofErr w:type="spellEnd"/>
      <w:r w:rsidRPr="003451F6">
        <w:rPr>
          <w:rFonts w:ascii="Times New Roman" w:hAnsi="Times New Roman" w:cs="Times New Roman"/>
          <w:sz w:val="24"/>
          <w:szCs w:val="24"/>
        </w:rPr>
        <w:t xml:space="preserve"> </w:t>
      </w:r>
      <w:proofErr w:type="spellStart"/>
      <w:r w:rsidRPr="003451F6">
        <w:rPr>
          <w:rFonts w:ascii="Times New Roman" w:hAnsi="Times New Roman" w:cs="Times New Roman"/>
          <w:sz w:val="24"/>
          <w:szCs w:val="24"/>
        </w:rPr>
        <w:t>spillovers</w:t>
      </w:r>
      <w:proofErr w:type="spellEnd"/>
      <w:r w:rsidRPr="003451F6">
        <w:rPr>
          <w:rFonts w:ascii="Times New Roman" w:hAnsi="Times New Roman" w:cs="Times New Roman"/>
          <w:sz w:val="24"/>
          <w:szCs w:val="24"/>
        </w:rPr>
        <w:t>), no qual os produtores se beneficiam da proximidade espacial com produtores do mesmo setor via fluxo de conhecimento produtivo.</w:t>
      </w:r>
    </w:p>
    <w:p w:rsidR="003451F6" w:rsidRPr="003451F6" w:rsidRDefault="003451F6" w:rsidP="003451F6">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A geografia física é altamente diferenciada entre as regiões e essas diferenças impactam no </w:t>
      </w:r>
      <w:proofErr w:type="spellStart"/>
      <w:r w:rsidRPr="003451F6">
        <w:rPr>
          <w:rFonts w:ascii="Times New Roman" w:hAnsi="Times New Roman" w:cs="Times New Roman"/>
          <w:sz w:val="24"/>
          <w:szCs w:val="24"/>
        </w:rPr>
        <w:t>desen-volvimento</w:t>
      </w:r>
      <w:proofErr w:type="spellEnd"/>
      <w:r w:rsidRPr="003451F6">
        <w:rPr>
          <w:rFonts w:ascii="Times New Roman" w:hAnsi="Times New Roman" w:cs="Times New Roman"/>
          <w:sz w:val="24"/>
          <w:szCs w:val="24"/>
        </w:rPr>
        <w:t xml:space="preserve"> econômico de determinada região. A localização e o clima, por exemplo, têm grandes </w:t>
      </w:r>
      <w:proofErr w:type="spellStart"/>
      <w:r w:rsidRPr="003451F6">
        <w:rPr>
          <w:rFonts w:ascii="Times New Roman" w:hAnsi="Times New Roman" w:cs="Times New Roman"/>
          <w:sz w:val="24"/>
          <w:szCs w:val="24"/>
        </w:rPr>
        <w:t>impac-tos</w:t>
      </w:r>
      <w:proofErr w:type="spellEnd"/>
      <w:r w:rsidRPr="003451F6">
        <w:rPr>
          <w:rFonts w:ascii="Times New Roman" w:hAnsi="Times New Roman" w:cs="Times New Roman"/>
          <w:sz w:val="24"/>
          <w:szCs w:val="24"/>
        </w:rPr>
        <w:t xml:space="preserve"> sobre os níveis de renda, bem como sobre o seu crescimento, via mudança nos custos de transporte, na produtividade agrícola, entre outros canais (GALLUP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w:t>
      </w:r>
      <w:proofErr w:type="spellStart"/>
      <w:r w:rsidRPr="003451F6">
        <w:rPr>
          <w:rFonts w:ascii="Times New Roman" w:hAnsi="Times New Roman" w:cs="Times New Roman"/>
          <w:sz w:val="24"/>
          <w:szCs w:val="24"/>
        </w:rPr>
        <w:t>al</w:t>
      </w:r>
      <w:proofErr w:type="spellEnd"/>
      <w:r w:rsidRPr="003451F6">
        <w:rPr>
          <w:rFonts w:ascii="Times New Roman" w:hAnsi="Times New Roman" w:cs="Times New Roman"/>
          <w:sz w:val="24"/>
          <w:szCs w:val="24"/>
        </w:rPr>
        <w:t xml:space="preserve"> 1999). A NGE, por outro lado, demonstra c</w:t>
      </w:r>
      <w:r w:rsidRPr="003451F6">
        <w:rPr>
          <w:rFonts w:ascii="Times New Roman" w:hAnsi="Times New Roman" w:cs="Times New Roman"/>
          <w:sz w:val="24"/>
          <w:szCs w:val="24"/>
        </w:rPr>
        <w:t>o</w:t>
      </w:r>
      <w:r w:rsidRPr="003451F6">
        <w:rPr>
          <w:rFonts w:ascii="Times New Roman" w:hAnsi="Times New Roman" w:cs="Times New Roman"/>
          <w:sz w:val="24"/>
          <w:szCs w:val="24"/>
        </w:rPr>
        <w:t>mo rendimentos crescentes à escala dos fatores de produção, as economias de aglomeração, os custos de transporte e a diferenciação de produtos podem levar a uma organização espacial altamente diferenciada da atividade econômica entre regiões (países ou municípios), até mesmo quando as condições físicas su</w:t>
      </w:r>
      <w:r w:rsidRPr="003451F6">
        <w:rPr>
          <w:rFonts w:ascii="Times New Roman" w:hAnsi="Times New Roman" w:cs="Times New Roman"/>
          <w:sz w:val="24"/>
          <w:szCs w:val="24"/>
        </w:rPr>
        <w:t>b</w:t>
      </w:r>
      <w:r w:rsidRPr="003451F6">
        <w:rPr>
          <w:rFonts w:ascii="Times New Roman" w:hAnsi="Times New Roman" w:cs="Times New Roman"/>
          <w:sz w:val="24"/>
          <w:szCs w:val="24"/>
        </w:rPr>
        <w:t xml:space="preserve">jacentes não são diferenciadas entre essas regiões (FUJITA; KRUGMAN; VENABLES, 2002). Gallup </w:t>
      </w:r>
      <w:proofErr w:type="spellStart"/>
      <w:proofErr w:type="gramStart"/>
      <w:r w:rsidRPr="003451F6">
        <w:rPr>
          <w:rFonts w:ascii="Times New Roman" w:hAnsi="Times New Roman" w:cs="Times New Roman"/>
          <w:sz w:val="24"/>
          <w:szCs w:val="24"/>
        </w:rPr>
        <w:t>et</w:t>
      </w:r>
      <w:proofErr w:type="spellEnd"/>
      <w:proofErr w:type="gramEnd"/>
      <w:r w:rsidRPr="003451F6">
        <w:rPr>
          <w:rFonts w:ascii="Times New Roman" w:hAnsi="Times New Roman" w:cs="Times New Roman"/>
          <w:sz w:val="24"/>
          <w:szCs w:val="24"/>
        </w:rPr>
        <w:t xml:space="preserve"> </w:t>
      </w:r>
      <w:proofErr w:type="spellStart"/>
      <w:r w:rsidRPr="003451F6">
        <w:rPr>
          <w:rFonts w:ascii="Times New Roman" w:hAnsi="Times New Roman" w:cs="Times New Roman"/>
          <w:sz w:val="24"/>
          <w:szCs w:val="24"/>
        </w:rPr>
        <w:t>al</w:t>
      </w:r>
      <w:proofErr w:type="spellEnd"/>
      <w:r w:rsidRPr="003451F6">
        <w:rPr>
          <w:rFonts w:ascii="Times New Roman" w:hAnsi="Times New Roman" w:cs="Times New Roman"/>
          <w:sz w:val="24"/>
          <w:szCs w:val="24"/>
        </w:rPr>
        <w:t xml:space="preserve"> (1999) afirmam que essas duas abordagens (a da geografia física e da  NGE) são complementares. Uma cidade pode surgir, inicialmente, porque </w:t>
      </w:r>
      <w:proofErr w:type="gramStart"/>
      <w:r w:rsidRPr="003451F6">
        <w:rPr>
          <w:rFonts w:ascii="Times New Roman" w:hAnsi="Times New Roman" w:cs="Times New Roman"/>
          <w:sz w:val="24"/>
          <w:szCs w:val="24"/>
        </w:rPr>
        <w:t>tem</w:t>
      </w:r>
      <w:proofErr w:type="gramEnd"/>
      <w:r w:rsidRPr="003451F6">
        <w:rPr>
          <w:rFonts w:ascii="Times New Roman" w:hAnsi="Times New Roman" w:cs="Times New Roman"/>
          <w:sz w:val="24"/>
          <w:szCs w:val="24"/>
        </w:rPr>
        <w:t xml:space="preserve"> vantagens nos custos, decorrentes da sua geografia física diferenciada, mas depois continuar a progredir como um resultado de economias de aglomeração, mesmo quando a vantagem dos custos tenha desaparecido. Para tanto, os autores sugerem que os trabalhos emp</w:t>
      </w:r>
      <w:r w:rsidRPr="003451F6">
        <w:rPr>
          <w:rFonts w:ascii="Times New Roman" w:hAnsi="Times New Roman" w:cs="Times New Roman"/>
          <w:sz w:val="24"/>
          <w:szCs w:val="24"/>
        </w:rPr>
        <w:t>í</w:t>
      </w:r>
      <w:r w:rsidRPr="003451F6">
        <w:rPr>
          <w:rFonts w:ascii="Times New Roman" w:hAnsi="Times New Roman" w:cs="Times New Roman"/>
          <w:sz w:val="24"/>
          <w:szCs w:val="24"/>
        </w:rPr>
        <w:t>ricos devem ter como objetivo separar as forças do diferencial geográfico e a auto-organização das ec</w:t>
      </w:r>
      <w:r w:rsidRPr="003451F6">
        <w:rPr>
          <w:rFonts w:ascii="Times New Roman" w:hAnsi="Times New Roman" w:cs="Times New Roman"/>
          <w:sz w:val="24"/>
          <w:szCs w:val="24"/>
        </w:rPr>
        <w:t>o</w:t>
      </w:r>
      <w:r w:rsidRPr="003451F6">
        <w:rPr>
          <w:rFonts w:ascii="Times New Roman" w:hAnsi="Times New Roman" w:cs="Times New Roman"/>
          <w:sz w:val="24"/>
          <w:szCs w:val="24"/>
        </w:rPr>
        <w:t xml:space="preserve">nomias de aglomeração. </w:t>
      </w:r>
    </w:p>
    <w:p w:rsidR="00106116" w:rsidRDefault="003451F6" w:rsidP="003451F6">
      <w:pPr>
        <w:spacing w:after="0" w:line="240" w:lineRule="auto"/>
        <w:ind w:firstLine="454"/>
        <w:jc w:val="both"/>
        <w:rPr>
          <w:rFonts w:ascii="Times New Roman" w:hAnsi="Times New Roman" w:cs="Times New Roman"/>
          <w:sz w:val="24"/>
          <w:szCs w:val="24"/>
        </w:rPr>
      </w:pPr>
      <w:r w:rsidRPr="003451F6">
        <w:rPr>
          <w:rFonts w:ascii="Times New Roman" w:hAnsi="Times New Roman" w:cs="Times New Roman"/>
          <w:sz w:val="24"/>
          <w:szCs w:val="24"/>
        </w:rPr>
        <w:t xml:space="preserve">Por essa via, um indicador de acessibilidade fornece subsídios que auxiliam na interpretação dos </w:t>
      </w:r>
      <w:proofErr w:type="spellStart"/>
      <w:r w:rsidRPr="003451F6">
        <w:rPr>
          <w:rFonts w:ascii="Times New Roman" w:hAnsi="Times New Roman" w:cs="Times New Roman"/>
          <w:sz w:val="24"/>
          <w:szCs w:val="24"/>
        </w:rPr>
        <w:t>fa-tores</w:t>
      </w:r>
      <w:proofErr w:type="spellEnd"/>
      <w:r w:rsidRPr="003451F6">
        <w:rPr>
          <w:rFonts w:ascii="Times New Roman" w:hAnsi="Times New Roman" w:cs="Times New Roman"/>
          <w:sz w:val="24"/>
          <w:szCs w:val="24"/>
        </w:rPr>
        <w:t xml:space="preserve"> que promovem o crescimento econômico de determinada região. Este pode ser decorrente de </w:t>
      </w:r>
      <w:proofErr w:type="spellStart"/>
      <w:r w:rsidRPr="003451F6">
        <w:rPr>
          <w:rFonts w:ascii="Times New Roman" w:hAnsi="Times New Roman" w:cs="Times New Roman"/>
          <w:sz w:val="24"/>
          <w:szCs w:val="24"/>
        </w:rPr>
        <w:t>aglo-merações</w:t>
      </w:r>
      <w:proofErr w:type="spellEnd"/>
      <w:r w:rsidRPr="003451F6">
        <w:rPr>
          <w:rFonts w:ascii="Times New Roman" w:hAnsi="Times New Roman" w:cs="Times New Roman"/>
          <w:sz w:val="24"/>
          <w:szCs w:val="24"/>
        </w:rPr>
        <w:t xml:space="preserve">, inclusive. Visto que neste trabalho a acessibilidade será uma </w:t>
      </w:r>
      <w:proofErr w:type="spellStart"/>
      <w:proofErr w:type="gramStart"/>
      <w:r w:rsidRPr="003451F6">
        <w:rPr>
          <w:rFonts w:ascii="Times New Roman" w:hAnsi="Times New Roman" w:cs="Times New Roman"/>
          <w:sz w:val="24"/>
          <w:szCs w:val="24"/>
        </w:rPr>
        <w:t>proxy</w:t>
      </w:r>
      <w:proofErr w:type="spellEnd"/>
      <w:proofErr w:type="gramEnd"/>
      <w:r w:rsidRPr="003451F6">
        <w:rPr>
          <w:rFonts w:ascii="Times New Roman" w:hAnsi="Times New Roman" w:cs="Times New Roman"/>
          <w:sz w:val="24"/>
          <w:szCs w:val="24"/>
        </w:rPr>
        <w:t xml:space="preserve"> para o potencial de merc</w:t>
      </w:r>
      <w:r w:rsidRPr="003451F6">
        <w:rPr>
          <w:rFonts w:ascii="Times New Roman" w:hAnsi="Times New Roman" w:cs="Times New Roman"/>
          <w:sz w:val="24"/>
          <w:szCs w:val="24"/>
        </w:rPr>
        <w:t>a</w:t>
      </w:r>
      <w:r w:rsidRPr="003451F6">
        <w:rPr>
          <w:rFonts w:ascii="Times New Roman" w:hAnsi="Times New Roman" w:cs="Times New Roman"/>
          <w:sz w:val="24"/>
          <w:szCs w:val="24"/>
        </w:rPr>
        <w:t>do, quanto maior é a acessibilidade, maior será a possibilidade de formar aglomerações. A acessibilidade (ou mais precisamente os diferenciais de acessibilidade) pode, às vezes, ser vista como uma ferramenta para promover o desenvolvimento econômico regional. Baseado nessa argumentação, se a acessibilidade das regiões periféricas aumentasse, a importância da localização diminuiria. Então seria possível ocorrer um deslocamento da produção para regiões com salários mais baixos. Isso estimularia a atividade econ</w:t>
      </w:r>
      <w:r w:rsidRPr="003451F6">
        <w:rPr>
          <w:rFonts w:ascii="Times New Roman" w:hAnsi="Times New Roman" w:cs="Times New Roman"/>
          <w:sz w:val="24"/>
          <w:szCs w:val="24"/>
        </w:rPr>
        <w:t>ô</w:t>
      </w:r>
      <w:r w:rsidRPr="003451F6">
        <w:rPr>
          <w:rFonts w:ascii="Times New Roman" w:hAnsi="Times New Roman" w:cs="Times New Roman"/>
          <w:sz w:val="24"/>
          <w:szCs w:val="24"/>
        </w:rPr>
        <w:t xml:space="preserve">mica nessa região periférica, aproximando-a do nível das regiões centrais. O contrário pode ocorrer com a drenagem de recursos para regiões centrais (PAEZ, 2004). O índice de acessibilidade é o proposto por </w:t>
      </w:r>
      <w:proofErr w:type="spellStart"/>
      <w:r w:rsidRPr="003451F6">
        <w:rPr>
          <w:rFonts w:ascii="Times New Roman" w:hAnsi="Times New Roman" w:cs="Times New Roman"/>
          <w:sz w:val="24"/>
          <w:szCs w:val="24"/>
        </w:rPr>
        <w:t>O’kelly</w:t>
      </w:r>
      <w:proofErr w:type="spellEnd"/>
      <w:r w:rsidRPr="003451F6">
        <w:rPr>
          <w:rFonts w:ascii="Times New Roman" w:hAnsi="Times New Roman" w:cs="Times New Roman"/>
          <w:sz w:val="24"/>
          <w:szCs w:val="24"/>
        </w:rPr>
        <w:t xml:space="preserve"> &amp; </w:t>
      </w:r>
      <w:proofErr w:type="spellStart"/>
      <w:r w:rsidRPr="003451F6">
        <w:rPr>
          <w:rFonts w:ascii="Times New Roman" w:hAnsi="Times New Roman" w:cs="Times New Roman"/>
          <w:sz w:val="24"/>
          <w:szCs w:val="24"/>
        </w:rPr>
        <w:t>Horner</w:t>
      </w:r>
      <w:proofErr w:type="spellEnd"/>
      <w:r w:rsidRPr="003451F6">
        <w:rPr>
          <w:rFonts w:ascii="Times New Roman" w:hAnsi="Times New Roman" w:cs="Times New Roman"/>
          <w:sz w:val="24"/>
          <w:szCs w:val="24"/>
        </w:rPr>
        <w:t xml:space="preserve"> (2003), com as adaptações propostas por Silva (2011)</w:t>
      </w:r>
      <w:r w:rsidR="00674EC8">
        <w:rPr>
          <w:rFonts w:ascii="Times New Roman" w:hAnsi="Times New Roman" w:cs="Times New Roman"/>
          <w:sz w:val="24"/>
          <w:szCs w:val="24"/>
        </w:rPr>
        <w:t>:</w:t>
      </w:r>
    </w:p>
    <w:p w:rsidR="00AC2E1A" w:rsidRDefault="00BE7E61" w:rsidP="00674EC8">
      <w:pPr>
        <w:tabs>
          <w:tab w:val="left" w:pos="8222"/>
        </w:tabs>
        <w:spacing w:line="360" w:lineRule="auto"/>
        <w:ind w:firstLine="2835"/>
        <w:jc w:val="both"/>
        <w:rPr>
          <w:rFonts w:ascii="Times New Roman" w:hAnsi="Times New Roman" w:cs="Times New Roman"/>
          <w:sz w:val="24"/>
          <w:szCs w:val="24"/>
        </w:rPr>
      </w:pPr>
      <m:oMath>
        <m:sSub>
          <m:sSubPr>
            <m:ctrlPr>
              <w:rPr>
                <w:rFonts w:ascii="Cambria Math" w:hAnsi="Cambria Math"/>
                <w:i/>
                <w:sz w:val="26"/>
              </w:rPr>
            </m:ctrlPr>
          </m:sSubPr>
          <m:e>
            <m:r>
              <w:rPr>
                <w:rFonts w:ascii="Cambria Math" w:hAnsi="Cambria Math"/>
                <w:sz w:val="26"/>
              </w:rPr>
              <m:t>A</m:t>
            </m:r>
          </m:e>
          <m:sub>
            <m:r>
              <w:rPr>
                <w:rFonts w:ascii="Cambria Math" w:hAnsi="Cambria Math"/>
                <w:sz w:val="26"/>
              </w:rPr>
              <m:t>i</m:t>
            </m:r>
          </m:sub>
        </m:sSub>
        <m:r>
          <w:rPr>
            <w:rFonts w:ascii="Cambria Math" w:hAnsi="Cambria Math"/>
            <w:sz w:val="26"/>
          </w:rPr>
          <m:t>=</m:t>
        </m:r>
        <m:f>
          <m:fPr>
            <m:ctrlPr>
              <w:rPr>
                <w:rFonts w:ascii="Cambria Math" w:hAnsi="Cambria Math"/>
                <w:i/>
                <w:sz w:val="28"/>
                <w:szCs w:val="24"/>
              </w:rPr>
            </m:ctrlPr>
          </m:fPr>
          <m:num>
            <m:nary>
              <m:naryPr>
                <m:chr m:val="∑"/>
                <m:limLoc m:val="undOvr"/>
                <m:supHide m:val="on"/>
                <m:ctrlPr>
                  <w:rPr>
                    <w:rFonts w:ascii="Cambria Math" w:hAnsi="Cambria Math"/>
                    <w:i/>
                    <w:sz w:val="28"/>
                    <w:szCs w:val="24"/>
                  </w:rPr>
                </m:ctrlPr>
              </m:naryPr>
              <m:sub>
                <m:r>
                  <w:rPr>
                    <w:rFonts w:ascii="Cambria Math" w:hAnsi="Cambria Math"/>
                    <w:sz w:val="28"/>
                    <w:szCs w:val="24"/>
                  </w:rPr>
                  <m:t>j</m:t>
                </m:r>
              </m:sub>
              <m:sup/>
              <m:e>
                <m:sSup>
                  <m:sSupPr>
                    <m:ctrlPr>
                      <w:rPr>
                        <w:rFonts w:ascii="Cambria Math" w:hAnsi="Cambria Math"/>
                        <w:i/>
                        <w:sz w:val="28"/>
                        <w:szCs w:val="24"/>
                      </w:rPr>
                    </m:ctrlPr>
                  </m:sSupPr>
                  <m:e>
                    <m:sSub>
                      <m:sSubPr>
                        <m:ctrlPr>
                          <w:rPr>
                            <w:rFonts w:ascii="Cambria Math" w:hAnsi="Cambria Math"/>
                            <w:i/>
                            <w:sz w:val="28"/>
                            <w:szCs w:val="24"/>
                          </w:rPr>
                        </m:ctrlPr>
                      </m:sSubPr>
                      <m:e>
                        <m:r>
                          <w:rPr>
                            <w:rFonts w:ascii="Cambria Math" w:hAnsi="Cambria Math"/>
                            <w:sz w:val="28"/>
                            <w:szCs w:val="24"/>
                          </w:rPr>
                          <m:t>W</m:t>
                        </m:r>
                      </m:e>
                      <m:sub>
                        <m:r>
                          <w:rPr>
                            <w:rFonts w:ascii="Cambria Math" w:hAnsi="Cambria Math"/>
                            <w:sz w:val="28"/>
                            <w:szCs w:val="24"/>
                          </w:rPr>
                          <m:t>j</m:t>
                        </m:r>
                      </m:sub>
                    </m:sSub>
                  </m:e>
                  <m:sup>
                    <m:r>
                      <w:rPr>
                        <w:rFonts w:ascii="Cambria Math" w:hAnsi="Cambria Math"/>
                        <w:sz w:val="28"/>
                        <w:szCs w:val="24"/>
                      </w:rPr>
                      <m:t>-α</m:t>
                    </m:r>
                    <m:sSub>
                      <m:sSubPr>
                        <m:ctrlPr>
                          <w:rPr>
                            <w:rFonts w:ascii="Cambria Math" w:hAnsi="Cambria Math"/>
                            <w:i/>
                            <w:sz w:val="28"/>
                            <w:szCs w:val="24"/>
                          </w:rPr>
                        </m:ctrlPr>
                      </m:sSubPr>
                      <m:e>
                        <m:r>
                          <w:rPr>
                            <w:rFonts w:ascii="Cambria Math" w:hAnsi="Cambria Math"/>
                            <w:sz w:val="28"/>
                            <w:szCs w:val="24"/>
                          </w:rPr>
                          <m:t>c</m:t>
                        </m:r>
                      </m:e>
                      <m:sub>
                        <m:r>
                          <w:rPr>
                            <w:rFonts w:ascii="Cambria Math" w:hAnsi="Cambria Math"/>
                            <w:sz w:val="28"/>
                            <w:szCs w:val="24"/>
                          </w:rPr>
                          <m:t>ij</m:t>
                        </m:r>
                      </m:sub>
                    </m:sSub>
                  </m:sup>
                </m:sSup>
              </m:e>
            </m:nary>
          </m:num>
          <m:den>
            <m:sSub>
              <m:sSubPr>
                <m:ctrlPr>
                  <w:rPr>
                    <w:rFonts w:ascii="Cambria Math" w:hAnsi="Cambria Math"/>
                    <w:i/>
                    <w:sz w:val="28"/>
                    <w:szCs w:val="24"/>
                  </w:rPr>
                </m:ctrlPr>
              </m:sSubPr>
              <m:e>
                <m:r>
                  <w:rPr>
                    <w:rFonts w:ascii="Cambria Math" w:hAnsi="Cambria Math"/>
                    <w:sz w:val="28"/>
                    <w:szCs w:val="24"/>
                  </w:rPr>
                  <m:t>W</m:t>
                </m:r>
              </m:e>
              <m:sub>
                <m:r>
                  <w:rPr>
                    <w:rFonts w:ascii="Cambria Math" w:hAnsi="Cambria Math"/>
                    <w:sz w:val="28"/>
                    <w:szCs w:val="24"/>
                  </w:rPr>
                  <m:t>jR</m:t>
                </m:r>
              </m:sub>
            </m:sSub>
          </m:den>
        </m:f>
      </m:oMath>
      <w:r w:rsidR="00AC2E1A">
        <w:rPr>
          <w:rFonts w:ascii="Times New Roman" w:eastAsiaTheme="minorEastAsia" w:hAnsi="Times New Roman" w:cs="Times New Roman"/>
        </w:rPr>
        <w:tab/>
      </w:r>
      <w:bookmarkStart w:id="5" w:name="equacao21"/>
      <w:r w:rsidR="00AC2E1A" w:rsidRPr="0095677B">
        <w:rPr>
          <w:rFonts w:ascii="Times New Roman" w:eastAsiaTheme="minorEastAsia" w:hAnsi="Times New Roman" w:cs="Times New Roman"/>
          <w:sz w:val="24"/>
          <w:szCs w:val="24"/>
        </w:rPr>
        <w:t>(</w:t>
      </w:r>
      <w:r w:rsidR="00875381" w:rsidRPr="0095677B">
        <w:rPr>
          <w:rFonts w:ascii="Times New Roman" w:eastAsiaTheme="minorEastAsia" w:hAnsi="Times New Roman" w:cs="Times New Roman"/>
          <w:sz w:val="24"/>
          <w:szCs w:val="24"/>
        </w:rPr>
        <w:t>2</w:t>
      </w:r>
      <w:r w:rsidR="00AC2E1A" w:rsidRPr="0095677B">
        <w:rPr>
          <w:rFonts w:ascii="Times New Roman" w:eastAsiaTheme="minorEastAsia" w:hAnsi="Times New Roman" w:cs="Times New Roman"/>
          <w:sz w:val="24"/>
          <w:szCs w:val="24"/>
        </w:rPr>
        <w:t>)</w:t>
      </w:r>
      <w:bookmarkEnd w:id="5"/>
    </w:p>
    <w:p w:rsidR="00527D46" w:rsidRDefault="00146CA1" w:rsidP="0039600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em que </w:t>
      </w:r>
      <w:r w:rsidRPr="0039600C">
        <w:rPr>
          <w:rFonts w:ascii="Times New Roman" w:hAnsi="Times New Roman" w:cs="Times New Roman"/>
          <w:i/>
          <w:sz w:val="24"/>
          <w:szCs w:val="24"/>
        </w:rPr>
        <w:t>A</w:t>
      </w:r>
      <w:r w:rsidRPr="0039600C">
        <w:rPr>
          <w:rFonts w:ascii="Times New Roman" w:hAnsi="Times New Roman" w:cs="Times New Roman"/>
          <w:i/>
          <w:sz w:val="24"/>
          <w:szCs w:val="24"/>
          <w:vertAlign w:val="subscript"/>
        </w:rPr>
        <w:t>i</w:t>
      </w:r>
      <w:r>
        <w:rPr>
          <w:rFonts w:ascii="Times New Roman" w:hAnsi="Times New Roman" w:cs="Times New Roman"/>
          <w:sz w:val="24"/>
          <w:szCs w:val="24"/>
        </w:rPr>
        <w:t xml:space="preserve"> é o potencial de mercado ou a acessibilidade do município </w:t>
      </w:r>
      <w:r w:rsidRPr="0039600C">
        <w:rPr>
          <w:rFonts w:ascii="Times New Roman" w:hAnsi="Times New Roman" w:cs="Times New Roman"/>
          <w:i/>
          <w:sz w:val="24"/>
          <w:szCs w:val="24"/>
        </w:rPr>
        <w:t>i</w:t>
      </w:r>
      <w:r>
        <w:rPr>
          <w:rFonts w:ascii="Times New Roman" w:hAnsi="Times New Roman" w:cs="Times New Roman"/>
          <w:sz w:val="24"/>
          <w:szCs w:val="24"/>
        </w:rPr>
        <w:t xml:space="preserve">; </w:t>
      </w:r>
      <m:oMath>
        <m:nary>
          <m:naryPr>
            <m:chr m:val="∑"/>
            <m:limLoc m:val="undOvr"/>
            <m:supHide m:val="on"/>
            <m:ctrlPr>
              <w:rPr>
                <w:rFonts w:ascii="Cambria Math" w:hAnsi="Cambria Math"/>
                <w:i/>
                <w:szCs w:val="24"/>
              </w:rPr>
            </m:ctrlPr>
          </m:naryPr>
          <m:sub>
            <m:r>
              <w:rPr>
                <w:rFonts w:ascii="Cambria Math" w:hAnsi="Cambria Math"/>
                <w:szCs w:val="24"/>
              </w:rPr>
              <m:t>j</m:t>
            </m:r>
          </m:sub>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j</m:t>
                </m:r>
              </m:sub>
            </m:sSub>
          </m:e>
        </m:nary>
      </m:oMath>
      <w:r>
        <w:rPr>
          <w:rFonts w:ascii="Times New Roman" w:eastAsiaTheme="minorEastAsia" w:hAnsi="Times New Roman" w:cs="Times New Roman"/>
          <w:szCs w:val="24"/>
        </w:rPr>
        <w:t xml:space="preserve"> é </w:t>
      </w:r>
      <w:r w:rsidRPr="0039600C">
        <w:rPr>
          <w:rFonts w:ascii="Times New Roman" w:hAnsi="Times New Roman" w:cs="Times New Roman"/>
          <w:sz w:val="24"/>
          <w:szCs w:val="24"/>
        </w:rPr>
        <w:t xml:space="preserve">soma </w:t>
      </w:r>
      <w:r>
        <w:rPr>
          <w:rFonts w:ascii="Times New Roman" w:hAnsi="Times New Roman" w:cs="Times New Roman"/>
          <w:sz w:val="24"/>
          <w:szCs w:val="24"/>
        </w:rPr>
        <w:t xml:space="preserve">da medida de massa, </w:t>
      </w:r>
      <w:r w:rsidRPr="0039600C">
        <w:rPr>
          <w:rFonts w:ascii="Times New Roman" w:hAnsi="Times New Roman" w:cs="Times New Roman"/>
          <w:sz w:val="24"/>
          <w:szCs w:val="24"/>
        </w:rPr>
        <w:t>dos mercados potenciais</w:t>
      </w:r>
      <w:r>
        <w:rPr>
          <w:rFonts w:ascii="Times New Roman" w:hAnsi="Times New Roman" w:cs="Times New Roman"/>
          <w:sz w:val="24"/>
          <w:szCs w:val="24"/>
        </w:rPr>
        <w:t xml:space="preserve"> </w:t>
      </w:r>
      <w:r w:rsidRPr="0039600C">
        <w:rPr>
          <w:rFonts w:ascii="Times New Roman" w:hAnsi="Times New Roman" w:cs="Times New Roman"/>
          <w:i/>
          <w:sz w:val="24"/>
          <w:szCs w:val="24"/>
        </w:rPr>
        <w:t>j</w:t>
      </w:r>
      <w:r>
        <w:rPr>
          <w:rFonts w:ascii="Times New Roman" w:hAnsi="Times New Roman" w:cs="Times New Roman"/>
          <w:sz w:val="24"/>
          <w:szCs w:val="24"/>
        </w:rPr>
        <w:t xml:space="preserve"> a serem alcançados por </w:t>
      </w:r>
      <w:r w:rsidRPr="0039600C">
        <w:rPr>
          <w:rFonts w:ascii="Times New Roman" w:hAnsi="Times New Roman" w:cs="Times New Roman"/>
          <w:i/>
          <w:sz w:val="24"/>
          <w:szCs w:val="24"/>
        </w:rPr>
        <w:t>i</w:t>
      </w:r>
      <w:r>
        <w:rPr>
          <w:rFonts w:ascii="Times New Roman" w:hAnsi="Times New Roman" w:cs="Times New Roman"/>
          <w:sz w:val="24"/>
          <w:szCs w:val="24"/>
        </w:rPr>
        <w:t xml:space="preserve">; </w:t>
      </w:r>
      <w:r w:rsidRPr="001B172A">
        <w:rPr>
          <w:rFonts w:ascii="Times New Roman" w:hAnsi="Times New Roman" w:cs="Times New Roman"/>
          <w:i/>
          <w:sz w:val="24"/>
          <w:szCs w:val="24"/>
        </w:rPr>
        <w:t>W</w:t>
      </w:r>
      <w:r w:rsidRPr="001B172A">
        <w:rPr>
          <w:rFonts w:ascii="Times New Roman" w:hAnsi="Times New Roman" w:cs="Times New Roman"/>
          <w:i/>
          <w:sz w:val="24"/>
          <w:szCs w:val="24"/>
          <w:vertAlign w:val="subscript"/>
        </w:rPr>
        <w:t>j</w:t>
      </w:r>
      <w:r>
        <w:rPr>
          <w:rFonts w:ascii="Times New Roman" w:hAnsi="Times New Roman" w:cs="Times New Roman"/>
          <w:i/>
          <w:sz w:val="24"/>
          <w:szCs w:val="24"/>
          <w:vertAlign w:val="subscript"/>
        </w:rPr>
        <w:t>R</w:t>
      </w:r>
      <w:r>
        <w:rPr>
          <w:rFonts w:ascii="Times New Roman" w:hAnsi="Times New Roman" w:cs="Times New Roman"/>
          <w:sz w:val="24"/>
          <w:szCs w:val="24"/>
        </w:rPr>
        <w:t xml:space="preserve"> é o mercado potencial de referência; </w:t>
      </w:r>
      <w:r>
        <w:rPr>
          <w:rFonts w:ascii="Times New Roman" w:hAnsi="Times New Roman" w:cs="Times New Roman"/>
          <w:i/>
          <w:sz w:val="24"/>
          <w:szCs w:val="24"/>
        </w:rPr>
        <w:t>c</w:t>
      </w:r>
      <w:r w:rsidRPr="004B6BD5">
        <w:rPr>
          <w:rFonts w:ascii="Times New Roman" w:hAnsi="Times New Roman" w:cs="Times New Roman"/>
          <w:i/>
          <w:sz w:val="24"/>
          <w:szCs w:val="24"/>
          <w:vertAlign w:val="subscript"/>
        </w:rPr>
        <w:t>ij</w:t>
      </w:r>
      <w:r>
        <w:rPr>
          <w:rFonts w:ascii="Times New Roman" w:hAnsi="Times New Roman" w:cs="Times New Roman"/>
          <w:sz w:val="24"/>
          <w:szCs w:val="24"/>
        </w:rPr>
        <w:t xml:space="preserve"> é a med</w:t>
      </w:r>
      <w:r>
        <w:rPr>
          <w:rFonts w:ascii="Times New Roman" w:hAnsi="Times New Roman" w:cs="Times New Roman"/>
          <w:sz w:val="24"/>
          <w:szCs w:val="24"/>
        </w:rPr>
        <w:t>i</w:t>
      </w:r>
      <w:r>
        <w:rPr>
          <w:rFonts w:ascii="Times New Roman" w:hAnsi="Times New Roman" w:cs="Times New Roman"/>
          <w:sz w:val="24"/>
          <w:szCs w:val="24"/>
        </w:rPr>
        <w:t xml:space="preserve">da distância de </w:t>
      </w:r>
      <w:r w:rsidRPr="0039600C">
        <w:rPr>
          <w:rFonts w:ascii="Times New Roman" w:hAnsi="Times New Roman" w:cs="Times New Roman"/>
          <w:i/>
          <w:sz w:val="24"/>
          <w:szCs w:val="24"/>
        </w:rPr>
        <w:t>i</w:t>
      </w:r>
      <w:r>
        <w:rPr>
          <w:rFonts w:ascii="Times New Roman" w:hAnsi="Times New Roman" w:cs="Times New Roman"/>
          <w:sz w:val="24"/>
          <w:szCs w:val="24"/>
        </w:rPr>
        <w:t xml:space="preserve"> a </w:t>
      </w:r>
      <w:r w:rsidRPr="0039600C">
        <w:rPr>
          <w:rFonts w:ascii="Times New Roman" w:hAnsi="Times New Roman" w:cs="Times New Roman"/>
          <w:i/>
          <w:sz w:val="24"/>
          <w:szCs w:val="24"/>
        </w:rPr>
        <w:t>j</w:t>
      </w:r>
      <w:r>
        <w:rPr>
          <w:rFonts w:ascii="Times New Roman" w:hAnsi="Times New Roman" w:cs="Times New Roman"/>
          <w:sz w:val="24"/>
          <w:szCs w:val="24"/>
        </w:rPr>
        <w:t xml:space="preserve">, equivalente ao custo de transporte; e </w:t>
      </w:r>
      <w:r w:rsidRPr="0039600C">
        <w:rPr>
          <w:rFonts w:ascii="Symbol" w:hAnsi="Symbol" w:cs="Times New Roman"/>
          <w:i/>
          <w:sz w:val="24"/>
          <w:szCs w:val="24"/>
        </w:rPr>
        <w:t></w:t>
      </w:r>
      <w:r>
        <w:rPr>
          <w:rFonts w:ascii="Times New Roman" w:hAnsi="Times New Roman" w:cs="Times New Roman"/>
          <w:sz w:val="24"/>
          <w:szCs w:val="24"/>
        </w:rPr>
        <w:t xml:space="preserve"> é </w:t>
      </w:r>
      <w:r w:rsidRPr="003E218D">
        <w:rPr>
          <w:rFonts w:ascii="Times New Roman" w:hAnsi="Times New Roman" w:cs="Times New Roman"/>
          <w:sz w:val="24"/>
          <w:szCs w:val="24"/>
        </w:rPr>
        <w:t>o parâmetro de decaimento exponencial da distância</w:t>
      </w:r>
      <w:r>
        <w:rPr>
          <w:rFonts w:ascii="Times New Roman" w:hAnsi="Times New Roman" w:cs="Times New Roman"/>
          <w:sz w:val="24"/>
          <w:szCs w:val="24"/>
        </w:rPr>
        <w:t>.</w:t>
      </w:r>
      <w:r w:rsidR="00636D5D">
        <w:rPr>
          <w:rFonts w:ascii="Times New Roman" w:hAnsi="Times New Roman" w:cs="Times New Roman"/>
          <w:sz w:val="24"/>
          <w:szCs w:val="24"/>
        </w:rPr>
        <w:t xml:space="preserve"> </w:t>
      </w:r>
      <w:r w:rsidR="00AC2E1A">
        <w:rPr>
          <w:rFonts w:ascii="Times New Roman" w:hAnsi="Times New Roman" w:cs="Times New Roman"/>
          <w:sz w:val="24"/>
          <w:szCs w:val="24"/>
        </w:rPr>
        <w:t>Pela formulação acima, quanto m</w:t>
      </w:r>
      <w:r w:rsidR="00966EAF">
        <w:rPr>
          <w:rFonts w:ascii="Times New Roman" w:hAnsi="Times New Roman" w:cs="Times New Roman"/>
          <w:sz w:val="24"/>
          <w:szCs w:val="24"/>
        </w:rPr>
        <w:t>aior</w:t>
      </w:r>
      <w:r w:rsidR="00AC2E1A">
        <w:rPr>
          <w:rFonts w:ascii="Times New Roman" w:hAnsi="Times New Roman" w:cs="Times New Roman"/>
          <w:sz w:val="24"/>
          <w:szCs w:val="24"/>
        </w:rPr>
        <w:t xml:space="preserve"> </w:t>
      </w:r>
      <w:r w:rsidR="007A2180">
        <w:rPr>
          <w:rFonts w:ascii="Times New Roman" w:hAnsi="Times New Roman" w:cs="Times New Roman"/>
          <w:sz w:val="24"/>
          <w:szCs w:val="24"/>
        </w:rPr>
        <w:t xml:space="preserve">é </w:t>
      </w:r>
      <w:r w:rsidR="00AC2E1A">
        <w:rPr>
          <w:rFonts w:ascii="Times New Roman" w:hAnsi="Times New Roman" w:cs="Times New Roman"/>
          <w:sz w:val="24"/>
          <w:szCs w:val="24"/>
        </w:rPr>
        <w:t xml:space="preserve">o valor de </w:t>
      </w:r>
      <m:oMath>
        <m:r>
          <w:rPr>
            <w:rFonts w:ascii="Cambria Math" w:hAnsi="Cambria Math"/>
            <w:sz w:val="28"/>
            <w:szCs w:val="24"/>
          </w:rPr>
          <m:t>-α</m:t>
        </m:r>
        <m:sSub>
          <m:sSubPr>
            <m:ctrlPr>
              <w:rPr>
                <w:rFonts w:ascii="Cambria Math" w:hAnsi="Cambria Math"/>
                <w:i/>
                <w:sz w:val="28"/>
                <w:szCs w:val="24"/>
              </w:rPr>
            </m:ctrlPr>
          </m:sSubPr>
          <m:e>
            <m:r>
              <w:rPr>
                <w:rFonts w:ascii="Cambria Math" w:hAnsi="Cambria Math"/>
                <w:sz w:val="28"/>
                <w:szCs w:val="24"/>
              </w:rPr>
              <m:t>c</m:t>
            </m:r>
          </m:e>
          <m:sub>
            <m:r>
              <w:rPr>
                <w:rFonts w:ascii="Cambria Math" w:hAnsi="Cambria Math"/>
                <w:sz w:val="28"/>
                <w:szCs w:val="24"/>
              </w:rPr>
              <m:t>ij</m:t>
            </m:r>
          </m:sub>
        </m:sSub>
      </m:oMath>
      <w:r w:rsidR="00AC2E1A">
        <w:rPr>
          <w:rFonts w:ascii="Times New Roman" w:hAnsi="Times New Roman" w:cs="Times New Roman"/>
          <w:sz w:val="24"/>
          <w:szCs w:val="24"/>
        </w:rPr>
        <w:t>, menor é a acessibilidade do munic</w:t>
      </w:r>
      <w:r w:rsidR="00AC2E1A">
        <w:rPr>
          <w:rFonts w:ascii="Times New Roman" w:hAnsi="Times New Roman" w:cs="Times New Roman"/>
          <w:sz w:val="24"/>
          <w:szCs w:val="24"/>
        </w:rPr>
        <w:t>í</w:t>
      </w:r>
      <w:r w:rsidR="00AC2E1A">
        <w:rPr>
          <w:rFonts w:ascii="Times New Roman" w:hAnsi="Times New Roman" w:cs="Times New Roman"/>
          <w:sz w:val="24"/>
          <w:szCs w:val="24"/>
        </w:rPr>
        <w:t xml:space="preserve">pio e quanto </w:t>
      </w:r>
      <w:r w:rsidR="00966EAF">
        <w:rPr>
          <w:rFonts w:ascii="Times New Roman" w:hAnsi="Times New Roman" w:cs="Times New Roman"/>
          <w:sz w:val="24"/>
          <w:szCs w:val="24"/>
        </w:rPr>
        <w:t xml:space="preserve">menor </w:t>
      </w:r>
      <w:r w:rsidR="007A2180">
        <w:rPr>
          <w:rFonts w:ascii="Times New Roman" w:hAnsi="Times New Roman" w:cs="Times New Roman"/>
          <w:sz w:val="24"/>
          <w:szCs w:val="24"/>
        </w:rPr>
        <w:t>é</w:t>
      </w:r>
      <w:r w:rsidR="00966EAF">
        <w:rPr>
          <w:rFonts w:ascii="Times New Roman" w:hAnsi="Times New Roman" w:cs="Times New Roman"/>
          <w:sz w:val="24"/>
          <w:szCs w:val="24"/>
        </w:rPr>
        <w:t xml:space="preserve"> </w:t>
      </w:r>
      <m:oMath>
        <m:r>
          <w:rPr>
            <w:rFonts w:ascii="Cambria Math" w:hAnsi="Cambria Math"/>
            <w:sz w:val="28"/>
            <w:szCs w:val="24"/>
          </w:rPr>
          <m:t>-α</m:t>
        </m:r>
        <m:sSub>
          <m:sSubPr>
            <m:ctrlPr>
              <w:rPr>
                <w:rFonts w:ascii="Cambria Math" w:hAnsi="Cambria Math"/>
                <w:i/>
                <w:sz w:val="28"/>
                <w:szCs w:val="24"/>
              </w:rPr>
            </m:ctrlPr>
          </m:sSubPr>
          <m:e>
            <m:r>
              <w:rPr>
                <w:rFonts w:ascii="Cambria Math" w:hAnsi="Cambria Math"/>
                <w:sz w:val="28"/>
                <w:szCs w:val="24"/>
              </w:rPr>
              <m:t>c</m:t>
            </m:r>
          </m:e>
          <m:sub>
            <m:r>
              <w:rPr>
                <w:rFonts w:ascii="Cambria Math" w:hAnsi="Cambria Math"/>
                <w:sz w:val="28"/>
                <w:szCs w:val="24"/>
              </w:rPr>
              <m:t>ij</m:t>
            </m:r>
          </m:sub>
        </m:sSub>
      </m:oMath>
      <w:r w:rsidR="00AC2E1A">
        <w:rPr>
          <w:rFonts w:ascii="Times New Roman" w:hAnsi="Times New Roman" w:cs="Times New Roman"/>
          <w:sz w:val="24"/>
          <w:szCs w:val="24"/>
        </w:rPr>
        <w:t>, melhor</w:t>
      </w:r>
      <w:r w:rsidR="007A2180">
        <w:rPr>
          <w:rFonts w:ascii="Times New Roman" w:hAnsi="Times New Roman" w:cs="Times New Roman"/>
          <w:sz w:val="24"/>
          <w:szCs w:val="24"/>
        </w:rPr>
        <w:t xml:space="preserve"> é a acessibilidade do município </w:t>
      </w:r>
      <w:r w:rsidR="007A2180" w:rsidRPr="007A2180">
        <w:rPr>
          <w:rFonts w:ascii="Times New Roman" w:hAnsi="Times New Roman" w:cs="Times New Roman"/>
          <w:i/>
          <w:sz w:val="24"/>
          <w:szCs w:val="24"/>
        </w:rPr>
        <w:t>i</w:t>
      </w:r>
      <w:r w:rsidR="00AC2E1A">
        <w:rPr>
          <w:rFonts w:ascii="Times New Roman" w:hAnsi="Times New Roman" w:cs="Times New Roman"/>
          <w:sz w:val="24"/>
          <w:szCs w:val="24"/>
        </w:rPr>
        <w:t>. A ponderação pelo mercado p</w:t>
      </w:r>
      <w:r w:rsidR="00AC2E1A">
        <w:rPr>
          <w:rFonts w:ascii="Times New Roman" w:hAnsi="Times New Roman" w:cs="Times New Roman"/>
          <w:sz w:val="24"/>
          <w:szCs w:val="24"/>
        </w:rPr>
        <w:t>o</w:t>
      </w:r>
      <w:r w:rsidR="00AC2E1A">
        <w:rPr>
          <w:rFonts w:ascii="Times New Roman" w:hAnsi="Times New Roman" w:cs="Times New Roman"/>
          <w:sz w:val="24"/>
          <w:szCs w:val="24"/>
        </w:rPr>
        <w:lastRenderedPageBreak/>
        <w:t xml:space="preserve">tencial de referência </w:t>
      </w:r>
      <w:r w:rsidR="00AC2E1A" w:rsidRPr="001B172A">
        <w:rPr>
          <w:rFonts w:ascii="Times New Roman" w:hAnsi="Times New Roman" w:cs="Times New Roman"/>
          <w:i/>
          <w:sz w:val="24"/>
          <w:szCs w:val="24"/>
        </w:rPr>
        <w:t>W</w:t>
      </w:r>
      <w:r w:rsidR="00AC2E1A" w:rsidRPr="001B172A">
        <w:rPr>
          <w:rFonts w:ascii="Times New Roman" w:hAnsi="Times New Roman" w:cs="Times New Roman"/>
          <w:i/>
          <w:sz w:val="24"/>
          <w:szCs w:val="24"/>
          <w:vertAlign w:val="subscript"/>
        </w:rPr>
        <w:t>j</w:t>
      </w:r>
      <w:r w:rsidR="00D206A4">
        <w:rPr>
          <w:rFonts w:ascii="Times New Roman" w:hAnsi="Times New Roman" w:cs="Times New Roman"/>
          <w:i/>
          <w:sz w:val="24"/>
          <w:szCs w:val="24"/>
          <w:vertAlign w:val="subscript"/>
        </w:rPr>
        <w:t>R</w:t>
      </w:r>
      <w:r w:rsidR="00AC2E1A">
        <w:rPr>
          <w:rFonts w:ascii="Times New Roman" w:hAnsi="Times New Roman" w:cs="Times New Roman"/>
          <w:sz w:val="24"/>
          <w:szCs w:val="24"/>
        </w:rPr>
        <w:t xml:space="preserve"> visa comparar o Índice de Acessibilidade das cidades da Amazônia com o maior Índice de Acessibilidade possível</w:t>
      </w:r>
      <w:r w:rsidR="004531A2">
        <w:rPr>
          <w:rStyle w:val="Refdenotaderodap"/>
          <w:rFonts w:ascii="Times New Roman" w:hAnsi="Times New Roman" w:cs="Times New Roman"/>
          <w:sz w:val="24"/>
          <w:szCs w:val="24"/>
        </w:rPr>
        <w:footnoteReference w:id="4"/>
      </w:r>
      <w:r w:rsidR="00AC2E1A">
        <w:rPr>
          <w:rFonts w:ascii="Times New Roman" w:hAnsi="Times New Roman" w:cs="Times New Roman"/>
          <w:sz w:val="24"/>
          <w:szCs w:val="24"/>
        </w:rPr>
        <w:t>, dentro das fronteiras do Brasil, que neste caso será a Capital São Pa</w:t>
      </w:r>
      <w:r w:rsidR="00AC2E1A">
        <w:rPr>
          <w:rFonts w:ascii="Times New Roman" w:hAnsi="Times New Roman" w:cs="Times New Roman"/>
          <w:sz w:val="24"/>
          <w:szCs w:val="24"/>
        </w:rPr>
        <w:t>u</w:t>
      </w:r>
      <w:r w:rsidR="00AC2E1A">
        <w:rPr>
          <w:rFonts w:ascii="Times New Roman" w:hAnsi="Times New Roman" w:cs="Times New Roman"/>
          <w:sz w:val="24"/>
          <w:szCs w:val="24"/>
        </w:rPr>
        <w:t xml:space="preserve">lo, dado que este é o maior mercado consumidor brasileiro. </w:t>
      </w:r>
      <w:r w:rsidR="00612154">
        <w:rPr>
          <w:rFonts w:ascii="Times New Roman" w:hAnsi="Times New Roman" w:cs="Times New Roman"/>
          <w:sz w:val="24"/>
          <w:szCs w:val="24"/>
        </w:rPr>
        <w:t>O</w:t>
      </w:r>
      <w:r w:rsidR="00AC2E1A">
        <w:rPr>
          <w:rFonts w:ascii="Times New Roman" w:hAnsi="Times New Roman" w:cs="Times New Roman"/>
          <w:sz w:val="24"/>
          <w:szCs w:val="24"/>
        </w:rPr>
        <w:t xml:space="preserve"> Índice de Acessibilidade resultante pode ser interpretado como o percentual de acesso aos mercados em relação ao maior mercado consumidor. </w:t>
      </w:r>
    </w:p>
    <w:p w:rsidR="00E8719B" w:rsidRDefault="00E8719B" w:rsidP="00824A2B">
      <w:pPr>
        <w:pStyle w:val="Ttulo3"/>
        <w:numPr>
          <w:ilvl w:val="0"/>
          <w:numId w:val="1"/>
        </w:numPr>
        <w:spacing w:line="240" w:lineRule="auto"/>
      </w:pPr>
      <w:bookmarkStart w:id="6" w:name="_Toc282363981"/>
      <w:r>
        <w:t>METODOLOGIA E DADOS</w:t>
      </w:r>
      <w:bookmarkEnd w:id="6"/>
      <w:r>
        <w:t xml:space="preserve"> </w:t>
      </w:r>
    </w:p>
    <w:p w:rsidR="006A48B7" w:rsidRPr="00EE036B" w:rsidRDefault="00D70B00" w:rsidP="00D76195">
      <w:pPr>
        <w:spacing w:after="0" w:line="240" w:lineRule="auto"/>
        <w:ind w:firstLine="454"/>
        <w:jc w:val="both"/>
        <w:rPr>
          <w:rFonts w:ascii="Times New Roman" w:hAnsi="Times New Roman" w:cs="Times New Roman"/>
          <w:sz w:val="24"/>
          <w:szCs w:val="24"/>
        </w:rPr>
      </w:pPr>
      <w:bookmarkStart w:id="7" w:name="_Toc272591741"/>
      <w:bookmarkStart w:id="8" w:name="_Toc268668230"/>
      <w:bookmarkStart w:id="9" w:name="_Toc268255720"/>
      <w:bookmarkStart w:id="10" w:name="_Toc268497764"/>
      <w:r w:rsidRPr="00C33CF3">
        <w:rPr>
          <w:rFonts w:ascii="Times New Roman" w:hAnsi="Times New Roman" w:cs="Times New Roman"/>
          <w:sz w:val="24"/>
          <w:szCs w:val="24"/>
        </w:rPr>
        <w:t>Nest</w:t>
      </w:r>
      <w:r w:rsidR="000107DC" w:rsidRPr="00C33CF3">
        <w:rPr>
          <w:rFonts w:ascii="Times New Roman" w:hAnsi="Times New Roman" w:cs="Times New Roman"/>
          <w:sz w:val="24"/>
          <w:szCs w:val="24"/>
        </w:rPr>
        <w:t xml:space="preserve">e capítulo, além das informações sobre as variáveis e fontes de dados, estão contidos </w:t>
      </w:r>
      <w:r w:rsidRPr="00C33CF3">
        <w:rPr>
          <w:rFonts w:ascii="Times New Roman" w:hAnsi="Times New Roman" w:cs="Times New Roman"/>
          <w:sz w:val="24"/>
          <w:szCs w:val="24"/>
        </w:rPr>
        <w:t>os mét</w:t>
      </w:r>
      <w:r w:rsidRPr="00C33CF3">
        <w:rPr>
          <w:rFonts w:ascii="Times New Roman" w:hAnsi="Times New Roman" w:cs="Times New Roman"/>
          <w:sz w:val="24"/>
          <w:szCs w:val="24"/>
        </w:rPr>
        <w:t>o</w:t>
      </w:r>
      <w:r w:rsidRPr="00C33CF3">
        <w:rPr>
          <w:rFonts w:ascii="Times New Roman" w:hAnsi="Times New Roman" w:cs="Times New Roman"/>
          <w:sz w:val="24"/>
          <w:szCs w:val="24"/>
        </w:rPr>
        <w:t xml:space="preserve">dos </w:t>
      </w:r>
      <w:r w:rsidR="00C759F2" w:rsidRPr="00C33CF3">
        <w:rPr>
          <w:rFonts w:ascii="Times New Roman" w:hAnsi="Times New Roman" w:cs="Times New Roman"/>
          <w:sz w:val="24"/>
          <w:szCs w:val="24"/>
        </w:rPr>
        <w:t xml:space="preserve">a serem </w:t>
      </w:r>
      <w:r w:rsidR="000107DC" w:rsidRPr="00C33CF3">
        <w:rPr>
          <w:rFonts w:ascii="Times New Roman" w:hAnsi="Times New Roman" w:cs="Times New Roman"/>
          <w:sz w:val="24"/>
          <w:szCs w:val="24"/>
        </w:rPr>
        <w:t>empregados</w:t>
      </w:r>
      <w:r w:rsidRPr="00C33CF3">
        <w:rPr>
          <w:rFonts w:ascii="Times New Roman" w:hAnsi="Times New Roman" w:cs="Times New Roman"/>
          <w:sz w:val="24"/>
          <w:szCs w:val="24"/>
        </w:rPr>
        <w:t xml:space="preserve"> </w:t>
      </w:r>
      <w:r w:rsidR="000107DC" w:rsidRPr="00C33CF3">
        <w:rPr>
          <w:rFonts w:ascii="Times New Roman" w:hAnsi="Times New Roman" w:cs="Times New Roman"/>
          <w:sz w:val="24"/>
          <w:szCs w:val="24"/>
        </w:rPr>
        <w:t>na</w:t>
      </w:r>
      <w:r w:rsidR="00C759F2" w:rsidRPr="00C33CF3">
        <w:rPr>
          <w:rFonts w:ascii="Times New Roman" w:hAnsi="Times New Roman" w:cs="Times New Roman"/>
          <w:sz w:val="24"/>
          <w:szCs w:val="24"/>
        </w:rPr>
        <w:t>s estimativas realizadas nest</w:t>
      </w:r>
      <w:r w:rsidR="00113D87" w:rsidRPr="00C33CF3">
        <w:rPr>
          <w:rFonts w:ascii="Times New Roman" w:hAnsi="Times New Roman" w:cs="Times New Roman"/>
          <w:sz w:val="24"/>
          <w:szCs w:val="24"/>
        </w:rPr>
        <w:t>e artigo</w:t>
      </w:r>
      <w:r w:rsidR="000107DC" w:rsidRPr="00C33CF3">
        <w:rPr>
          <w:rFonts w:ascii="Times New Roman" w:hAnsi="Times New Roman" w:cs="Times New Roman"/>
          <w:sz w:val="24"/>
          <w:szCs w:val="24"/>
        </w:rPr>
        <w:t xml:space="preserve">. </w:t>
      </w:r>
      <w:r w:rsidR="002A0126" w:rsidRPr="00C33CF3">
        <w:rPr>
          <w:rFonts w:ascii="Times New Roman" w:hAnsi="Times New Roman" w:cs="Times New Roman"/>
          <w:sz w:val="24"/>
          <w:szCs w:val="24"/>
        </w:rPr>
        <w:t xml:space="preserve">Primeiramente, as variáveis censitárias foram alocadas nas suas respectivas áreas mínimas comparáveis. </w:t>
      </w:r>
      <w:r w:rsidR="000107DC" w:rsidRPr="00C33CF3">
        <w:rPr>
          <w:rFonts w:ascii="Times New Roman" w:hAnsi="Times New Roman" w:cs="Times New Roman"/>
          <w:sz w:val="24"/>
          <w:szCs w:val="24"/>
        </w:rPr>
        <w:t>Em seguida</w:t>
      </w:r>
      <w:r w:rsidR="00C759F2" w:rsidRPr="00C33CF3">
        <w:rPr>
          <w:rFonts w:ascii="Times New Roman" w:hAnsi="Times New Roman" w:cs="Times New Roman"/>
          <w:sz w:val="24"/>
          <w:szCs w:val="24"/>
        </w:rPr>
        <w:t>,</w:t>
      </w:r>
      <w:r w:rsidR="000107DC" w:rsidRPr="00C33CF3">
        <w:rPr>
          <w:rFonts w:ascii="Times New Roman" w:hAnsi="Times New Roman" w:cs="Times New Roman"/>
          <w:sz w:val="24"/>
          <w:szCs w:val="24"/>
        </w:rPr>
        <w:t xml:space="preserve"> </w:t>
      </w:r>
      <w:r w:rsidR="002A0126" w:rsidRPr="00C33CF3">
        <w:rPr>
          <w:rFonts w:ascii="Times New Roman" w:hAnsi="Times New Roman" w:cs="Times New Roman"/>
          <w:sz w:val="24"/>
          <w:szCs w:val="24"/>
        </w:rPr>
        <w:t xml:space="preserve">foi </w:t>
      </w:r>
      <w:r w:rsidR="00C759F2" w:rsidRPr="00C33CF3">
        <w:rPr>
          <w:rFonts w:ascii="Times New Roman" w:hAnsi="Times New Roman" w:cs="Times New Roman"/>
          <w:sz w:val="24"/>
          <w:szCs w:val="24"/>
        </w:rPr>
        <w:t xml:space="preserve">especificada a equação básica a ser estimada e, posteriormente, a formulação dessa equação com </w:t>
      </w:r>
      <w:r w:rsidR="000107DC" w:rsidRPr="00C33CF3">
        <w:rPr>
          <w:rFonts w:ascii="Times New Roman" w:hAnsi="Times New Roman" w:cs="Times New Roman"/>
          <w:sz w:val="24"/>
          <w:szCs w:val="24"/>
        </w:rPr>
        <w:t>o emprego da econometria e</w:t>
      </w:r>
      <w:r w:rsidR="000107DC" w:rsidRPr="00C33CF3">
        <w:rPr>
          <w:rFonts w:ascii="Times New Roman" w:hAnsi="Times New Roman" w:cs="Times New Roman"/>
          <w:sz w:val="24"/>
          <w:szCs w:val="24"/>
        </w:rPr>
        <w:t>s</w:t>
      </w:r>
      <w:r w:rsidR="000107DC" w:rsidRPr="00C33CF3">
        <w:rPr>
          <w:rFonts w:ascii="Times New Roman" w:hAnsi="Times New Roman" w:cs="Times New Roman"/>
          <w:sz w:val="24"/>
          <w:szCs w:val="24"/>
        </w:rPr>
        <w:t>pacial.</w:t>
      </w:r>
      <w:bookmarkEnd w:id="7"/>
    </w:p>
    <w:bookmarkEnd w:id="8"/>
    <w:bookmarkEnd w:id="9"/>
    <w:bookmarkEnd w:id="10"/>
    <w:p w:rsidR="00230F33" w:rsidRPr="00AD317A" w:rsidRDefault="00D76195" w:rsidP="0044685B">
      <w:pPr>
        <w:pStyle w:val="Ttulo3"/>
        <w:spacing w:after="0" w:line="240" w:lineRule="auto"/>
        <w:ind w:firstLine="454"/>
        <w:contextualSpacing w:val="0"/>
      </w:pPr>
      <w:r w:rsidRPr="00D76195">
        <w:rPr>
          <w:b w:val="0"/>
        </w:rPr>
        <w:t xml:space="preserve">Para a modelagem empírica da NGE, parte-se da expressão (1), potencial de mercado da NGE, que por sua vez será mensurada pela </w:t>
      </w:r>
      <w:proofErr w:type="spellStart"/>
      <w:proofErr w:type="gramStart"/>
      <w:r w:rsidRPr="00D76195">
        <w:rPr>
          <w:b w:val="0"/>
        </w:rPr>
        <w:t>proxy</w:t>
      </w:r>
      <w:proofErr w:type="spellEnd"/>
      <w:proofErr w:type="gramEnd"/>
      <w:r w:rsidRPr="00D76195">
        <w:rPr>
          <w:b w:val="0"/>
        </w:rPr>
        <w:t xml:space="preserve"> na equação (2), que é o indicador de acessibilidade. A </w:t>
      </w:r>
      <w:proofErr w:type="spellStart"/>
      <w:r w:rsidRPr="00D76195">
        <w:rPr>
          <w:b w:val="0"/>
        </w:rPr>
        <w:t>acessibili-dade</w:t>
      </w:r>
      <w:proofErr w:type="spellEnd"/>
      <w:r w:rsidRPr="00D76195">
        <w:rPr>
          <w:b w:val="0"/>
        </w:rPr>
        <w:t xml:space="preserve"> será utilizada como variável de segunda natureza, explicativa das aglomerações. </w:t>
      </w:r>
      <w:proofErr w:type="spellStart"/>
      <w:r w:rsidRPr="00D76195">
        <w:rPr>
          <w:b w:val="0"/>
        </w:rPr>
        <w:t>Complementarmen-te</w:t>
      </w:r>
      <w:proofErr w:type="spellEnd"/>
      <w:r w:rsidRPr="00D76195">
        <w:rPr>
          <w:b w:val="0"/>
        </w:rPr>
        <w:t xml:space="preserve">, serão utilizadas as variáveis de primeira natureza, comumente aplicadas nas pesquisas complementares ao modelo básico da NGE, conforme discutido na seção 3.2. A simplificação é uma necessidade nos </w:t>
      </w:r>
      <w:proofErr w:type="spellStart"/>
      <w:r w:rsidRPr="00D76195">
        <w:rPr>
          <w:b w:val="0"/>
        </w:rPr>
        <w:t>tra-balhos</w:t>
      </w:r>
      <w:proofErr w:type="spellEnd"/>
      <w:r w:rsidRPr="00D76195">
        <w:rPr>
          <w:b w:val="0"/>
        </w:rPr>
        <w:t xml:space="preserve"> empíricos da NGE, embora esta tenha se desenvolvido bastante no campo teórico. Autores como </w:t>
      </w:r>
      <w:proofErr w:type="spellStart"/>
      <w:r w:rsidRPr="00D76195">
        <w:rPr>
          <w:b w:val="0"/>
        </w:rPr>
        <w:t>Head</w:t>
      </w:r>
      <w:proofErr w:type="spellEnd"/>
      <w:r w:rsidRPr="00D76195">
        <w:rPr>
          <w:b w:val="0"/>
        </w:rPr>
        <w:t xml:space="preserve"> e Mayer (2004 a, b), </w:t>
      </w:r>
      <w:proofErr w:type="spellStart"/>
      <w:r w:rsidRPr="00D76195">
        <w:rPr>
          <w:b w:val="0"/>
        </w:rPr>
        <w:t>Neary</w:t>
      </w:r>
      <w:proofErr w:type="spellEnd"/>
      <w:r w:rsidRPr="00D76195">
        <w:rPr>
          <w:b w:val="0"/>
        </w:rPr>
        <w:t xml:space="preserve"> (2001) e </w:t>
      </w:r>
      <w:proofErr w:type="spellStart"/>
      <w:r w:rsidRPr="00D76195">
        <w:rPr>
          <w:b w:val="0"/>
        </w:rPr>
        <w:t>Ottaviano</w:t>
      </w:r>
      <w:proofErr w:type="spellEnd"/>
      <w:r w:rsidRPr="00D76195">
        <w:rPr>
          <w:b w:val="0"/>
        </w:rPr>
        <w:t xml:space="preserve"> (2002), concordam que a pesquisa empírica na NGE ainda é deficiente, mas que há maneiras bem sucedidas de testar a validade das forças que atuam sobre seus modelos. Trata-se de analisar os choques na renda causados pela distância dos mercados </w:t>
      </w:r>
      <w:proofErr w:type="spellStart"/>
      <w:r w:rsidRPr="00D76195">
        <w:rPr>
          <w:b w:val="0"/>
        </w:rPr>
        <w:t>consumido-res</w:t>
      </w:r>
      <w:proofErr w:type="spellEnd"/>
      <w:r w:rsidRPr="00D76195">
        <w:rPr>
          <w:b w:val="0"/>
        </w:rPr>
        <w:t xml:space="preserve">, ou seja, pela verificação (ou não) da chamada equação dos salários nominais (potencial de mercado), obtidos a partir da derivação de um modelo padrão da NGE. A estimativa dessa equação tem sido o maior desafio nos trabalhos empíricos que tentam validar as premissas do modelo. Pelas dificuldades de </w:t>
      </w:r>
      <w:proofErr w:type="spellStart"/>
      <w:r w:rsidRPr="00D76195">
        <w:rPr>
          <w:b w:val="0"/>
        </w:rPr>
        <w:t>imple-mentação</w:t>
      </w:r>
      <w:proofErr w:type="spellEnd"/>
      <w:r w:rsidRPr="00D76195">
        <w:rPr>
          <w:b w:val="0"/>
        </w:rPr>
        <w:t xml:space="preserve"> empírica, a maioria das pesquisas tem feito simplificações no modelo, como em Amaral </w:t>
      </w:r>
      <w:proofErr w:type="spellStart"/>
      <w:proofErr w:type="gramStart"/>
      <w:r w:rsidRPr="00D76195">
        <w:rPr>
          <w:b w:val="0"/>
        </w:rPr>
        <w:t>et</w:t>
      </w:r>
      <w:proofErr w:type="spellEnd"/>
      <w:proofErr w:type="gramEnd"/>
      <w:r w:rsidRPr="00D76195">
        <w:rPr>
          <w:b w:val="0"/>
        </w:rPr>
        <w:t xml:space="preserve"> al. (2007), do mesmo modo que será feito nesse trabalho.</w:t>
      </w:r>
      <w:r w:rsidR="00230F33" w:rsidRPr="00674EC8">
        <w:rPr>
          <w:b w:val="0"/>
        </w:rPr>
        <w:t xml:space="preserve"> </w:t>
      </w:r>
    </w:p>
    <w:p w:rsidR="00766977" w:rsidRDefault="00D76195" w:rsidP="0044685B">
      <w:pPr>
        <w:spacing w:after="0" w:line="240" w:lineRule="auto"/>
        <w:ind w:firstLine="454"/>
        <w:jc w:val="both"/>
        <w:rPr>
          <w:rFonts w:ascii="Times New Roman" w:hAnsi="Times New Roman" w:cs="Times New Roman"/>
          <w:sz w:val="24"/>
          <w:szCs w:val="24"/>
        </w:rPr>
      </w:pPr>
      <w:r w:rsidRPr="00D76195">
        <w:rPr>
          <w:rFonts w:ascii="Times New Roman" w:hAnsi="Times New Roman" w:cs="Times New Roman"/>
          <w:sz w:val="24"/>
          <w:szCs w:val="24"/>
        </w:rPr>
        <w:t xml:space="preserve">O crescimento e as aglomerações da Região Norte serão explicados a partir da mudança populacional ocorrida entre 1980 e 2000. O modelo está baseado em Andersen </w:t>
      </w:r>
      <w:proofErr w:type="spellStart"/>
      <w:proofErr w:type="gramStart"/>
      <w:r w:rsidRPr="00D76195">
        <w:rPr>
          <w:rFonts w:ascii="Times New Roman" w:hAnsi="Times New Roman" w:cs="Times New Roman"/>
          <w:sz w:val="24"/>
          <w:szCs w:val="24"/>
        </w:rPr>
        <w:t>et</w:t>
      </w:r>
      <w:proofErr w:type="spellEnd"/>
      <w:proofErr w:type="gramEnd"/>
      <w:r w:rsidRPr="00D76195">
        <w:rPr>
          <w:rFonts w:ascii="Times New Roman" w:hAnsi="Times New Roman" w:cs="Times New Roman"/>
          <w:sz w:val="24"/>
          <w:szCs w:val="24"/>
        </w:rPr>
        <w:t xml:space="preserve"> al. (2002) e </w:t>
      </w:r>
      <w:proofErr w:type="spellStart"/>
      <w:r w:rsidRPr="00D76195">
        <w:rPr>
          <w:rFonts w:ascii="Times New Roman" w:hAnsi="Times New Roman" w:cs="Times New Roman"/>
          <w:sz w:val="24"/>
          <w:szCs w:val="24"/>
        </w:rPr>
        <w:t>Partridge</w:t>
      </w:r>
      <w:proofErr w:type="spellEnd"/>
      <w:r w:rsidRPr="00D76195">
        <w:rPr>
          <w:rFonts w:ascii="Times New Roman" w:hAnsi="Times New Roman" w:cs="Times New Roman"/>
          <w:sz w:val="24"/>
          <w:szCs w:val="24"/>
        </w:rPr>
        <w:t xml:space="preserve"> </w:t>
      </w:r>
      <w:proofErr w:type="spellStart"/>
      <w:r w:rsidRPr="00D76195">
        <w:rPr>
          <w:rFonts w:ascii="Times New Roman" w:hAnsi="Times New Roman" w:cs="Times New Roman"/>
          <w:sz w:val="24"/>
          <w:szCs w:val="24"/>
        </w:rPr>
        <w:t>et</w:t>
      </w:r>
      <w:proofErr w:type="spellEnd"/>
      <w:r w:rsidRPr="00D76195">
        <w:rPr>
          <w:rFonts w:ascii="Times New Roman" w:hAnsi="Times New Roman" w:cs="Times New Roman"/>
          <w:sz w:val="24"/>
          <w:szCs w:val="24"/>
        </w:rPr>
        <w:t xml:space="preserve"> al. (2007) e será implementado a partir de uma função utilidade indireta derivada do ajustamento das firmas e famílias representativas. Esse ajustamento levará em consideração os fatores de economias de aglomeração e </w:t>
      </w:r>
      <w:proofErr w:type="spellStart"/>
      <w:r w:rsidRPr="00D76195">
        <w:rPr>
          <w:rFonts w:ascii="Times New Roman" w:hAnsi="Times New Roman" w:cs="Times New Roman"/>
          <w:sz w:val="24"/>
          <w:szCs w:val="24"/>
        </w:rPr>
        <w:t>a-menidades</w:t>
      </w:r>
      <w:proofErr w:type="spellEnd"/>
      <w:r w:rsidRPr="00D76195">
        <w:rPr>
          <w:rFonts w:ascii="Times New Roman" w:hAnsi="Times New Roman" w:cs="Times New Roman"/>
          <w:sz w:val="24"/>
          <w:szCs w:val="24"/>
        </w:rPr>
        <w:t xml:space="preserve"> naturais, bem como efeitos de congestão, isto é, os fatores de primeira e segunda natureza. Serão utilizadas as </w:t>
      </w:r>
      <w:proofErr w:type="spellStart"/>
      <w:r w:rsidRPr="00D76195">
        <w:rPr>
          <w:rFonts w:ascii="Times New Roman" w:hAnsi="Times New Roman" w:cs="Times New Roman"/>
          <w:sz w:val="24"/>
          <w:szCs w:val="24"/>
        </w:rPr>
        <w:t>dummies</w:t>
      </w:r>
      <w:proofErr w:type="spellEnd"/>
      <w:r w:rsidRPr="00D76195">
        <w:rPr>
          <w:rFonts w:ascii="Times New Roman" w:hAnsi="Times New Roman" w:cs="Times New Roman"/>
          <w:sz w:val="24"/>
          <w:szCs w:val="24"/>
        </w:rPr>
        <w:t xml:space="preserve"> para os dados invariantes no tempo, como latitude, altitude, longitude, </w:t>
      </w:r>
      <w:proofErr w:type="spellStart"/>
      <w:r w:rsidRPr="00D76195">
        <w:rPr>
          <w:rFonts w:ascii="Times New Roman" w:hAnsi="Times New Roman" w:cs="Times New Roman"/>
          <w:sz w:val="24"/>
          <w:szCs w:val="24"/>
        </w:rPr>
        <w:t>tem-peratura</w:t>
      </w:r>
      <w:proofErr w:type="spellEnd"/>
      <w:r w:rsidRPr="00D76195">
        <w:rPr>
          <w:rFonts w:ascii="Times New Roman" w:hAnsi="Times New Roman" w:cs="Times New Roman"/>
          <w:sz w:val="24"/>
          <w:szCs w:val="24"/>
        </w:rPr>
        <w:t>, pluviosidade e proximidade de centros urbanos.  A representação de forma reduzida do modelo a ser estimado é:</w:t>
      </w:r>
      <w:r w:rsidR="00766977">
        <w:rPr>
          <w:rFonts w:ascii="Times New Roman" w:hAnsi="Times New Roman" w:cs="Times New Roman"/>
          <w:sz w:val="24"/>
          <w:szCs w:val="24"/>
        </w:rPr>
        <w:t xml:space="preserve">    </w:t>
      </w:r>
    </w:p>
    <w:p w:rsidR="00766977" w:rsidRDefault="00BE7E61" w:rsidP="00674EC8">
      <w:pPr>
        <w:tabs>
          <w:tab w:val="left" w:pos="8364"/>
        </w:tabs>
        <w:spacing w:line="240" w:lineRule="auto"/>
        <w:ind w:firstLine="1701"/>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Δpop</m:t>
            </m:r>
          </m:e>
          <m:sub>
            <m:r>
              <w:rPr>
                <w:rFonts w:ascii="Cambria Math" w:hAnsi="Cambria Math" w:cs="Times New Roman"/>
                <w:sz w:val="24"/>
                <w:szCs w:val="24"/>
              </w:rPr>
              <m:t>i(t1-t0)</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r>
              <m:rPr>
                <m:sty m:val="p"/>
              </m:rPr>
              <w:rPr>
                <w:rFonts w:ascii="Cambria Math" w:hAnsi="Cambria Math" w:cs="Times New Roman"/>
                <w:sz w:val="24"/>
                <w:szCs w:val="24"/>
              </w:rPr>
              <m:t>Δ</m:t>
            </m:r>
            <m:r>
              <w:rPr>
                <w:rFonts w:ascii="Cambria Math" w:hAnsi="Cambria Math" w:cs="Times New Roman"/>
                <w:sz w:val="24"/>
                <w:szCs w:val="24"/>
              </w:rPr>
              <m:t>A</m:t>
            </m:r>
          </m:e>
          <m:sub>
            <m:r>
              <w:rPr>
                <w:rFonts w:ascii="Cambria Math" w:hAnsi="Cambria Math" w:cs="Times New Roman"/>
                <w:sz w:val="24"/>
                <w:szCs w:val="24"/>
              </w:rPr>
              <m:t>i(t1-t0)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r>
              <m:rPr>
                <m:sty m:val="p"/>
              </m:rPr>
              <w:rPr>
                <w:rFonts w:ascii="Cambria Math" w:hAnsi="Cambria Math" w:cs="Times New Roman"/>
                <w:sz w:val="24"/>
                <w:szCs w:val="24"/>
              </w:rPr>
              <m:t>Δ</m:t>
            </m:r>
            <m:r>
              <w:rPr>
                <w:rFonts w:ascii="Cambria Math" w:hAnsi="Cambria Math" w:cs="Times New Roman"/>
                <w:sz w:val="24"/>
                <w:szCs w:val="24"/>
              </w:rPr>
              <m:t>AG</m:t>
            </m:r>
          </m:e>
          <m:sub>
            <m:r>
              <w:rPr>
                <w:rFonts w:ascii="Cambria Math" w:hAnsi="Cambria Math" w:cs="Times New Roman"/>
                <w:sz w:val="24"/>
                <w:szCs w:val="24"/>
              </w:rPr>
              <m:t>i(t1-t0)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r>
              <m:rPr>
                <m:sty m:val="p"/>
              </m:rPr>
              <w:rPr>
                <w:rFonts w:ascii="Cambria Math" w:hAnsi="Cambria Math" w:cs="Times New Roman"/>
                <w:sz w:val="24"/>
                <w:szCs w:val="24"/>
              </w:rPr>
              <m:t>Δ</m:t>
            </m:r>
            <m:r>
              <w:rPr>
                <w:rFonts w:ascii="Cambria Math" w:hAnsi="Cambria Math" w:cs="Times New Roman"/>
                <w:sz w:val="24"/>
                <w:szCs w:val="24"/>
              </w:rPr>
              <m:t>ES</m:t>
            </m:r>
          </m:e>
          <m:sub>
            <m:r>
              <w:rPr>
                <w:rFonts w:ascii="Cambria Math" w:hAnsi="Cambria Math" w:cs="Times New Roman"/>
                <w:sz w:val="24"/>
                <w:szCs w:val="24"/>
              </w:rPr>
              <m:t>i(t1-t0)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i(t-0)</m:t>
            </m:r>
          </m:sub>
        </m:sSub>
      </m:oMath>
      <w:bookmarkStart w:id="11" w:name="equacao22"/>
      <w:r w:rsidR="00183CFE">
        <w:rPr>
          <w:rFonts w:ascii="Times New Roman" w:eastAsiaTheme="minorEastAsia" w:hAnsi="Times New Roman" w:cs="Times New Roman"/>
          <w:sz w:val="24"/>
          <w:szCs w:val="24"/>
        </w:rPr>
        <w:tab/>
      </w:r>
      <w:r w:rsidR="00766977">
        <w:rPr>
          <w:rFonts w:ascii="Times New Roman" w:eastAsiaTheme="minorEastAsia" w:hAnsi="Times New Roman" w:cs="Times New Roman"/>
          <w:sz w:val="24"/>
          <w:szCs w:val="24"/>
        </w:rPr>
        <w:t>(</w:t>
      </w:r>
      <w:r w:rsidR="00113D87">
        <w:rPr>
          <w:rFonts w:ascii="Times New Roman" w:eastAsiaTheme="minorEastAsia" w:hAnsi="Times New Roman" w:cs="Times New Roman"/>
          <w:sz w:val="24"/>
          <w:szCs w:val="24"/>
        </w:rPr>
        <w:t>3</w:t>
      </w:r>
      <w:r w:rsidR="00766977">
        <w:rPr>
          <w:rFonts w:ascii="Times New Roman" w:eastAsiaTheme="minorEastAsia" w:hAnsi="Times New Roman" w:cs="Times New Roman"/>
          <w:sz w:val="24"/>
          <w:szCs w:val="24"/>
        </w:rPr>
        <w:t>)</w:t>
      </w:r>
      <w:bookmarkEnd w:id="11"/>
    </w:p>
    <w:p w:rsidR="00766977" w:rsidRDefault="00766977" w:rsidP="00FD7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onde </w:t>
      </w:r>
      <w:r w:rsidR="00FD740D">
        <w:rPr>
          <w:rFonts w:ascii="Times New Roman" w:hAnsi="Times New Roman" w:cs="Times New Roman"/>
          <w:sz w:val="24"/>
          <w:szCs w:val="24"/>
        </w:rPr>
        <w:t xml:space="preserve">pop é a população; </w:t>
      </w:r>
      <w:r w:rsidR="00E6739A" w:rsidRPr="00E6739A">
        <w:rPr>
          <w:rFonts w:ascii="Times New Roman" w:hAnsi="Times New Roman" w:cs="Times New Roman"/>
          <w:i/>
          <w:sz w:val="24"/>
          <w:szCs w:val="24"/>
        </w:rPr>
        <w:t>A</w:t>
      </w:r>
      <w:r>
        <w:rPr>
          <w:rFonts w:ascii="Times New Roman" w:hAnsi="Times New Roman" w:cs="Times New Roman"/>
          <w:sz w:val="24"/>
          <w:szCs w:val="24"/>
        </w:rPr>
        <w:t xml:space="preserve"> representa o potencial de mercado, </w:t>
      </w:r>
      <w:r w:rsidR="00BB44B4">
        <w:rPr>
          <w:rFonts w:ascii="Times New Roman" w:hAnsi="Times New Roman" w:cs="Times New Roman"/>
          <w:sz w:val="24"/>
          <w:szCs w:val="24"/>
        </w:rPr>
        <w:t>mensurado</w:t>
      </w:r>
      <w:r>
        <w:rPr>
          <w:rFonts w:ascii="Times New Roman" w:hAnsi="Times New Roman" w:cs="Times New Roman"/>
          <w:sz w:val="24"/>
          <w:szCs w:val="24"/>
        </w:rPr>
        <w:t xml:space="preserve"> através do Índice de Acessibil</w:t>
      </w:r>
      <w:r>
        <w:rPr>
          <w:rFonts w:ascii="Times New Roman" w:hAnsi="Times New Roman" w:cs="Times New Roman"/>
          <w:sz w:val="24"/>
          <w:szCs w:val="24"/>
        </w:rPr>
        <w:t>i</w:t>
      </w:r>
      <w:r>
        <w:rPr>
          <w:rFonts w:ascii="Times New Roman" w:hAnsi="Times New Roman" w:cs="Times New Roman"/>
          <w:sz w:val="24"/>
          <w:szCs w:val="24"/>
        </w:rPr>
        <w:t>dade</w:t>
      </w:r>
      <w:r w:rsidR="00BB44B4">
        <w:rPr>
          <w:rFonts w:ascii="Times New Roman" w:hAnsi="Times New Roman" w:cs="Times New Roman"/>
          <w:sz w:val="24"/>
          <w:szCs w:val="24"/>
        </w:rPr>
        <w:t xml:space="preserve"> e que capta a </w:t>
      </w:r>
      <w:r>
        <w:rPr>
          <w:rFonts w:ascii="Times New Roman" w:hAnsi="Times New Roman" w:cs="Times New Roman"/>
          <w:sz w:val="24"/>
          <w:szCs w:val="24"/>
        </w:rPr>
        <w:t xml:space="preserve">infraestrutura de transporte; </w:t>
      </w:r>
      <w:r w:rsidRPr="00AF4C34">
        <w:rPr>
          <w:rFonts w:ascii="Times New Roman" w:hAnsi="Times New Roman" w:cs="Times New Roman"/>
          <w:i/>
          <w:sz w:val="24"/>
          <w:szCs w:val="24"/>
        </w:rPr>
        <w:t>A</w:t>
      </w:r>
      <w:r>
        <w:rPr>
          <w:rFonts w:ascii="Times New Roman" w:hAnsi="Times New Roman" w:cs="Times New Roman"/>
          <w:i/>
          <w:sz w:val="24"/>
          <w:szCs w:val="24"/>
        </w:rPr>
        <w:t>G</w:t>
      </w:r>
      <w:r>
        <w:rPr>
          <w:rFonts w:ascii="Times New Roman" w:hAnsi="Times New Roman" w:cs="Times New Roman"/>
          <w:sz w:val="24"/>
          <w:szCs w:val="24"/>
        </w:rPr>
        <w:t xml:space="preserve"> corresponde às variáveis que captam as amenidades naturais dos municípios, chamadas de elementos de primeira natureza, que correspondem </w:t>
      </w:r>
      <w:r w:rsidR="00BB44B4">
        <w:rPr>
          <w:rFonts w:ascii="Times New Roman" w:hAnsi="Times New Roman" w:cs="Times New Roman"/>
          <w:sz w:val="24"/>
          <w:szCs w:val="24"/>
        </w:rPr>
        <w:t xml:space="preserve">à </w:t>
      </w:r>
      <w:r>
        <w:rPr>
          <w:rFonts w:ascii="Times New Roman" w:hAnsi="Times New Roman" w:cs="Times New Roman"/>
          <w:sz w:val="24"/>
          <w:szCs w:val="24"/>
        </w:rPr>
        <w:t>latitude, alt</w:t>
      </w:r>
      <w:r>
        <w:rPr>
          <w:rFonts w:ascii="Times New Roman" w:hAnsi="Times New Roman" w:cs="Times New Roman"/>
          <w:sz w:val="24"/>
          <w:szCs w:val="24"/>
        </w:rPr>
        <w:t>i</w:t>
      </w:r>
      <w:r>
        <w:rPr>
          <w:rFonts w:ascii="Times New Roman" w:hAnsi="Times New Roman" w:cs="Times New Roman"/>
          <w:sz w:val="24"/>
          <w:szCs w:val="24"/>
        </w:rPr>
        <w:t>tude, longitude</w:t>
      </w:r>
      <w:r w:rsidR="00BB44B4">
        <w:rPr>
          <w:rFonts w:ascii="Times New Roman" w:hAnsi="Times New Roman" w:cs="Times New Roman"/>
          <w:sz w:val="24"/>
          <w:szCs w:val="24"/>
        </w:rPr>
        <w:t xml:space="preserve">, </w:t>
      </w:r>
      <w:r>
        <w:rPr>
          <w:rFonts w:ascii="Times New Roman" w:hAnsi="Times New Roman" w:cs="Times New Roman"/>
          <w:sz w:val="24"/>
          <w:szCs w:val="24"/>
        </w:rPr>
        <w:t xml:space="preserve">pluviosidade e </w:t>
      </w:r>
      <w:r w:rsidR="00BB44B4">
        <w:rPr>
          <w:rFonts w:ascii="Times New Roman" w:hAnsi="Times New Roman" w:cs="Times New Roman"/>
          <w:sz w:val="24"/>
          <w:szCs w:val="24"/>
        </w:rPr>
        <w:t>à</w:t>
      </w:r>
      <w:r>
        <w:rPr>
          <w:rFonts w:ascii="Times New Roman" w:hAnsi="Times New Roman" w:cs="Times New Roman"/>
          <w:sz w:val="24"/>
          <w:szCs w:val="24"/>
        </w:rPr>
        <w:t xml:space="preserve"> proximidade das pequenas cidades aos </w:t>
      </w:r>
      <w:r w:rsidR="00BB44B4">
        <w:rPr>
          <w:rFonts w:ascii="Times New Roman" w:hAnsi="Times New Roman" w:cs="Times New Roman"/>
          <w:sz w:val="24"/>
          <w:szCs w:val="24"/>
        </w:rPr>
        <w:t xml:space="preserve">grandes </w:t>
      </w:r>
      <w:r>
        <w:rPr>
          <w:rFonts w:ascii="Times New Roman" w:hAnsi="Times New Roman" w:cs="Times New Roman"/>
          <w:sz w:val="24"/>
          <w:szCs w:val="24"/>
        </w:rPr>
        <w:t xml:space="preserve">centros urbanos, todas representadas por </w:t>
      </w:r>
      <w:r w:rsidRPr="004479A7">
        <w:rPr>
          <w:rFonts w:ascii="Times New Roman" w:hAnsi="Times New Roman" w:cs="Times New Roman"/>
          <w:i/>
          <w:sz w:val="24"/>
          <w:szCs w:val="24"/>
        </w:rPr>
        <w:t>dummies</w:t>
      </w:r>
      <w:r>
        <w:rPr>
          <w:rFonts w:ascii="Times New Roman" w:hAnsi="Times New Roman" w:cs="Times New Roman"/>
          <w:sz w:val="24"/>
          <w:szCs w:val="24"/>
        </w:rPr>
        <w:t xml:space="preserve">; </w:t>
      </w:r>
      <w:r w:rsidRPr="00AF4C34">
        <w:rPr>
          <w:rFonts w:ascii="Times New Roman" w:hAnsi="Times New Roman" w:cs="Times New Roman"/>
          <w:i/>
          <w:sz w:val="24"/>
          <w:szCs w:val="24"/>
        </w:rPr>
        <w:t>ES</w:t>
      </w:r>
      <w:r>
        <w:rPr>
          <w:rFonts w:ascii="Times New Roman" w:hAnsi="Times New Roman" w:cs="Times New Roman"/>
          <w:sz w:val="24"/>
          <w:szCs w:val="24"/>
        </w:rPr>
        <w:t xml:space="preserve"> são as variáveis econômicas e sociais, como, salários, participação do emprego rural e urbano e índices de desenvolvimento humano </w:t>
      </w:r>
      <w:r w:rsidRPr="00330B4A">
        <w:rPr>
          <w:rFonts w:ascii="Times New Roman" w:hAnsi="Times New Roman" w:cs="Times New Roman"/>
          <w:i/>
          <w:sz w:val="24"/>
          <w:szCs w:val="24"/>
        </w:rPr>
        <w:t>IDH’s</w:t>
      </w:r>
      <w:r>
        <w:rPr>
          <w:rFonts w:ascii="Times New Roman" w:hAnsi="Times New Roman" w:cs="Times New Roman"/>
          <w:sz w:val="24"/>
          <w:szCs w:val="24"/>
        </w:rPr>
        <w:t xml:space="preserve">; as letras gregas </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00BB44B4">
        <w:rPr>
          <w:rFonts w:ascii="Symbol" w:hAnsi="Symbol" w:cs="Times New Roman"/>
          <w:i/>
          <w:sz w:val="24"/>
          <w:szCs w:val="24"/>
        </w:rPr>
        <w:t></w:t>
      </w:r>
      <w:r w:rsidR="00BB44B4" w:rsidRPr="00BB44B4">
        <w:rPr>
          <w:rFonts w:ascii="Times New Roman" w:hAnsi="Times New Roman" w:cs="Times New Roman"/>
          <w:sz w:val="24"/>
          <w:szCs w:val="24"/>
        </w:rPr>
        <w:t>e</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Pr>
          <w:rFonts w:ascii="Symbol" w:hAnsi="Symbol" w:cs="Times New Roman"/>
          <w:sz w:val="24"/>
          <w:szCs w:val="24"/>
        </w:rPr>
        <w:t></w:t>
      </w:r>
      <w:r>
        <w:rPr>
          <w:rFonts w:ascii="Times New Roman" w:hAnsi="Times New Roman" w:cs="Times New Roman"/>
          <w:sz w:val="24"/>
          <w:szCs w:val="24"/>
        </w:rPr>
        <w:t xml:space="preserve">são os coeficientes de regressão e </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Symbol" w:hAnsi="Symbol" w:cs="Times New Roman"/>
          <w:i/>
          <w:sz w:val="24"/>
          <w:szCs w:val="24"/>
        </w:rPr>
        <w:t></w:t>
      </w:r>
      <w:r w:rsidRPr="00AF4C34">
        <w:rPr>
          <w:rFonts w:ascii="Times New Roman" w:hAnsi="Times New Roman" w:cs="Times New Roman"/>
          <w:sz w:val="24"/>
          <w:szCs w:val="24"/>
        </w:rPr>
        <w:t>o termo de erro.</w:t>
      </w:r>
      <w:r w:rsidR="005167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A72" w:rsidRDefault="007D374C" w:rsidP="0044685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A equação </w:t>
      </w:r>
      <w:r w:rsidR="00113D87">
        <w:rPr>
          <w:rFonts w:ascii="Times New Roman" w:eastAsiaTheme="minorEastAsia" w:hAnsi="Times New Roman" w:cs="Times New Roman"/>
          <w:sz w:val="24"/>
          <w:szCs w:val="24"/>
        </w:rPr>
        <w:t>(3)</w:t>
      </w:r>
      <w:r>
        <w:rPr>
          <w:rFonts w:ascii="Times New Roman" w:hAnsi="Times New Roman" w:cs="Times New Roman"/>
          <w:sz w:val="24"/>
          <w:szCs w:val="24"/>
        </w:rPr>
        <w:t xml:space="preserve"> </w:t>
      </w:r>
      <w:r w:rsidR="001B3A72">
        <w:rPr>
          <w:rFonts w:ascii="Times New Roman" w:hAnsi="Times New Roman" w:cs="Times New Roman"/>
          <w:sz w:val="24"/>
          <w:szCs w:val="24"/>
        </w:rPr>
        <w:t>será estimad</w:t>
      </w:r>
      <w:r>
        <w:rPr>
          <w:rFonts w:ascii="Times New Roman" w:hAnsi="Times New Roman" w:cs="Times New Roman"/>
          <w:sz w:val="24"/>
          <w:szCs w:val="24"/>
        </w:rPr>
        <w:t>a</w:t>
      </w:r>
      <w:r w:rsidR="001B3A72">
        <w:rPr>
          <w:rFonts w:ascii="Times New Roman" w:hAnsi="Times New Roman" w:cs="Times New Roman"/>
          <w:sz w:val="24"/>
          <w:szCs w:val="24"/>
        </w:rPr>
        <w:t xml:space="preserve"> </w:t>
      </w:r>
      <w:r w:rsidR="00766977">
        <w:rPr>
          <w:rFonts w:ascii="Times New Roman" w:hAnsi="Times New Roman" w:cs="Times New Roman"/>
          <w:sz w:val="24"/>
          <w:szCs w:val="24"/>
        </w:rPr>
        <w:t xml:space="preserve">pelo método dos </w:t>
      </w:r>
      <w:r w:rsidR="006D7B24">
        <w:rPr>
          <w:rFonts w:ascii="Times New Roman" w:hAnsi="Times New Roman" w:cs="Times New Roman"/>
          <w:sz w:val="24"/>
          <w:szCs w:val="24"/>
        </w:rPr>
        <w:t xml:space="preserve">Mínimos Quadrados Ordinários </w:t>
      </w:r>
      <w:r w:rsidR="00CE48F0">
        <w:rPr>
          <w:rFonts w:ascii="Times New Roman" w:hAnsi="Times New Roman" w:cs="Times New Roman"/>
          <w:sz w:val="24"/>
          <w:szCs w:val="24"/>
        </w:rPr>
        <w:t xml:space="preserve">- </w:t>
      </w:r>
      <w:r w:rsidR="006D7B24">
        <w:rPr>
          <w:rFonts w:ascii="Times New Roman" w:hAnsi="Times New Roman" w:cs="Times New Roman"/>
          <w:sz w:val="24"/>
          <w:szCs w:val="24"/>
        </w:rPr>
        <w:t xml:space="preserve">MQO </w:t>
      </w:r>
      <w:r w:rsidR="001B3A72">
        <w:rPr>
          <w:rFonts w:ascii="Times New Roman" w:hAnsi="Times New Roman" w:cs="Times New Roman"/>
          <w:sz w:val="24"/>
          <w:szCs w:val="24"/>
        </w:rPr>
        <w:t>para os mun</w:t>
      </w:r>
      <w:r w:rsidR="001B3A72">
        <w:rPr>
          <w:rFonts w:ascii="Times New Roman" w:hAnsi="Times New Roman" w:cs="Times New Roman"/>
          <w:sz w:val="24"/>
          <w:szCs w:val="24"/>
        </w:rPr>
        <w:t>i</w:t>
      </w:r>
      <w:r w:rsidR="001B3A72">
        <w:rPr>
          <w:rFonts w:ascii="Times New Roman" w:hAnsi="Times New Roman" w:cs="Times New Roman"/>
          <w:sz w:val="24"/>
          <w:szCs w:val="24"/>
        </w:rPr>
        <w:t xml:space="preserve">cípios da </w:t>
      </w:r>
      <w:r w:rsidR="006D7B24">
        <w:rPr>
          <w:rFonts w:ascii="Times New Roman" w:hAnsi="Times New Roman" w:cs="Times New Roman"/>
          <w:sz w:val="24"/>
          <w:szCs w:val="24"/>
        </w:rPr>
        <w:t>Região Norte</w:t>
      </w:r>
      <w:r w:rsidR="001B3A72">
        <w:rPr>
          <w:rFonts w:ascii="Times New Roman" w:hAnsi="Times New Roman" w:cs="Times New Roman"/>
          <w:sz w:val="24"/>
          <w:szCs w:val="24"/>
        </w:rPr>
        <w:t>, foca</w:t>
      </w:r>
      <w:r w:rsidR="0051676F">
        <w:rPr>
          <w:rFonts w:ascii="Times New Roman" w:hAnsi="Times New Roman" w:cs="Times New Roman"/>
          <w:sz w:val="24"/>
          <w:szCs w:val="24"/>
        </w:rPr>
        <w:t>n</w:t>
      </w:r>
      <w:r w:rsidR="001B3A72">
        <w:rPr>
          <w:rFonts w:ascii="Times New Roman" w:hAnsi="Times New Roman" w:cs="Times New Roman"/>
          <w:sz w:val="24"/>
          <w:szCs w:val="24"/>
        </w:rPr>
        <w:t>do no</w:t>
      </w:r>
      <w:r w:rsidR="0051676F">
        <w:rPr>
          <w:rFonts w:ascii="Times New Roman" w:hAnsi="Times New Roman" w:cs="Times New Roman"/>
          <w:sz w:val="24"/>
          <w:szCs w:val="24"/>
        </w:rPr>
        <w:t>s</w:t>
      </w:r>
      <w:r w:rsidR="001B3A72">
        <w:rPr>
          <w:rFonts w:ascii="Times New Roman" w:hAnsi="Times New Roman" w:cs="Times New Roman"/>
          <w:sz w:val="24"/>
          <w:szCs w:val="24"/>
        </w:rPr>
        <w:t xml:space="preserve"> aspecto</w:t>
      </w:r>
      <w:r w:rsidR="0051676F">
        <w:rPr>
          <w:rFonts w:ascii="Times New Roman" w:hAnsi="Times New Roman" w:cs="Times New Roman"/>
          <w:sz w:val="24"/>
          <w:szCs w:val="24"/>
        </w:rPr>
        <w:t>s</w:t>
      </w:r>
      <w:r w:rsidR="001B3A72">
        <w:rPr>
          <w:rFonts w:ascii="Times New Roman" w:hAnsi="Times New Roman" w:cs="Times New Roman"/>
          <w:sz w:val="24"/>
          <w:szCs w:val="24"/>
        </w:rPr>
        <w:t xml:space="preserve"> espacia</w:t>
      </w:r>
      <w:r w:rsidR="0051676F">
        <w:rPr>
          <w:rFonts w:ascii="Times New Roman" w:hAnsi="Times New Roman" w:cs="Times New Roman"/>
          <w:sz w:val="24"/>
          <w:szCs w:val="24"/>
        </w:rPr>
        <w:t>is</w:t>
      </w:r>
      <w:r w:rsidR="001B3A72">
        <w:rPr>
          <w:rFonts w:ascii="Times New Roman" w:hAnsi="Times New Roman" w:cs="Times New Roman"/>
          <w:sz w:val="24"/>
          <w:szCs w:val="24"/>
        </w:rPr>
        <w:t xml:space="preserve">, de modo que permita captar os efeitos dos fatores geográficos, demográficos, econômicos e sociais que influenciam demanda e oferta de trabalho. </w:t>
      </w:r>
      <w:r w:rsidR="00146CA1">
        <w:rPr>
          <w:rFonts w:ascii="Times New Roman" w:hAnsi="Times New Roman" w:cs="Times New Roman"/>
          <w:sz w:val="24"/>
          <w:szCs w:val="24"/>
        </w:rPr>
        <w:t>O mod</w:t>
      </w:r>
      <w:r w:rsidR="00146CA1">
        <w:rPr>
          <w:rFonts w:ascii="Times New Roman" w:hAnsi="Times New Roman" w:cs="Times New Roman"/>
          <w:sz w:val="24"/>
          <w:szCs w:val="24"/>
        </w:rPr>
        <w:t>e</w:t>
      </w:r>
      <w:r w:rsidR="00146CA1">
        <w:rPr>
          <w:rFonts w:ascii="Times New Roman" w:hAnsi="Times New Roman" w:cs="Times New Roman"/>
          <w:sz w:val="24"/>
          <w:szCs w:val="24"/>
        </w:rPr>
        <w:t>lo será estimado separadamente para população rural e urbana.</w:t>
      </w:r>
      <w:r w:rsidR="001B3A72">
        <w:rPr>
          <w:rFonts w:ascii="Times New Roman" w:hAnsi="Times New Roman" w:cs="Times New Roman"/>
          <w:sz w:val="24"/>
          <w:szCs w:val="24"/>
        </w:rPr>
        <w:t xml:space="preserve"> O objetivo de diferenciar </w:t>
      </w:r>
      <w:r w:rsidR="00146CA1">
        <w:rPr>
          <w:rFonts w:ascii="Times New Roman" w:hAnsi="Times New Roman" w:cs="Times New Roman"/>
          <w:sz w:val="24"/>
          <w:szCs w:val="24"/>
        </w:rPr>
        <w:t>os espaços rurais e urbanos</w:t>
      </w:r>
      <w:r w:rsidR="001B3A72">
        <w:rPr>
          <w:rFonts w:ascii="Times New Roman" w:hAnsi="Times New Roman" w:cs="Times New Roman"/>
          <w:sz w:val="24"/>
          <w:szCs w:val="24"/>
        </w:rPr>
        <w:t xml:space="preserve"> é </w:t>
      </w:r>
      <w:r w:rsidR="00864A51">
        <w:rPr>
          <w:rFonts w:ascii="Times New Roman" w:hAnsi="Times New Roman" w:cs="Times New Roman"/>
          <w:sz w:val="24"/>
          <w:szCs w:val="24"/>
        </w:rPr>
        <w:t xml:space="preserve">verificar se é válida </w:t>
      </w:r>
      <w:r w:rsidR="001B3A72">
        <w:rPr>
          <w:rFonts w:ascii="Times New Roman" w:hAnsi="Times New Roman" w:cs="Times New Roman"/>
          <w:sz w:val="24"/>
          <w:szCs w:val="24"/>
        </w:rPr>
        <w:t xml:space="preserve">a </w:t>
      </w:r>
      <w:r w:rsidR="00864A51">
        <w:rPr>
          <w:rFonts w:ascii="Times New Roman" w:hAnsi="Times New Roman" w:cs="Times New Roman"/>
          <w:sz w:val="24"/>
          <w:szCs w:val="24"/>
        </w:rPr>
        <w:t xml:space="preserve">suposição </w:t>
      </w:r>
      <w:r w:rsidR="001B3A72">
        <w:rPr>
          <w:rFonts w:ascii="Times New Roman" w:hAnsi="Times New Roman" w:cs="Times New Roman"/>
          <w:sz w:val="24"/>
          <w:szCs w:val="24"/>
        </w:rPr>
        <w:t>das cidades como “</w:t>
      </w:r>
      <w:r w:rsidR="00027B82">
        <w:rPr>
          <w:rFonts w:ascii="Times New Roman" w:hAnsi="Times New Roman" w:cs="Times New Roman"/>
          <w:sz w:val="24"/>
          <w:szCs w:val="24"/>
        </w:rPr>
        <w:t>indutores</w:t>
      </w:r>
      <w:r w:rsidR="00E32445">
        <w:rPr>
          <w:rFonts w:ascii="Times New Roman" w:hAnsi="Times New Roman" w:cs="Times New Roman"/>
          <w:sz w:val="24"/>
          <w:szCs w:val="24"/>
        </w:rPr>
        <w:t xml:space="preserve"> de crescimento</w:t>
      </w:r>
      <w:r w:rsidR="001B3A72">
        <w:rPr>
          <w:rFonts w:ascii="Times New Roman" w:hAnsi="Times New Roman" w:cs="Times New Roman"/>
          <w:sz w:val="24"/>
          <w:szCs w:val="24"/>
        </w:rPr>
        <w:t xml:space="preserve">”. A princípio, pressupõe-se que houve algum esvaziamento da população rural, em favor do crescimento dos grandes centros urbanos. </w:t>
      </w:r>
    </w:p>
    <w:p w:rsidR="001B3A72" w:rsidRDefault="00945590" w:rsidP="00281017">
      <w:pPr>
        <w:spacing w:after="12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Os mercados po</w:t>
      </w:r>
      <w:r w:rsidR="009D4911">
        <w:rPr>
          <w:rFonts w:ascii="Times New Roman" w:hAnsi="Times New Roman" w:cs="Times New Roman"/>
          <w:sz w:val="24"/>
          <w:szCs w:val="24"/>
        </w:rPr>
        <w:t>te</w:t>
      </w:r>
      <w:r>
        <w:rPr>
          <w:rFonts w:ascii="Times New Roman" w:hAnsi="Times New Roman" w:cs="Times New Roman"/>
          <w:sz w:val="24"/>
          <w:szCs w:val="24"/>
        </w:rPr>
        <w:t>n</w:t>
      </w:r>
      <w:r w:rsidR="009D4911">
        <w:rPr>
          <w:rFonts w:ascii="Times New Roman" w:hAnsi="Times New Roman" w:cs="Times New Roman"/>
          <w:sz w:val="24"/>
          <w:szCs w:val="24"/>
        </w:rPr>
        <w:t xml:space="preserve">ciais </w:t>
      </w:r>
      <w:r w:rsidR="009D4911" w:rsidRPr="009D4911">
        <w:rPr>
          <w:rFonts w:ascii="Times New Roman" w:hAnsi="Times New Roman" w:cs="Times New Roman"/>
          <w:i/>
          <w:sz w:val="24"/>
          <w:szCs w:val="24"/>
        </w:rPr>
        <w:t>j</w:t>
      </w:r>
      <w:r w:rsidR="009D4911">
        <w:rPr>
          <w:rFonts w:ascii="Times New Roman" w:hAnsi="Times New Roman" w:cs="Times New Roman"/>
          <w:sz w:val="24"/>
          <w:szCs w:val="24"/>
        </w:rPr>
        <w:t xml:space="preserve"> são todas as cidades existentes em 1980 com </w:t>
      </w:r>
      <w:r w:rsidR="001B3A72">
        <w:rPr>
          <w:rFonts w:ascii="Times New Roman" w:hAnsi="Times New Roman" w:cs="Times New Roman"/>
          <w:sz w:val="24"/>
          <w:szCs w:val="24"/>
        </w:rPr>
        <w:t>população acima de 100 mil habitantes</w:t>
      </w:r>
      <w:r w:rsidR="006B403E">
        <w:rPr>
          <w:rStyle w:val="Refdenotaderodap"/>
          <w:rFonts w:ascii="Times New Roman" w:hAnsi="Times New Roman" w:cs="Times New Roman"/>
          <w:sz w:val="24"/>
          <w:szCs w:val="24"/>
        </w:rPr>
        <w:footnoteReference w:id="5"/>
      </w:r>
      <w:r w:rsidR="001B3A72">
        <w:rPr>
          <w:rFonts w:ascii="Times New Roman" w:hAnsi="Times New Roman" w:cs="Times New Roman"/>
          <w:sz w:val="24"/>
          <w:szCs w:val="24"/>
        </w:rPr>
        <w:t xml:space="preserve">. Da Mata </w:t>
      </w:r>
      <w:r w:rsidR="009D4911">
        <w:rPr>
          <w:rFonts w:ascii="Times New Roman" w:hAnsi="Times New Roman" w:cs="Times New Roman"/>
          <w:sz w:val="24"/>
          <w:szCs w:val="24"/>
        </w:rPr>
        <w:t xml:space="preserve">et al. </w:t>
      </w:r>
      <w:r w:rsidR="001B3A72">
        <w:rPr>
          <w:rFonts w:ascii="Times New Roman" w:hAnsi="Times New Roman" w:cs="Times New Roman"/>
          <w:sz w:val="24"/>
          <w:szCs w:val="24"/>
        </w:rPr>
        <w:t>(2005a) afirma</w:t>
      </w:r>
      <w:r w:rsidR="009D4911">
        <w:rPr>
          <w:rFonts w:ascii="Times New Roman" w:hAnsi="Times New Roman" w:cs="Times New Roman"/>
          <w:sz w:val="24"/>
          <w:szCs w:val="24"/>
        </w:rPr>
        <w:t>m</w:t>
      </w:r>
      <w:r w:rsidR="001B3A72">
        <w:rPr>
          <w:rFonts w:ascii="Times New Roman" w:hAnsi="Times New Roman" w:cs="Times New Roman"/>
          <w:sz w:val="24"/>
          <w:szCs w:val="24"/>
        </w:rPr>
        <w:t xml:space="preserve"> que no Brasil não existe uma definição do que é uma </w:t>
      </w:r>
      <w:r w:rsidR="009D4911">
        <w:rPr>
          <w:rFonts w:ascii="Times New Roman" w:hAnsi="Times New Roman" w:cs="Times New Roman"/>
          <w:sz w:val="24"/>
          <w:szCs w:val="24"/>
        </w:rPr>
        <w:t xml:space="preserve">grande </w:t>
      </w:r>
      <w:r w:rsidR="001B3A72">
        <w:rPr>
          <w:rFonts w:ascii="Times New Roman" w:hAnsi="Times New Roman" w:cs="Times New Roman"/>
          <w:sz w:val="24"/>
          <w:szCs w:val="24"/>
        </w:rPr>
        <w:t>aglomeração. Na</w:t>
      </w:r>
      <w:r w:rsidR="009D4911">
        <w:rPr>
          <w:rFonts w:ascii="Times New Roman" w:hAnsi="Times New Roman" w:cs="Times New Roman"/>
          <w:sz w:val="24"/>
          <w:szCs w:val="24"/>
        </w:rPr>
        <w:t>s</w:t>
      </w:r>
      <w:r w:rsidR="001B3A72">
        <w:rPr>
          <w:rFonts w:ascii="Times New Roman" w:hAnsi="Times New Roman" w:cs="Times New Roman"/>
          <w:sz w:val="24"/>
          <w:szCs w:val="24"/>
        </w:rPr>
        <w:t xml:space="preserve"> sua</w:t>
      </w:r>
      <w:r w:rsidR="009D4911">
        <w:rPr>
          <w:rFonts w:ascii="Times New Roman" w:hAnsi="Times New Roman" w:cs="Times New Roman"/>
          <w:sz w:val="24"/>
          <w:szCs w:val="24"/>
        </w:rPr>
        <w:t>s</w:t>
      </w:r>
      <w:r w:rsidR="001B3A72">
        <w:rPr>
          <w:rFonts w:ascii="Times New Roman" w:hAnsi="Times New Roman" w:cs="Times New Roman"/>
          <w:sz w:val="24"/>
          <w:szCs w:val="24"/>
        </w:rPr>
        <w:t xml:space="preserve"> abordage</w:t>
      </w:r>
      <w:r w:rsidR="009D4911">
        <w:rPr>
          <w:rFonts w:ascii="Times New Roman" w:hAnsi="Times New Roman" w:cs="Times New Roman"/>
          <w:sz w:val="24"/>
          <w:szCs w:val="24"/>
        </w:rPr>
        <w:t>ns</w:t>
      </w:r>
      <w:r w:rsidR="001B3A72">
        <w:rPr>
          <w:rFonts w:ascii="Times New Roman" w:hAnsi="Times New Roman" w:cs="Times New Roman"/>
          <w:sz w:val="24"/>
          <w:szCs w:val="24"/>
        </w:rPr>
        <w:t xml:space="preserve">, </w:t>
      </w:r>
      <w:r w:rsidR="006B403E">
        <w:rPr>
          <w:rFonts w:ascii="Times New Roman" w:hAnsi="Times New Roman" w:cs="Times New Roman"/>
          <w:sz w:val="24"/>
          <w:szCs w:val="24"/>
        </w:rPr>
        <w:t>o</w:t>
      </w:r>
      <w:r w:rsidR="009D4911">
        <w:rPr>
          <w:rFonts w:ascii="Times New Roman" w:hAnsi="Times New Roman" w:cs="Times New Roman"/>
          <w:sz w:val="24"/>
          <w:szCs w:val="24"/>
        </w:rPr>
        <w:t>s</w:t>
      </w:r>
      <w:r w:rsidR="006B403E">
        <w:rPr>
          <w:rFonts w:ascii="Times New Roman" w:hAnsi="Times New Roman" w:cs="Times New Roman"/>
          <w:sz w:val="24"/>
          <w:szCs w:val="24"/>
        </w:rPr>
        <w:t xml:space="preserve"> autor</w:t>
      </w:r>
      <w:r w:rsidR="009D4911">
        <w:rPr>
          <w:rFonts w:ascii="Times New Roman" w:hAnsi="Times New Roman" w:cs="Times New Roman"/>
          <w:sz w:val="24"/>
          <w:szCs w:val="24"/>
        </w:rPr>
        <w:t xml:space="preserve">es </w:t>
      </w:r>
      <w:r w:rsidR="001B3A72">
        <w:rPr>
          <w:rFonts w:ascii="Times New Roman" w:hAnsi="Times New Roman" w:cs="Times New Roman"/>
          <w:sz w:val="24"/>
          <w:szCs w:val="24"/>
        </w:rPr>
        <w:t>segue</w:t>
      </w:r>
      <w:r w:rsidR="009D4911">
        <w:rPr>
          <w:rFonts w:ascii="Times New Roman" w:hAnsi="Times New Roman" w:cs="Times New Roman"/>
          <w:sz w:val="24"/>
          <w:szCs w:val="24"/>
        </w:rPr>
        <w:t>m</w:t>
      </w:r>
      <w:r w:rsidR="001B3A72">
        <w:rPr>
          <w:rFonts w:ascii="Times New Roman" w:hAnsi="Times New Roman" w:cs="Times New Roman"/>
          <w:sz w:val="24"/>
          <w:szCs w:val="24"/>
        </w:rPr>
        <w:t xml:space="preserve"> os padrões do </w:t>
      </w:r>
      <w:r w:rsidR="00036419" w:rsidRPr="0056250F">
        <w:rPr>
          <w:rFonts w:ascii="Times New Roman" w:hAnsi="Times New Roman" w:cs="Times New Roman"/>
          <w:color w:val="000000"/>
          <w:sz w:val="24"/>
          <w:szCs w:val="24"/>
        </w:rPr>
        <w:t xml:space="preserve">Instituto Brasileiro </w:t>
      </w:r>
      <w:r w:rsidR="00036419">
        <w:rPr>
          <w:rFonts w:ascii="Times New Roman" w:hAnsi="Times New Roman" w:cs="Times New Roman"/>
          <w:color w:val="000000"/>
          <w:sz w:val="24"/>
          <w:szCs w:val="24"/>
        </w:rPr>
        <w:t>d</w:t>
      </w:r>
      <w:r w:rsidR="00036419" w:rsidRPr="0056250F">
        <w:rPr>
          <w:rFonts w:ascii="Times New Roman" w:hAnsi="Times New Roman" w:cs="Times New Roman"/>
          <w:color w:val="000000"/>
          <w:sz w:val="24"/>
          <w:szCs w:val="24"/>
        </w:rPr>
        <w:t xml:space="preserve">e Geografia </w:t>
      </w:r>
      <w:r w:rsidR="00036419">
        <w:rPr>
          <w:rFonts w:ascii="Times New Roman" w:hAnsi="Times New Roman" w:cs="Times New Roman"/>
          <w:color w:val="000000"/>
          <w:sz w:val="24"/>
          <w:szCs w:val="24"/>
        </w:rPr>
        <w:t>e</w:t>
      </w:r>
      <w:r w:rsidR="00036419" w:rsidRPr="0056250F">
        <w:rPr>
          <w:rFonts w:ascii="Times New Roman" w:hAnsi="Times New Roman" w:cs="Times New Roman"/>
          <w:color w:val="000000"/>
          <w:sz w:val="24"/>
          <w:szCs w:val="24"/>
        </w:rPr>
        <w:t xml:space="preserve"> Estatística </w:t>
      </w:r>
      <w:r w:rsidR="00036419">
        <w:rPr>
          <w:rFonts w:ascii="Times New Roman" w:hAnsi="Times New Roman" w:cs="Times New Roman"/>
          <w:color w:val="000000"/>
          <w:sz w:val="24"/>
          <w:szCs w:val="24"/>
        </w:rPr>
        <w:t xml:space="preserve">- </w:t>
      </w:r>
      <w:r w:rsidR="001B3A72">
        <w:rPr>
          <w:rFonts w:ascii="Times New Roman" w:hAnsi="Times New Roman" w:cs="Times New Roman"/>
          <w:sz w:val="24"/>
          <w:szCs w:val="24"/>
        </w:rPr>
        <w:t xml:space="preserve">IBGE e </w:t>
      </w:r>
      <w:r w:rsidR="00036419" w:rsidRPr="001744A2">
        <w:rPr>
          <w:rFonts w:ascii="Times New Roman" w:hAnsi="Times New Roman" w:cs="Times New Roman"/>
          <w:sz w:val="24"/>
          <w:szCs w:val="24"/>
        </w:rPr>
        <w:t xml:space="preserve">Instituto de Pesquisa Econômica Aplicada </w:t>
      </w:r>
      <w:r w:rsidR="00036419">
        <w:rPr>
          <w:rFonts w:ascii="Times New Roman" w:hAnsi="Times New Roman" w:cs="Times New Roman"/>
          <w:sz w:val="24"/>
          <w:szCs w:val="24"/>
        </w:rPr>
        <w:t xml:space="preserve">- </w:t>
      </w:r>
      <w:r w:rsidR="001B3A72">
        <w:rPr>
          <w:rFonts w:ascii="Times New Roman" w:hAnsi="Times New Roman" w:cs="Times New Roman"/>
          <w:sz w:val="24"/>
          <w:szCs w:val="24"/>
        </w:rPr>
        <w:t xml:space="preserve">IPEA. </w:t>
      </w:r>
      <w:r w:rsidR="001350F4" w:rsidRPr="001350F4">
        <w:rPr>
          <w:rFonts w:ascii="Times New Roman" w:hAnsi="Times New Roman" w:cs="Times New Roman"/>
          <w:sz w:val="24"/>
          <w:szCs w:val="24"/>
        </w:rPr>
        <w:t xml:space="preserve">No presente trabalho, o corte a ser realizado tem como base o fato de que mais de 95% dos municípios da Região </w:t>
      </w:r>
      <w:proofErr w:type="gramStart"/>
      <w:r w:rsidR="001350F4" w:rsidRPr="001350F4">
        <w:rPr>
          <w:rFonts w:ascii="Times New Roman" w:hAnsi="Times New Roman" w:cs="Times New Roman"/>
          <w:sz w:val="24"/>
          <w:szCs w:val="24"/>
        </w:rPr>
        <w:t>Norte têm</w:t>
      </w:r>
      <w:proofErr w:type="gramEnd"/>
      <w:r w:rsidR="001350F4" w:rsidRPr="001350F4">
        <w:rPr>
          <w:rFonts w:ascii="Times New Roman" w:hAnsi="Times New Roman" w:cs="Times New Roman"/>
          <w:sz w:val="24"/>
          <w:szCs w:val="24"/>
        </w:rPr>
        <w:t xml:space="preserve"> população aba</w:t>
      </w:r>
      <w:r w:rsidR="001350F4" w:rsidRPr="001350F4">
        <w:rPr>
          <w:rFonts w:ascii="Times New Roman" w:hAnsi="Times New Roman" w:cs="Times New Roman"/>
          <w:sz w:val="24"/>
          <w:szCs w:val="24"/>
        </w:rPr>
        <w:t>i</w:t>
      </w:r>
      <w:r w:rsidR="001350F4" w:rsidRPr="001350F4">
        <w:rPr>
          <w:rFonts w:ascii="Times New Roman" w:hAnsi="Times New Roman" w:cs="Times New Roman"/>
          <w:sz w:val="24"/>
          <w:szCs w:val="24"/>
        </w:rPr>
        <w:t>xo de 100 mil sendo os com população superior a esse limite considerados grandes aglomerações em te</w:t>
      </w:r>
      <w:r w:rsidR="001350F4" w:rsidRPr="001350F4">
        <w:rPr>
          <w:rFonts w:ascii="Times New Roman" w:hAnsi="Times New Roman" w:cs="Times New Roman"/>
          <w:sz w:val="24"/>
          <w:szCs w:val="24"/>
        </w:rPr>
        <w:t>r</w:t>
      </w:r>
      <w:r w:rsidR="001350F4" w:rsidRPr="001350F4">
        <w:rPr>
          <w:rFonts w:ascii="Times New Roman" w:hAnsi="Times New Roman" w:cs="Times New Roman"/>
          <w:sz w:val="24"/>
          <w:szCs w:val="24"/>
        </w:rPr>
        <w:t>mos regionais.</w:t>
      </w:r>
    </w:p>
    <w:p w:rsidR="00230F33" w:rsidRDefault="00230F33" w:rsidP="00281017">
      <w:pPr>
        <w:pStyle w:val="Ttulo2"/>
        <w:spacing w:after="0" w:line="240" w:lineRule="auto"/>
        <w:ind w:left="425" w:hanging="425"/>
      </w:pPr>
      <w:bookmarkStart w:id="12" w:name="_Ref282179087"/>
      <w:bookmarkStart w:id="13" w:name="_Ref282179727"/>
      <w:bookmarkStart w:id="14" w:name="_Ref282256299"/>
      <w:bookmarkStart w:id="15" w:name="_Toc282363985"/>
      <w:r>
        <w:t>O modelo empírico com econometria espacial</w:t>
      </w:r>
      <w:bookmarkEnd w:id="12"/>
      <w:bookmarkEnd w:id="13"/>
      <w:bookmarkEnd w:id="14"/>
      <w:bookmarkEnd w:id="15"/>
    </w:p>
    <w:p w:rsidR="00D05D17" w:rsidRDefault="00411267" w:rsidP="0044685B">
      <w:pPr>
        <w:pStyle w:val="TEXTO1"/>
        <w:spacing w:line="240" w:lineRule="auto"/>
        <w:ind w:firstLine="454"/>
        <w:rPr>
          <w:szCs w:val="24"/>
        </w:rPr>
      </w:pPr>
      <w:r w:rsidRPr="00411267">
        <w:rPr>
          <w:szCs w:val="24"/>
        </w:rPr>
        <w:t xml:space="preserve">O uso da econometria espacial é empregado caso os resíduos da regressão dos municípios seja </w:t>
      </w:r>
      <w:proofErr w:type="spellStart"/>
      <w:r w:rsidRPr="00411267">
        <w:rPr>
          <w:szCs w:val="24"/>
        </w:rPr>
        <w:t>espa-cialmente</w:t>
      </w:r>
      <w:proofErr w:type="spellEnd"/>
      <w:r w:rsidRPr="00411267">
        <w:rPr>
          <w:szCs w:val="24"/>
        </w:rPr>
        <w:t xml:space="preserve"> correlacionado com municípios vizinhos, em que a força da correlação é inversamente </w:t>
      </w:r>
      <w:proofErr w:type="spellStart"/>
      <w:r w:rsidRPr="00411267">
        <w:rPr>
          <w:szCs w:val="24"/>
        </w:rPr>
        <w:t>relacio-nada</w:t>
      </w:r>
      <w:proofErr w:type="spellEnd"/>
      <w:r w:rsidRPr="00411267">
        <w:rPr>
          <w:szCs w:val="24"/>
        </w:rPr>
        <w:t xml:space="preserve"> à distância entre os dois municípios. </w:t>
      </w:r>
      <w:r>
        <w:rPr>
          <w:szCs w:val="24"/>
        </w:rPr>
        <w:t xml:space="preserve">Para </w:t>
      </w:r>
      <w:r w:rsidR="00230F33">
        <w:rPr>
          <w:szCs w:val="24"/>
        </w:rPr>
        <w:t>testar o impacto dos efeitos de vizinhança e melhorar o e</w:t>
      </w:r>
      <w:r w:rsidR="00230F33">
        <w:rPr>
          <w:szCs w:val="24"/>
        </w:rPr>
        <w:t>n</w:t>
      </w:r>
      <w:r w:rsidR="00230F33">
        <w:rPr>
          <w:szCs w:val="24"/>
        </w:rPr>
        <w:t>tendimento da dinâmica espacial</w:t>
      </w:r>
      <w:r w:rsidR="006B403E">
        <w:rPr>
          <w:szCs w:val="24"/>
        </w:rPr>
        <w:t xml:space="preserve"> do crescimento da população</w:t>
      </w:r>
      <w:r w:rsidR="00230F33">
        <w:rPr>
          <w:szCs w:val="24"/>
        </w:rPr>
        <w:t>, que não são captados pelos métodos trad</w:t>
      </w:r>
      <w:r w:rsidR="00230F33">
        <w:rPr>
          <w:szCs w:val="24"/>
        </w:rPr>
        <w:t>i</w:t>
      </w:r>
      <w:r w:rsidR="00230F33">
        <w:rPr>
          <w:szCs w:val="24"/>
        </w:rPr>
        <w:t xml:space="preserve">cionais de econometria, será incorporada </w:t>
      </w:r>
      <w:r w:rsidR="006B403E">
        <w:rPr>
          <w:szCs w:val="24"/>
        </w:rPr>
        <w:t xml:space="preserve">à equação </w:t>
      </w:r>
      <w:r w:rsidR="00113D87">
        <w:rPr>
          <w:rFonts w:eastAsiaTheme="minorEastAsia"/>
          <w:szCs w:val="24"/>
        </w:rPr>
        <w:t>(3)</w:t>
      </w:r>
      <w:r w:rsidR="006B403E">
        <w:rPr>
          <w:szCs w:val="24"/>
        </w:rPr>
        <w:t xml:space="preserve"> </w:t>
      </w:r>
      <w:r w:rsidR="00230F33">
        <w:rPr>
          <w:szCs w:val="24"/>
        </w:rPr>
        <w:t xml:space="preserve">a matriz de pesos espaciais, </w:t>
      </w:r>
      <w:r w:rsidR="00230F33" w:rsidRPr="000E4EB8">
        <w:rPr>
          <w:rFonts w:ascii="Symbol" w:hAnsi="Symbol"/>
          <w:i/>
          <w:szCs w:val="24"/>
        </w:rPr>
        <w:t></w:t>
      </w:r>
      <w:r w:rsidR="000E4EB8">
        <w:rPr>
          <w:rFonts w:ascii="Symbol" w:hAnsi="Symbol"/>
          <w:i/>
          <w:szCs w:val="24"/>
        </w:rPr>
        <w:t></w:t>
      </w:r>
      <w:r w:rsidR="000E4EB8">
        <w:rPr>
          <w:rFonts w:ascii="Symbol" w:hAnsi="Symbol"/>
          <w:i/>
          <w:szCs w:val="24"/>
        </w:rPr>
        <w:t></w:t>
      </w:r>
      <w:r w:rsidR="000E4EB8">
        <w:rPr>
          <w:szCs w:val="24"/>
        </w:rPr>
        <w:t xml:space="preserve">Essa matriz é </w:t>
      </w:r>
      <w:r w:rsidR="00230F33">
        <w:rPr>
          <w:szCs w:val="24"/>
        </w:rPr>
        <w:t xml:space="preserve">o instrumento que se desenvolveu </w:t>
      </w:r>
      <w:r w:rsidR="00230F33" w:rsidRPr="00752FF9">
        <w:rPr>
          <w:szCs w:val="24"/>
        </w:rPr>
        <w:t>para captar a interdependência entre unidades espaciais</w:t>
      </w:r>
      <w:r w:rsidR="00230F33">
        <w:rPr>
          <w:szCs w:val="24"/>
        </w:rPr>
        <w:t xml:space="preserve">. </w:t>
      </w:r>
      <w:r w:rsidR="006815C6" w:rsidRPr="006815C6">
        <w:rPr>
          <w:szCs w:val="24"/>
        </w:rPr>
        <w:t>O conceito de matriz de pesos espaciais</w:t>
      </w:r>
      <w:r w:rsidR="006815C6">
        <w:rPr>
          <w:szCs w:val="24"/>
        </w:rPr>
        <w:t xml:space="preserve"> </w:t>
      </w:r>
      <w:r w:rsidR="006815C6" w:rsidRPr="006815C6">
        <w:rPr>
          <w:szCs w:val="24"/>
        </w:rPr>
        <w:t>tem c</w:t>
      </w:r>
      <w:r w:rsidR="006815C6" w:rsidRPr="006815C6">
        <w:rPr>
          <w:szCs w:val="24"/>
        </w:rPr>
        <w:t>o</w:t>
      </w:r>
      <w:r w:rsidR="006815C6" w:rsidRPr="006815C6">
        <w:rPr>
          <w:szCs w:val="24"/>
        </w:rPr>
        <w:t>mo base a contigüidade, que pode ser definida conforme a vizinhança, a distância geográfica ou sócio-econômica, ou a combinação das duas. A escolha da matriz de pesos é rel</w:t>
      </w:r>
      <w:r w:rsidR="006815C6" w:rsidRPr="006815C6">
        <w:rPr>
          <w:szCs w:val="24"/>
        </w:rPr>
        <w:t>e</w:t>
      </w:r>
      <w:r w:rsidR="006815C6" w:rsidRPr="006815C6">
        <w:rPr>
          <w:szCs w:val="24"/>
        </w:rPr>
        <w:t xml:space="preserve">vante, pois os resultados </w:t>
      </w:r>
      <w:proofErr w:type="spellStart"/>
      <w:r w:rsidR="006815C6" w:rsidRPr="006815C6">
        <w:rPr>
          <w:szCs w:val="24"/>
        </w:rPr>
        <w:t>po</w:t>
      </w:r>
      <w:r w:rsidR="00747C62">
        <w:rPr>
          <w:szCs w:val="24"/>
        </w:rPr>
        <w:t>si</w:t>
      </w:r>
      <w:r w:rsidR="00747C62">
        <w:rPr>
          <w:szCs w:val="24"/>
        </w:rPr>
        <w:t>l</w:t>
      </w:r>
      <w:r w:rsidR="00747C62">
        <w:rPr>
          <w:szCs w:val="24"/>
        </w:rPr>
        <w:t>va</w:t>
      </w:r>
      <w:r w:rsidR="006815C6" w:rsidRPr="006815C6">
        <w:rPr>
          <w:szCs w:val="24"/>
        </w:rPr>
        <w:t>dem</w:t>
      </w:r>
      <w:proofErr w:type="spellEnd"/>
      <w:r w:rsidR="006815C6" w:rsidRPr="006815C6">
        <w:rPr>
          <w:szCs w:val="24"/>
        </w:rPr>
        <w:t xml:space="preserve"> variar dependendo da matriz considerada</w:t>
      </w:r>
      <w:r w:rsidR="006815C6">
        <w:rPr>
          <w:szCs w:val="24"/>
        </w:rPr>
        <w:t xml:space="preserve">. Essa matriz </w:t>
      </w:r>
      <w:r w:rsidR="000E4EB8">
        <w:rPr>
          <w:szCs w:val="24"/>
        </w:rPr>
        <w:t>t</w:t>
      </w:r>
      <w:r w:rsidR="00230F33" w:rsidRPr="00752FF9">
        <w:rPr>
          <w:szCs w:val="24"/>
        </w:rPr>
        <w:t xml:space="preserve">em como característica ser quadrada e não estocástica, cujos elementos </w:t>
      </w:r>
      <w:r w:rsidR="00230F33" w:rsidRPr="000E4EB8">
        <w:rPr>
          <w:rFonts w:ascii="Symbol" w:hAnsi="Symbol"/>
          <w:i/>
          <w:szCs w:val="24"/>
        </w:rPr>
        <w:t></w:t>
      </w:r>
      <w:r w:rsidR="00230F33" w:rsidRPr="00752FF9">
        <w:rPr>
          <w:i/>
          <w:szCs w:val="24"/>
          <w:vertAlign w:val="subscript"/>
        </w:rPr>
        <w:t>ij</w:t>
      </w:r>
      <w:r w:rsidR="00230F33" w:rsidRPr="00752FF9">
        <w:rPr>
          <w:szCs w:val="24"/>
        </w:rPr>
        <w:t xml:space="preserve"> refletem a intensidade da relação exi</w:t>
      </w:r>
      <w:r w:rsidR="00230F33" w:rsidRPr="00752FF9">
        <w:rPr>
          <w:szCs w:val="24"/>
        </w:rPr>
        <w:t>s</w:t>
      </w:r>
      <w:r w:rsidR="00230F33" w:rsidRPr="00752FF9">
        <w:rPr>
          <w:szCs w:val="24"/>
        </w:rPr>
        <w:t xml:space="preserve">tente entre cada par de unidades </w:t>
      </w:r>
      <w:r w:rsidR="00230F33" w:rsidRPr="00752FF9">
        <w:rPr>
          <w:i/>
          <w:szCs w:val="24"/>
        </w:rPr>
        <w:t>i</w:t>
      </w:r>
      <w:r w:rsidR="00230F33" w:rsidRPr="00752FF9">
        <w:rPr>
          <w:szCs w:val="24"/>
        </w:rPr>
        <w:t xml:space="preserve"> e </w:t>
      </w:r>
      <w:r w:rsidR="00230F33" w:rsidRPr="00752FF9">
        <w:rPr>
          <w:i/>
          <w:szCs w:val="24"/>
        </w:rPr>
        <w:t>j</w:t>
      </w:r>
      <w:r w:rsidR="00CA2BC9">
        <w:rPr>
          <w:rStyle w:val="Refdenotaderodap"/>
          <w:i/>
          <w:szCs w:val="24"/>
        </w:rPr>
        <w:footnoteReference w:id="6"/>
      </w:r>
      <w:r w:rsidR="00230F33">
        <w:rPr>
          <w:i/>
          <w:szCs w:val="24"/>
        </w:rPr>
        <w:t xml:space="preserve">. </w:t>
      </w:r>
      <w:r w:rsidR="006815C6">
        <w:rPr>
          <w:szCs w:val="24"/>
        </w:rPr>
        <w:t xml:space="preserve">A proximidade pode ser medida de </w:t>
      </w:r>
      <w:r w:rsidR="00D03AFB">
        <w:rPr>
          <w:szCs w:val="24"/>
        </w:rPr>
        <w:t xml:space="preserve">muitas </w:t>
      </w:r>
      <w:r w:rsidR="006815C6">
        <w:rPr>
          <w:szCs w:val="24"/>
        </w:rPr>
        <w:t xml:space="preserve">formas, por essa razão, existem várias especificações para </w:t>
      </w:r>
      <w:r w:rsidR="006815C6" w:rsidRPr="006815C6">
        <w:rPr>
          <w:rFonts w:ascii="Symbol" w:hAnsi="Symbol"/>
          <w:i/>
          <w:szCs w:val="24"/>
        </w:rPr>
        <w:t></w:t>
      </w:r>
      <w:r w:rsidR="006815C6" w:rsidRPr="006815C6">
        <w:rPr>
          <w:szCs w:val="24"/>
        </w:rPr>
        <w:t>.</w:t>
      </w:r>
      <w:r w:rsidR="002F1092">
        <w:rPr>
          <w:szCs w:val="24"/>
        </w:rPr>
        <w:t xml:space="preserve"> </w:t>
      </w:r>
      <w:r w:rsidR="00AB24DB" w:rsidRPr="0071751A">
        <w:t>Neste trabalho</w:t>
      </w:r>
      <w:r w:rsidR="00AB24DB">
        <w:t>,</w:t>
      </w:r>
      <w:r w:rsidR="00AB24DB" w:rsidRPr="0071751A">
        <w:t xml:space="preserve"> </w:t>
      </w:r>
      <w:r w:rsidR="00AB24DB" w:rsidRPr="0071751A">
        <w:rPr>
          <w:szCs w:val="24"/>
        </w:rPr>
        <w:t>utilizou-se uma matriz de contigüidade de primeira ordem e com critério rainha para definir a vizinhança.</w:t>
      </w:r>
      <w:r w:rsidR="00AB24DB">
        <w:rPr>
          <w:szCs w:val="24"/>
        </w:rPr>
        <w:t xml:space="preserve"> Na sua </w:t>
      </w:r>
      <w:r w:rsidR="00230F33">
        <w:rPr>
          <w:szCs w:val="24"/>
        </w:rPr>
        <w:t>diagonal principal c</w:t>
      </w:r>
      <w:r w:rsidR="000E4EB8">
        <w:rPr>
          <w:szCs w:val="24"/>
        </w:rPr>
        <w:t xml:space="preserve">ontém zeros e fora da diagonal surgem valores 0 ou </w:t>
      </w:r>
      <w:r w:rsidR="00230F33">
        <w:rPr>
          <w:szCs w:val="24"/>
        </w:rPr>
        <w:t>1</w:t>
      </w:r>
      <w:r w:rsidR="00D05D17">
        <w:rPr>
          <w:szCs w:val="24"/>
        </w:rPr>
        <w:t xml:space="preserve">, que refletem a proximidade espacial de cada par de áreas </w:t>
      </w:r>
      <w:r w:rsidR="00D05D17" w:rsidRPr="00D05D17">
        <w:rPr>
          <w:i/>
          <w:szCs w:val="24"/>
        </w:rPr>
        <w:t>i</w:t>
      </w:r>
      <w:r w:rsidR="00D05D17">
        <w:rPr>
          <w:szCs w:val="24"/>
        </w:rPr>
        <w:t xml:space="preserve"> e </w:t>
      </w:r>
      <w:r w:rsidR="00D05D17" w:rsidRPr="00D05D17">
        <w:rPr>
          <w:i/>
          <w:szCs w:val="24"/>
        </w:rPr>
        <w:t>j</w:t>
      </w:r>
      <w:r w:rsidR="00230F33">
        <w:rPr>
          <w:szCs w:val="24"/>
        </w:rPr>
        <w:t>. Isso sign</w:t>
      </w:r>
      <w:r w:rsidR="00230F33">
        <w:rPr>
          <w:szCs w:val="24"/>
        </w:rPr>
        <w:t>i</w:t>
      </w:r>
      <w:r w:rsidR="00230F33">
        <w:rPr>
          <w:szCs w:val="24"/>
        </w:rPr>
        <w:t xml:space="preserve">fica que municípios com divisa comum é igual a 1 e sem vizinhança, zero. Assim, choques ou variações num município podem causar </w:t>
      </w:r>
      <w:r w:rsidR="00745D8D">
        <w:rPr>
          <w:szCs w:val="24"/>
        </w:rPr>
        <w:t xml:space="preserve">ou não </w:t>
      </w:r>
      <w:r w:rsidR="00230F33">
        <w:rPr>
          <w:szCs w:val="24"/>
        </w:rPr>
        <w:t xml:space="preserve">efeitos no seu vizinho. </w:t>
      </w:r>
      <w:r w:rsidRPr="00321E06">
        <w:rPr>
          <w:szCs w:val="24"/>
        </w:rPr>
        <w:t xml:space="preserve">As regressões </w:t>
      </w:r>
      <w:r>
        <w:rPr>
          <w:szCs w:val="24"/>
        </w:rPr>
        <w:t xml:space="preserve">espaciais a serem estimadas </w:t>
      </w:r>
      <w:r w:rsidRPr="00321E06">
        <w:rPr>
          <w:szCs w:val="24"/>
        </w:rPr>
        <w:t>são:</w:t>
      </w:r>
    </w:p>
    <w:p w:rsidR="00230F33" w:rsidRPr="00395327" w:rsidRDefault="00BE7E61" w:rsidP="00674EC8">
      <w:pPr>
        <w:tabs>
          <w:tab w:val="left" w:pos="-3969"/>
          <w:tab w:val="left" w:pos="8505"/>
        </w:tabs>
        <w:spacing w:line="240" w:lineRule="auto"/>
        <w:ind w:firstLine="1134"/>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Δpop</m:t>
            </m:r>
          </m:e>
          <m:sub>
            <m:r>
              <w:rPr>
                <w:rFonts w:ascii="Cambria Math" w:hAnsi="Cambria Math" w:cs="Times New Roman"/>
                <w:sz w:val="24"/>
                <w:szCs w:val="24"/>
              </w:rPr>
              <m:t>i(t1-t0)</m:t>
            </m:r>
          </m:sub>
        </m:sSub>
        <m:r>
          <w:rPr>
            <w:rFonts w:ascii="Cambria Math" w:hAnsi="Cambria Math" w:cs="Times New Roman"/>
            <w:sz w:val="24"/>
            <w:szCs w:val="24"/>
          </w:rPr>
          <m:t>=ρ</m:t>
        </m:r>
        <m:r>
          <m:rPr>
            <m:sty m:val="p"/>
          </m:rPr>
          <w:rPr>
            <w:rFonts w:ascii="Cambria Math" w:hAnsi="Cambria Math" w:cs="Times New Roman"/>
            <w:sz w:val="24"/>
            <w:szCs w:val="24"/>
          </w:rPr>
          <m:t>Ω</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m:rPr>
                    <m:sty m:val="p"/>
                  </m:rPr>
                  <w:rPr>
                    <w:rFonts w:ascii="Cambria Math" w:hAnsi="Cambria Math" w:cs="Times New Roman"/>
                    <w:sz w:val="24"/>
                    <w:szCs w:val="24"/>
                  </w:rPr>
                  <m:t>Δpop</m:t>
                </m:r>
              </m:e>
              <m:sub>
                <m:r>
                  <w:rPr>
                    <w:rFonts w:ascii="Cambria Math" w:hAnsi="Cambria Math" w:cs="Times New Roman"/>
                    <w:sz w:val="24"/>
                    <w:szCs w:val="24"/>
                  </w:rPr>
                  <m:t>i(t1-t0)</m:t>
                </m:r>
              </m:sub>
            </m:sSub>
            <m:r>
              <w:rPr>
                <w:rFonts w:ascii="Cambria Math" w:hAnsi="Cambria Math" w:cs="Times New Roman"/>
                <w:sz w:val="24"/>
                <w:szCs w:val="24"/>
              </w:rPr>
              <m:t>+</m:t>
            </m:r>
            <m:r>
              <m:rPr>
                <m:sty m:val="p"/>
              </m:rPr>
              <w:rPr>
                <w:rFonts w:ascii="Cambria Math" w:hAnsi="Cambria Math" w:cs="Times New Roman"/>
                <w:sz w:val="24"/>
                <w:szCs w:val="24"/>
              </w:rPr>
              <m:t>Δ</m:t>
            </m:r>
            <m:r>
              <w:rPr>
                <w:rFonts w:ascii="Cambria Math" w:hAnsi="Cambria Math" w:cs="Times New Roman"/>
                <w:sz w:val="24"/>
                <w:szCs w:val="24"/>
              </w:rPr>
              <m:t>X</m:t>
            </m:r>
          </m:e>
          <m:sub>
            <m:r>
              <w:rPr>
                <w:rFonts w:ascii="Cambria Math" w:hAnsi="Cambria Math" w:cs="Times New Roman"/>
                <w:sz w:val="24"/>
                <w:szCs w:val="24"/>
              </w:rPr>
              <m:t>t1-t0</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00230F33" w:rsidRPr="00395327">
        <w:rPr>
          <w:rFonts w:ascii="Times New Roman" w:eastAsiaTheme="minorEastAsia" w:hAnsi="Times New Roman" w:cs="Times New Roman"/>
          <w:sz w:val="24"/>
          <w:szCs w:val="24"/>
        </w:rPr>
        <w:t xml:space="preserve"> </w:t>
      </w:r>
      <w:r w:rsidR="00395327" w:rsidRPr="00395327">
        <w:rPr>
          <w:rFonts w:ascii="Times New Roman" w:eastAsiaTheme="minorEastAsia" w:hAnsi="Times New Roman" w:cs="Times New Roman"/>
          <w:sz w:val="24"/>
          <w:szCs w:val="24"/>
        </w:rPr>
        <w:t>(defa</w:t>
      </w:r>
      <w:r w:rsidR="00395327">
        <w:rPr>
          <w:rFonts w:ascii="Times New Roman" w:eastAsiaTheme="minorEastAsia" w:hAnsi="Times New Roman" w:cs="Times New Roman"/>
          <w:sz w:val="24"/>
          <w:szCs w:val="24"/>
        </w:rPr>
        <w:t>sagem espacial</w:t>
      </w:r>
      <w:r w:rsidR="00406DD6">
        <w:rPr>
          <w:rFonts w:ascii="Times New Roman" w:eastAsiaTheme="minorEastAsia" w:hAnsi="Times New Roman" w:cs="Times New Roman"/>
          <w:sz w:val="24"/>
          <w:szCs w:val="24"/>
        </w:rPr>
        <w:t xml:space="preserve">) </w:t>
      </w:r>
      <w:r w:rsidR="00230F33" w:rsidRPr="00395327">
        <w:rPr>
          <w:rFonts w:ascii="Times New Roman" w:eastAsiaTheme="minorEastAsia" w:hAnsi="Times New Roman" w:cs="Times New Roman"/>
          <w:sz w:val="24"/>
          <w:szCs w:val="24"/>
        </w:rPr>
        <w:tab/>
      </w:r>
      <w:bookmarkStart w:id="16" w:name="equacao23"/>
      <w:r w:rsidR="00406DD6" w:rsidRPr="00395327">
        <w:rPr>
          <w:rFonts w:ascii="Times New Roman" w:eastAsiaTheme="minorEastAsia" w:hAnsi="Times New Roman" w:cs="Times New Roman"/>
          <w:sz w:val="24"/>
          <w:szCs w:val="24"/>
        </w:rPr>
        <w:t xml:space="preserve"> </w:t>
      </w:r>
      <w:r w:rsidR="00113D87">
        <w:rPr>
          <w:rFonts w:ascii="Times New Roman" w:eastAsiaTheme="minorEastAsia" w:hAnsi="Times New Roman" w:cs="Times New Roman"/>
          <w:sz w:val="24"/>
          <w:szCs w:val="24"/>
        </w:rPr>
        <w:t>(4)</w:t>
      </w:r>
      <w:bookmarkEnd w:id="16"/>
    </w:p>
    <w:p w:rsidR="00B52AD2" w:rsidRDefault="00BE7E61" w:rsidP="00674EC8">
      <w:pPr>
        <w:tabs>
          <w:tab w:val="left" w:pos="-5812"/>
          <w:tab w:val="left" w:pos="-3969"/>
          <w:tab w:val="left" w:pos="8364"/>
        </w:tabs>
        <w:spacing w:line="240" w:lineRule="auto"/>
        <w:ind w:firstLine="2694"/>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ε= λ</m:t>
            </m:r>
            <m:r>
              <m:rPr>
                <m:sty m:val="p"/>
              </m:rPr>
              <w:rPr>
                <w:rFonts w:ascii="Cambria Math" w:hAnsi="Cambria Math" w:cs="Times New Roman"/>
                <w:sz w:val="24"/>
                <w:szCs w:val="24"/>
              </w:rPr>
              <m:t>Ω</m:t>
            </m:r>
            <m:r>
              <w:rPr>
                <w:rFonts w:ascii="Cambria Math" w:hAnsi="Cambria Math" w:cs="Times New Roman"/>
                <w:sz w:val="24"/>
                <w:szCs w:val="24"/>
              </w:rPr>
              <m:t>ε+u</m:t>
            </m:r>
          </m:e>
          <m:sub>
            <m:r>
              <w:rPr>
                <w:rFonts w:ascii="Cambria Math" w:hAnsi="Cambria Math" w:cs="Times New Roman"/>
                <w:sz w:val="24"/>
                <w:szCs w:val="24"/>
              </w:rPr>
              <m:t>is(t1-t0)</m:t>
            </m:r>
          </m:sub>
        </m:sSub>
      </m:oMath>
      <w:r w:rsidR="00B52AD2">
        <w:rPr>
          <w:rFonts w:ascii="Times New Roman" w:eastAsiaTheme="minorEastAsia" w:hAnsi="Times New Roman" w:cs="Times New Roman"/>
          <w:sz w:val="24"/>
          <w:szCs w:val="24"/>
        </w:rPr>
        <w:t xml:space="preserve"> </w:t>
      </w:r>
      <w:r w:rsidR="00B52AD2">
        <w:rPr>
          <w:rFonts w:ascii="Times New Roman" w:eastAsiaTheme="minorEastAsia" w:hAnsi="Times New Roman" w:cs="Times New Roman"/>
          <w:sz w:val="24"/>
          <w:szCs w:val="24"/>
        </w:rPr>
        <w:tab/>
      </w:r>
      <w:bookmarkStart w:id="17" w:name="equacao23a"/>
      <w:r w:rsidR="00EC6FE7">
        <w:rPr>
          <w:rFonts w:ascii="Times New Roman" w:eastAsiaTheme="minorEastAsia" w:hAnsi="Times New Roman" w:cs="Times New Roman"/>
          <w:sz w:val="24"/>
          <w:szCs w:val="24"/>
        </w:rPr>
        <w:t xml:space="preserve"> </w:t>
      </w:r>
      <w:r w:rsidR="00113D87">
        <w:rPr>
          <w:rFonts w:ascii="Times New Roman" w:eastAsiaTheme="minorEastAsia" w:hAnsi="Times New Roman" w:cs="Times New Roman"/>
          <w:sz w:val="24"/>
          <w:szCs w:val="24"/>
        </w:rPr>
        <w:t>(5)</w:t>
      </w:r>
      <w:bookmarkEnd w:id="17"/>
    </w:p>
    <w:p w:rsidR="00606F21" w:rsidRPr="00395327" w:rsidRDefault="00BE7E61" w:rsidP="00674EC8">
      <w:pPr>
        <w:tabs>
          <w:tab w:val="left" w:pos="8364"/>
        </w:tabs>
        <w:spacing w:line="240" w:lineRule="auto"/>
        <w:ind w:firstLine="198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Δpop</m:t>
            </m:r>
          </m:e>
          <m:sub>
            <m:r>
              <w:rPr>
                <w:rFonts w:ascii="Cambria Math" w:hAnsi="Cambria Math" w:cs="Times New Roman"/>
                <w:sz w:val="24"/>
                <w:szCs w:val="24"/>
              </w:rPr>
              <m:t>i(t1-t0)</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X</m:t>
            </m:r>
          </m:e>
          <m:sub>
            <m:r>
              <w:rPr>
                <w:rFonts w:ascii="Cambria Math" w:hAnsi="Cambria Math" w:cs="Times New Roman"/>
                <w:sz w:val="24"/>
                <w:szCs w:val="24"/>
              </w:rPr>
              <m:t>t1-t0</m:t>
            </m:r>
          </m:sub>
        </m:sSub>
        <m:r>
          <w:rPr>
            <w:rFonts w:ascii="Cambria Math" w:hAnsi="Cambria Math" w:cs="Times New Roman"/>
            <w:sz w:val="24"/>
            <w:szCs w:val="24"/>
          </w:rPr>
          <m:t>β+</m:t>
        </m:r>
        <m:sSup>
          <m:sSupPr>
            <m:ctrlPr>
              <w:rPr>
                <w:rFonts w:ascii="Cambria Math" w:hAnsi="Cambria Math" w:cs="Times New Roman"/>
                <w:i/>
                <w:sz w:val="24"/>
                <w:szCs w:val="24"/>
                <w:lang w:val="en-CA"/>
              </w:rPr>
            </m:ctrlPr>
          </m:sSupPr>
          <m:e>
            <m:d>
              <m:dPr>
                <m:ctrlPr>
                  <w:rPr>
                    <w:rFonts w:ascii="Cambria Math" w:hAnsi="Cambria Math" w:cs="Times New Roman"/>
                    <w:i/>
                    <w:sz w:val="24"/>
                    <w:szCs w:val="24"/>
                    <w:lang w:val="en-CA"/>
                  </w:rPr>
                </m:ctrlPr>
              </m:dPr>
              <m:e>
                <m:r>
                  <w:rPr>
                    <w:rFonts w:ascii="Cambria Math" w:hAnsi="Cambria Math" w:cs="Times New Roman"/>
                    <w:sz w:val="24"/>
                    <w:szCs w:val="24"/>
                    <w:lang w:val="en-CA"/>
                  </w:rPr>
                  <m:t>I</m:t>
                </m:r>
                <m:r>
                  <w:rPr>
                    <w:rFonts w:ascii="Cambria Math" w:hAnsi="Cambria Math" w:cs="Times New Roman"/>
                    <w:sz w:val="24"/>
                    <w:szCs w:val="24"/>
                  </w:rPr>
                  <m:t>-</m:t>
                </m:r>
                <m:r>
                  <w:rPr>
                    <w:rFonts w:ascii="Cambria Math" w:hAnsi="Cambria Math" w:cs="Times New Roman"/>
                    <w:sz w:val="24"/>
                    <w:szCs w:val="24"/>
                    <w:lang w:val="en-CA"/>
                  </w:rPr>
                  <m:t>λ</m:t>
                </m:r>
                <m:r>
                  <m:rPr>
                    <m:sty m:val="p"/>
                  </m:rPr>
                  <w:rPr>
                    <w:rFonts w:ascii="Cambria Math" w:hAnsi="Cambria Math" w:cs="Times New Roman"/>
                    <w:sz w:val="24"/>
                    <w:szCs w:val="24"/>
                    <w:lang w:val="en-CA"/>
                  </w:rPr>
                  <m:t>Ω</m:t>
                </m:r>
              </m:e>
            </m:d>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lang w:val="en-CA"/>
              </w:rPr>
              <m:t>u</m:t>
            </m:r>
          </m:e>
          <m:sub>
            <m:r>
              <w:rPr>
                <w:rFonts w:ascii="Cambria Math" w:hAnsi="Cambria Math" w:cs="Times New Roman"/>
                <w:sz w:val="24"/>
                <w:szCs w:val="24"/>
              </w:rPr>
              <m:t>i</m:t>
            </m:r>
          </m:sub>
        </m:sSub>
      </m:oMath>
      <w:r w:rsidR="00395327" w:rsidRPr="00395327">
        <w:rPr>
          <w:rFonts w:ascii="Times New Roman" w:eastAsiaTheme="minorEastAsia" w:hAnsi="Times New Roman" w:cs="Times New Roman"/>
          <w:sz w:val="24"/>
          <w:szCs w:val="24"/>
        </w:rPr>
        <w:t xml:space="preserve"> </w:t>
      </w:r>
      <w:r w:rsidR="00395327">
        <w:rPr>
          <w:rFonts w:ascii="Times New Roman" w:eastAsiaTheme="minorEastAsia" w:hAnsi="Times New Roman" w:cs="Times New Roman"/>
          <w:sz w:val="24"/>
          <w:szCs w:val="24"/>
        </w:rPr>
        <w:t xml:space="preserve"> </w:t>
      </w:r>
      <w:r w:rsidR="00395327" w:rsidRPr="00395327">
        <w:rPr>
          <w:rFonts w:ascii="Times New Roman" w:eastAsiaTheme="minorEastAsia" w:hAnsi="Times New Roman" w:cs="Times New Roman"/>
          <w:sz w:val="24"/>
          <w:szCs w:val="24"/>
        </w:rPr>
        <w:t>(e</w:t>
      </w:r>
      <w:r w:rsidR="00395327">
        <w:rPr>
          <w:rFonts w:ascii="Times New Roman" w:eastAsiaTheme="minorEastAsia" w:hAnsi="Times New Roman" w:cs="Times New Roman"/>
          <w:sz w:val="24"/>
          <w:szCs w:val="24"/>
        </w:rPr>
        <w:t>rro espacial</w:t>
      </w:r>
      <w:r w:rsidR="00406DD6">
        <w:rPr>
          <w:rFonts w:ascii="Times New Roman" w:eastAsiaTheme="minorEastAsia" w:hAnsi="Times New Roman" w:cs="Times New Roman"/>
          <w:sz w:val="24"/>
          <w:szCs w:val="24"/>
        </w:rPr>
        <w:t xml:space="preserve">) </w:t>
      </w:r>
      <w:r w:rsidR="00606F21" w:rsidRPr="00395327">
        <w:rPr>
          <w:rFonts w:ascii="Times New Roman" w:eastAsiaTheme="minorEastAsia" w:hAnsi="Times New Roman" w:cs="Times New Roman"/>
          <w:sz w:val="24"/>
          <w:szCs w:val="24"/>
        </w:rPr>
        <w:tab/>
      </w:r>
      <w:bookmarkStart w:id="18" w:name="equacao23b"/>
      <w:r w:rsidR="00406DD6" w:rsidRPr="00395327">
        <w:rPr>
          <w:rFonts w:ascii="Times New Roman" w:eastAsiaTheme="minorEastAsia" w:hAnsi="Times New Roman" w:cs="Times New Roman"/>
          <w:sz w:val="24"/>
          <w:szCs w:val="24"/>
        </w:rPr>
        <w:t xml:space="preserve"> </w:t>
      </w:r>
      <w:r w:rsidR="00113D87">
        <w:rPr>
          <w:rFonts w:ascii="Times New Roman" w:eastAsiaTheme="minorEastAsia" w:hAnsi="Times New Roman" w:cs="Times New Roman"/>
          <w:sz w:val="24"/>
          <w:szCs w:val="24"/>
        </w:rPr>
        <w:t>(6)</w:t>
      </w:r>
      <w:bookmarkEnd w:id="18"/>
    </w:p>
    <w:p w:rsidR="00230F33" w:rsidRDefault="00230F33" w:rsidP="0044685B">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em que </w:t>
      </w:r>
      <w:r w:rsidRPr="00D37383">
        <w:rPr>
          <w:rFonts w:ascii="Times New Roman" w:eastAsiaTheme="minorEastAsia" w:hAnsi="Times New Roman" w:cs="Times New Roman"/>
          <w:i/>
          <w:sz w:val="24"/>
          <w:szCs w:val="24"/>
        </w:rPr>
        <w:t>pop</w:t>
      </w:r>
      <w:r>
        <w:rPr>
          <w:rFonts w:ascii="Times New Roman" w:eastAsiaTheme="minorEastAsia" w:hAnsi="Times New Roman" w:cs="Times New Roman"/>
          <w:sz w:val="24"/>
          <w:szCs w:val="24"/>
        </w:rPr>
        <w:t xml:space="preserve"> é a população</w:t>
      </w:r>
      <w:r w:rsidR="00B52AD2">
        <w:rPr>
          <w:rFonts w:ascii="Times New Roman" w:eastAsiaTheme="minorEastAsia" w:hAnsi="Times New Roman" w:cs="Times New Roman"/>
          <w:sz w:val="24"/>
          <w:szCs w:val="24"/>
        </w:rPr>
        <w:t xml:space="preserve"> do município </w:t>
      </w:r>
      <w:r w:rsidRPr="00D37383">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 </w:t>
      </w:r>
      <w:r w:rsidR="00B52AD2">
        <w:rPr>
          <w:rFonts w:ascii="Times New Roman" w:eastAsiaTheme="minorEastAsia" w:hAnsi="Times New Roman" w:cs="Times New Roman"/>
          <w:sz w:val="24"/>
          <w:szCs w:val="24"/>
        </w:rPr>
        <w:t xml:space="preserve">no instante </w:t>
      </w:r>
      <w:r w:rsidRPr="00D37383">
        <w:rPr>
          <w:rFonts w:ascii="Times New Roman" w:eastAsiaTheme="minorEastAsia" w:hAnsi="Times New Roman" w:cs="Times New Roman"/>
          <w:i/>
          <w:sz w:val="24"/>
          <w:szCs w:val="24"/>
        </w:rPr>
        <w:t>t</w:t>
      </w:r>
      <w:r w:rsidR="009D4911" w:rsidRPr="009D491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D37383">
        <w:rPr>
          <w:rFonts w:ascii="Symbol" w:eastAsiaTheme="minorEastAsia" w:hAnsi="Symbol" w:cs="Times New Roman"/>
          <w:i/>
          <w:sz w:val="24"/>
          <w:szCs w:val="24"/>
        </w:rPr>
        <w:t></w:t>
      </w:r>
      <w:r w:rsidRPr="00D37383">
        <w:rPr>
          <w:rFonts w:ascii="Symbol" w:eastAsiaTheme="minorEastAsia" w:hAnsi="Symbol" w:cs="Times New Roman"/>
          <w:i/>
          <w:sz w:val="24"/>
          <w:szCs w:val="24"/>
        </w:rPr>
        <w:t></w:t>
      </w:r>
      <w:r w:rsidR="006660F1" w:rsidRPr="006660F1">
        <w:rPr>
          <w:rFonts w:ascii="Times New Roman" w:eastAsiaTheme="minorEastAsia" w:hAnsi="Times New Roman" w:cs="Times New Roman"/>
          <w:sz w:val="24"/>
          <w:szCs w:val="24"/>
        </w:rPr>
        <w:t xml:space="preserve"> </w:t>
      </w:r>
      <w:r w:rsidR="006660F1">
        <w:rPr>
          <w:rFonts w:ascii="Times New Roman" w:eastAsiaTheme="minorEastAsia" w:hAnsi="Times New Roman" w:cs="Times New Roman"/>
          <w:sz w:val="24"/>
          <w:szCs w:val="24"/>
        </w:rPr>
        <w:t>e</w:t>
      </w:r>
      <w:r w:rsidR="006660F1">
        <w:rPr>
          <w:rFonts w:ascii="Symbol" w:eastAsiaTheme="minorEastAsia" w:hAnsi="Symbol" w:cs="Times New Roman"/>
          <w:i/>
          <w:sz w:val="24"/>
          <w:szCs w:val="24"/>
        </w:rPr>
        <w:t></w:t>
      </w:r>
      <w:r w:rsidR="006660F1">
        <w:rPr>
          <w:rFonts w:ascii="Symbol" w:eastAsiaTheme="minorEastAsia" w:hAnsi="Symbol" w:cs="Times New Roman"/>
          <w:i/>
          <w:sz w:val="24"/>
          <w:szCs w:val="24"/>
        </w:rPr>
        <w:t></w:t>
      </w:r>
      <w:r w:rsidR="006660F1">
        <w:rPr>
          <w:rFonts w:ascii="Symbol" w:eastAsiaTheme="minorEastAsia" w:hAnsi="Symbol" w:cs="Times New Roman"/>
          <w:i/>
          <w:sz w:val="24"/>
          <w:szCs w:val="24"/>
        </w:rPr>
        <w:t></w:t>
      </w:r>
      <w:r w:rsidR="006660F1">
        <w:rPr>
          <w:rFonts w:ascii="Symbol" w:eastAsiaTheme="minorEastAsia" w:hAnsi="Symbol" w:cs="Times New Roman"/>
          <w:i/>
          <w:sz w:val="24"/>
          <w:szCs w:val="24"/>
        </w:rPr>
        <w:t></w:t>
      </w:r>
      <w:r w:rsidR="006660F1">
        <w:rPr>
          <w:rFonts w:ascii="Times New Roman" w:eastAsiaTheme="minorEastAsia" w:hAnsi="Times New Roman" w:cs="Times New Roman"/>
          <w:sz w:val="24"/>
          <w:szCs w:val="24"/>
        </w:rPr>
        <w:t xml:space="preserve">são parâmetros escalares </w:t>
      </w:r>
      <w:r w:rsidR="00B52AD2">
        <w:rPr>
          <w:rFonts w:ascii="Times New Roman" w:eastAsiaTheme="minorEastAsia" w:hAnsi="Times New Roman" w:cs="Times New Roman"/>
          <w:sz w:val="24"/>
          <w:szCs w:val="24"/>
        </w:rPr>
        <w:t>auto-regressivo</w:t>
      </w:r>
      <w:r w:rsidR="006660F1">
        <w:rPr>
          <w:rFonts w:ascii="Times New Roman" w:eastAsiaTheme="minorEastAsia" w:hAnsi="Times New Roman" w:cs="Times New Roman"/>
          <w:sz w:val="24"/>
          <w:szCs w:val="24"/>
        </w:rPr>
        <w:t>s</w:t>
      </w:r>
      <w:r w:rsidR="00B52A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 matriz de pesos</w:t>
      </w:r>
      <w:r w:rsidR="00B52AD2">
        <w:rPr>
          <w:rFonts w:ascii="Times New Roman" w:eastAsiaTheme="minorEastAsia" w:hAnsi="Times New Roman" w:cs="Times New Roman"/>
          <w:sz w:val="24"/>
          <w:szCs w:val="24"/>
        </w:rPr>
        <w:t xml:space="preserve"> espaciais</w:t>
      </w:r>
      <w:r>
        <w:rPr>
          <w:rFonts w:ascii="Times New Roman" w:eastAsiaTheme="minorEastAsia" w:hAnsi="Times New Roman" w:cs="Times New Roman"/>
          <w:sz w:val="24"/>
          <w:szCs w:val="24"/>
        </w:rPr>
        <w:t xml:space="preserve"> </w:t>
      </w:r>
      <w:r w:rsidRPr="000E4EB8">
        <w:rPr>
          <w:rFonts w:ascii="Symbol" w:eastAsiaTheme="minorEastAsia" w:hAnsi="Symbol" w:cs="Times New Roman"/>
          <w:i/>
          <w:sz w:val="24"/>
          <w:szCs w:val="24"/>
        </w:rPr>
        <w:t></w:t>
      </w:r>
      <w:r w:rsidR="009D4911" w:rsidRPr="009D4911">
        <w:rPr>
          <w:rFonts w:ascii="Symbol" w:eastAsiaTheme="minorEastAsia" w:hAnsi="Symbol" w:cs="Times New Roman"/>
          <w:sz w:val="24"/>
          <w:szCs w:val="24"/>
        </w:rPr>
        <w:t></w:t>
      </w:r>
      <w:r w:rsidR="00B52AD2">
        <w:rPr>
          <w:rFonts w:ascii="Times New Roman" w:eastAsiaTheme="minorEastAsia" w:hAnsi="Times New Roman" w:cs="Times New Roman"/>
          <w:i/>
          <w:sz w:val="24"/>
          <w:szCs w:val="24"/>
        </w:rPr>
        <w:t xml:space="preserve"> </w:t>
      </w:r>
      <w:r w:rsidR="00B52AD2" w:rsidRPr="00B52AD2">
        <w:rPr>
          <w:rFonts w:ascii="Times New Roman" w:eastAsiaTheme="minorEastAsia" w:hAnsi="Times New Roman" w:cs="Times New Roman"/>
          <w:sz w:val="24"/>
          <w:szCs w:val="24"/>
        </w:rPr>
        <w:t>e</w:t>
      </w:r>
      <w:r w:rsidR="0019003C">
        <w:rPr>
          <w:rFonts w:ascii="Times New Roman" w:eastAsiaTheme="minorEastAsia" w:hAnsi="Times New Roman" w:cs="Times New Roman"/>
          <w:sz w:val="24"/>
          <w:szCs w:val="24"/>
        </w:rPr>
        <w:t>,</w:t>
      </w:r>
      <w:r w:rsidR="00395327">
        <w:rPr>
          <w:rFonts w:ascii="Times New Roman" w:eastAsiaTheme="minorEastAsia" w:hAnsi="Times New Roman" w:cs="Times New Roman"/>
          <w:sz w:val="24"/>
          <w:szCs w:val="24"/>
        </w:rPr>
        <w:t xml:space="preserve"> o vetor de erro é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is</m:t>
            </m:r>
          </m:sub>
        </m:sSub>
        <m:r>
          <w:rPr>
            <w:rFonts w:ascii="Cambria Math" w:hAnsi="Cambria Math" w:cs="Times New Roman"/>
            <w:sz w:val="24"/>
            <w:szCs w:val="24"/>
          </w:rPr>
          <m:t>~N(0,</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,i.i.d</m:t>
        </m:r>
        <m:r>
          <w:rPr>
            <w:rStyle w:val="Refdenotaderodap"/>
            <w:rFonts w:ascii="Cambria Math" w:hAnsi="Cambria Math" w:cs="Times New Roman"/>
            <w:i/>
            <w:sz w:val="24"/>
            <w:szCs w:val="24"/>
          </w:rPr>
          <w:footnoteReference w:id="7"/>
        </m:r>
        <m:r>
          <w:rPr>
            <w:rFonts w:ascii="Cambria Math" w:hAnsi="Cambria Math" w:cs="Times New Roman"/>
            <w:sz w:val="24"/>
            <w:szCs w:val="24"/>
          </w:rPr>
          <m:t>.)</m:t>
        </m:r>
      </m:oMath>
      <w:r w:rsidR="00B52AD2">
        <w:rPr>
          <w:rFonts w:ascii="Times New Roman" w:eastAsiaTheme="minorEastAsia" w:hAnsi="Times New Roman" w:cs="Times New Roman"/>
          <w:sz w:val="24"/>
          <w:szCs w:val="24"/>
        </w:rPr>
        <w:t xml:space="preserve">, </w:t>
      </w:r>
      <w:r w:rsidR="006660F1" w:rsidRPr="006660F1">
        <w:rPr>
          <w:rFonts w:ascii="Symbol" w:eastAsiaTheme="minorEastAsia" w:hAnsi="Symbol" w:cs="Times New Roman"/>
          <w:sz w:val="24"/>
          <w:szCs w:val="24"/>
        </w:rPr>
        <w:t></w:t>
      </w:r>
      <w:r w:rsidR="006660F1">
        <w:rPr>
          <w:rFonts w:ascii="Times New Roman" w:eastAsiaTheme="minorEastAsia" w:hAnsi="Times New Roman" w:cs="Times New Roman"/>
          <w:sz w:val="24"/>
          <w:szCs w:val="24"/>
        </w:rPr>
        <w:t xml:space="preserve"> </w:t>
      </w:r>
      <w:r w:rsidR="00FE2905">
        <w:rPr>
          <w:rFonts w:ascii="Times New Roman" w:eastAsiaTheme="minorEastAsia" w:hAnsi="Times New Roman" w:cs="Times New Roman"/>
          <w:sz w:val="24"/>
          <w:szCs w:val="24"/>
        </w:rPr>
        <w:t xml:space="preserve">é </w:t>
      </w:r>
      <w:r w:rsidR="006660F1">
        <w:rPr>
          <w:rFonts w:ascii="Times New Roman" w:eastAsiaTheme="minorEastAsia" w:hAnsi="Times New Roman" w:cs="Times New Roman"/>
          <w:sz w:val="24"/>
          <w:szCs w:val="24"/>
        </w:rPr>
        <w:t>o vetor k x 1 de coeficie</w:t>
      </w:r>
      <w:r w:rsidR="006660F1">
        <w:rPr>
          <w:rFonts w:ascii="Times New Roman" w:eastAsiaTheme="minorEastAsia" w:hAnsi="Times New Roman" w:cs="Times New Roman"/>
          <w:sz w:val="24"/>
          <w:szCs w:val="24"/>
        </w:rPr>
        <w:t>n</w:t>
      </w:r>
      <w:r w:rsidR="006660F1">
        <w:rPr>
          <w:rFonts w:ascii="Times New Roman" w:eastAsiaTheme="minorEastAsia" w:hAnsi="Times New Roman" w:cs="Times New Roman"/>
          <w:sz w:val="24"/>
          <w:szCs w:val="24"/>
        </w:rPr>
        <w:t xml:space="preserve">tes da matriz de características </w:t>
      </w:r>
      <w:r w:rsidR="006660F1" w:rsidRPr="000E3F3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De forma a sintetizar o modelo, todos os coeficientes da regressão</w:t>
      </w:r>
      <w:r w:rsidR="00616CB9">
        <w:rPr>
          <w:rFonts w:ascii="Times New Roman" w:eastAsiaTheme="minorEastAsia" w:hAnsi="Times New Roman" w:cs="Times New Roman"/>
          <w:sz w:val="24"/>
          <w:szCs w:val="24"/>
        </w:rPr>
        <w:t xml:space="preserve"> em </w:t>
      </w:r>
      <w:r w:rsidR="00113D87">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são representados por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nos modelos</w:t>
      </w:r>
      <w:r w:rsidR="00352732">
        <w:rPr>
          <w:rFonts w:ascii="Times New Roman" w:eastAsiaTheme="minorEastAsia" w:hAnsi="Times New Roman" w:cs="Times New Roman"/>
          <w:sz w:val="24"/>
          <w:szCs w:val="24"/>
        </w:rPr>
        <w:t xml:space="preserve"> </w:t>
      </w:r>
      <w:r w:rsidR="00113D87">
        <w:rPr>
          <w:rFonts w:ascii="Times New Roman" w:eastAsiaTheme="minorEastAsia" w:hAnsi="Times New Roman" w:cs="Times New Roman"/>
          <w:sz w:val="24"/>
          <w:szCs w:val="24"/>
        </w:rPr>
        <w:t>(4)</w:t>
      </w:r>
      <w:r w:rsidR="008B0D98">
        <w:rPr>
          <w:rFonts w:ascii="Times New Roman" w:eastAsiaTheme="minorEastAsia" w:hAnsi="Times New Roman" w:cs="Times New Roman"/>
          <w:sz w:val="24"/>
          <w:szCs w:val="24"/>
        </w:rPr>
        <w:t xml:space="preserve"> </w:t>
      </w:r>
      <w:r w:rsidR="00E546EF">
        <w:rPr>
          <w:rFonts w:ascii="Times New Roman" w:eastAsiaTheme="minorEastAsia" w:hAnsi="Times New Roman" w:cs="Times New Roman"/>
          <w:sz w:val="24"/>
          <w:szCs w:val="24"/>
        </w:rPr>
        <w:t>e</w:t>
      </w:r>
      <w:r w:rsidR="00352732">
        <w:rPr>
          <w:rFonts w:ascii="Times New Roman" w:eastAsiaTheme="minorEastAsia" w:hAnsi="Times New Roman" w:cs="Times New Roman"/>
          <w:sz w:val="24"/>
          <w:szCs w:val="24"/>
        </w:rPr>
        <w:t xml:space="preserve"> </w:t>
      </w:r>
      <w:r w:rsidR="00113D87">
        <w:rPr>
          <w:rFonts w:ascii="Times New Roman" w:eastAsiaTheme="minorEastAsia" w:hAnsi="Times New Roman" w:cs="Times New Roman"/>
          <w:sz w:val="24"/>
          <w:szCs w:val="24"/>
        </w:rPr>
        <w:t>(6)</w:t>
      </w:r>
      <w:r w:rsidR="006660F1">
        <w:rPr>
          <w:rFonts w:ascii="Times New Roman" w:eastAsiaTheme="minorEastAsia" w:hAnsi="Times New Roman" w:cs="Times New Roman"/>
          <w:i/>
          <w:sz w:val="24"/>
          <w:szCs w:val="24"/>
        </w:rPr>
        <w:t>.</w:t>
      </w:r>
      <w:r w:rsidRPr="006660F1">
        <w:rPr>
          <w:rFonts w:ascii="Times New Roman" w:eastAsiaTheme="minorEastAsia" w:hAnsi="Times New Roman" w:cs="Times New Roman"/>
          <w:i/>
          <w:sz w:val="24"/>
          <w:szCs w:val="24"/>
        </w:rPr>
        <w:t xml:space="preserve"> </w:t>
      </w:r>
    </w:p>
    <w:p w:rsidR="00426306" w:rsidRPr="000C6816" w:rsidRDefault="00B52AD2" w:rsidP="00B2271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Conforme</w:t>
      </w:r>
      <w:r w:rsidR="00230F33">
        <w:rPr>
          <w:rFonts w:ascii="Times New Roman" w:hAnsi="Times New Roman" w:cs="Times New Roman"/>
          <w:sz w:val="24"/>
          <w:szCs w:val="24"/>
        </w:rPr>
        <w:t xml:space="preserve"> Anselin (</w:t>
      </w:r>
      <w:r w:rsidR="008C5F8D">
        <w:rPr>
          <w:rFonts w:ascii="Times New Roman" w:hAnsi="Times New Roman" w:cs="Times New Roman"/>
          <w:sz w:val="24"/>
          <w:szCs w:val="24"/>
        </w:rPr>
        <w:t>1988</w:t>
      </w:r>
      <w:r w:rsidR="00230F33">
        <w:rPr>
          <w:rFonts w:ascii="Times New Roman" w:hAnsi="Times New Roman" w:cs="Times New Roman"/>
          <w:sz w:val="24"/>
          <w:szCs w:val="24"/>
        </w:rPr>
        <w:t>), os modelos em</w:t>
      </w:r>
      <w:r w:rsidR="00352732">
        <w:rPr>
          <w:rFonts w:ascii="Times New Roman" w:hAnsi="Times New Roman" w:cs="Times New Roman"/>
          <w:sz w:val="24"/>
          <w:szCs w:val="24"/>
        </w:rPr>
        <w:t xml:space="preserve"> </w:t>
      </w:r>
      <w:r w:rsidR="00113D87">
        <w:rPr>
          <w:rFonts w:ascii="Times New Roman" w:eastAsiaTheme="minorEastAsia" w:hAnsi="Times New Roman" w:cs="Times New Roman"/>
          <w:sz w:val="24"/>
          <w:szCs w:val="24"/>
        </w:rPr>
        <w:t>(4)</w:t>
      </w:r>
      <w:r w:rsidR="0019003C">
        <w:rPr>
          <w:rFonts w:ascii="Times New Roman" w:hAnsi="Times New Roman" w:cs="Times New Roman"/>
          <w:sz w:val="24"/>
          <w:szCs w:val="24"/>
        </w:rPr>
        <w:t xml:space="preserve"> </w:t>
      </w:r>
      <w:r w:rsidR="00E546EF">
        <w:rPr>
          <w:rFonts w:ascii="Times New Roman" w:hAnsi="Times New Roman" w:cs="Times New Roman"/>
          <w:sz w:val="24"/>
          <w:szCs w:val="24"/>
        </w:rPr>
        <w:t>e</w:t>
      </w:r>
      <w:r w:rsidR="00352732">
        <w:rPr>
          <w:rFonts w:ascii="Times New Roman" w:hAnsi="Times New Roman" w:cs="Times New Roman"/>
          <w:sz w:val="24"/>
          <w:szCs w:val="24"/>
        </w:rPr>
        <w:t xml:space="preserve"> </w:t>
      </w:r>
      <w:r w:rsidR="00113D87">
        <w:rPr>
          <w:rFonts w:ascii="Times New Roman" w:eastAsiaTheme="minorEastAsia" w:hAnsi="Times New Roman" w:cs="Times New Roman"/>
          <w:sz w:val="24"/>
          <w:szCs w:val="24"/>
        </w:rPr>
        <w:t>(6)</w:t>
      </w:r>
      <w:r w:rsidR="00E546EF">
        <w:rPr>
          <w:rFonts w:ascii="Times New Roman" w:hAnsi="Times New Roman" w:cs="Times New Roman"/>
          <w:sz w:val="24"/>
          <w:szCs w:val="24"/>
        </w:rPr>
        <w:t xml:space="preserve"> </w:t>
      </w:r>
      <w:r w:rsidR="00230F33">
        <w:rPr>
          <w:rFonts w:ascii="Times New Roman" w:hAnsi="Times New Roman" w:cs="Times New Roman"/>
          <w:sz w:val="24"/>
          <w:szCs w:val="24"/>
        </w:rPr>
        <w:t>são auto-</w:t>
      </w:r>
      <w:r w:rsidR="00E6739A">
        <w:rPr>
          <w:rFonts w:ascii="Times New Roman" w:hAnsi="Times New Roman" w:cs="Times New Roman"/>
          <w:sz w:val="24"/>
          <w:szCs w:val="24"/>
        </w:rPr>
        <w:t>regressivos espaciais</w:t>
      </w:r>
      <w:r w:rsidR="00230F33">
        <w:rPr>
          <w:rFonts w:ascii="Times New Roman" w:hAnsi="Times New Roman" w:cs="Times New Roman"/>
          <w:sz w:val="24"/>
          <w:szCs w:val="24"/>
        </w:rPr>
        <w:t xml:space="preserve"> homocedásticos</w:t>
      </w:r>
      <w:r w:rsidR="00FE2905">
        <w:rPr>
          <w:rFonts w:ascii="Times New Roman" w:hAnsi="Times New Roman" w:cs="Times New Roman"/>
          <w:sz w:val="24"/>
          <w:szCs w:val="24"/>
        </w:rPr>
        <w:t>, i</w:t>
      </w:r>
      <w:r w:rsidR="00FE2905">
        <w:rPr>
          <w:rFonts w:ascii="Times New Roman" w:hAnsi="Times New Roman" w:cs="Times New Roman"/>
          <w:sz w:val="24"/>
          <w:szCs w:val="24"/>
        </w:rPr>
        <w:t>s</w:t>
      </w:r>
      <w:r w:rsidR="00FE2905">
        <w:rPr>
          <w:rFonts w:ascii="Times New Roman" w:hAnsi="Times New Roman" w:cs="Times New Roman"/>
          <w:sz w:val="24"/>
          <w:szCs w:val="24"/>
        </w:rPr>
        <w:t>to é, tem uma distribuição de freqüência com padrão regular</w:t>
      </w:r>
      <w:r w:rsidR="00230F33">
        <w:rPr>
          <w:rFonts w:ascii="Times New Roman" w:hAnsi="Times New Roman" w:cs="Times New Roman"/>
          <w:sz w:val="24"/>
          <w:szCs w:val="24"/>
        </w:rPr>
        <w:t>. Há dois casos particulares de modelos ec</w:t>
      </w:r>
      <w:r w:rsidR="00230F33">
        <w:rPr>
          <w:rFonts w:ascii="Times New Roman" w:hAnsi="Times New Roman" w:cs="Times New Roman"/>
          <w:sz w:val="24"/>
          <w:szCs w:val="24"/>
        </w:rPr>
        <w:t>o</w:t>
      </w:r>
      <w:r w:rsidR="00230F33">
        <w:rPr>
          <w:rFonts w:ascii="Times New Roman" w:hAnsi="Times New Roman" w:cs="Times New Roman"/>
          <w:sz w:val="24"/>
          <w:szCs w:val="24"/>
        </w:rPr>
        <w:t xml:space="preserve">nométricos espaciais: modelo com defasagem espacial e modelo com erro espacial. Se, </w:t>
      </w:r>
      <w:r w:rsidR="00230F33" w:rsidRPr="0029516E">
        <w:rPr>
          <w:rFonts w:ascii="Symbol" w:hAnsi="Symbol" w:cs="Times New Roman"/>
          <w:sz w:val="24"/>
          <w:szCs w:val="24"/>
        </w:rPr>
        <w:t></w:t>
      </w:r>
      <w:r w:rsidR="00230F33">
        <w:rPr>
          <w:rFonts w:ascii="Times New Roman" w:hAnsi="Times New Roman" w:cs="Times New Roman"/>
          <w:sz w:val="24"/>
          <w:szCs w:val="24"/>
        </w:rPr>
        <w:t xml:space="preserve"> = 0</w:t>
      </w:r>
      <w:r>
        <w:rPr>
          <w:rFonts w:ascii="Times New Roman" w:hAnsi="Times New Roman" w:cs="Times New Roman"/>
          <w:sz w:val="24"/>
          <w:szCs w:val="24"/>
        </w:rPr>
        <w:t xml:space="preserve"> em</w:t>
      </w:r>
      <w:r w:rsidR="00352732">
        <w:rPr>
          <w:rFonts w:ascii="Times New Roman" w:hAnsi="Times New Roman" w:cs="Times New Roman"/>
          <w:sz w:val="24"/>
          <w:szCs w:val="24"/>
        </w:rPr>
        <w:t xml:space="preserve"> </w:t>
      </w:r>
      <w:r w:rsidR="00113D87">
        <w:rPr>
          <w:rFonts w:ascii="Times New Roman" w:eastAsiaTheme="minorEastAsia" w:hAnsi="Times New Roman" w:cs="Times New Roman"/>
          <w:sz w:val="24"/>
          <w:szCs w:val="24"/>
        </w:rPr>
        <w:t>(5)</w:t>
      </w:r>
      <w:r w:rsidR="00230F33">
        <w:rPr>
          <w:rFonts w:ascii="Times New Roman" w:hAnsi="Times New Roman" w:cs="Times New Roman"/>
          <w:sz w:val="24"/>
          <w:szCs w:val="24"/>
        </w:rPr>
        <w:t>, tem-se um modelo com defasagem espacial</w:t>
      </w:r>
      <w:r w:rsidR="0041624C">
        <w:rPr>
          <w:rFonts w:ascii="Times New Roman" w:hAnsi="Times New Roman" w:cs="Times New Roman"/>
          <w:sz w:val="24"/>
          <w:szCs w:val="24"/>
        </w:rPr>
        <w:t xml:space="preserve"> como em</w:t>
      </w:r>
      <w:r w:rsidR="00352732">
        <w:rPr>
          <w:rFonts w:ascii="Times New Roman" w:hAnsi="Times New Roman" w:cs="Times New Roman"/>
          <w:sz w:val="24"/>
          <w:szCs w:val="24"/>
        </w:rPr>
        <w:t xml:space="preserve"> </w:t>
      </w:r>
      <w:r w:rsidR="00113D87">
        <w:rPr>
          <w:rFonts w:ascii="Times New Roman" w:eastAsiaTheme="minorEastAsia" w:hAnsi="Times New Roman" w:cs="Times New Roman"/>
          <w:sz w:val="24"/>
          <w:szCs w:val="24"/>
        </w:rPr>
        <w:t>(4)</w:t>
      </w:r>
      <w:r w:rsidR="00230F33">
        <w:rPr>
          <w:rFonts w:ascii="Times New Roman" w:hAnsi="Times New Roman" w:cs="Times New Roman"/>
          <w:sz w:val="24"/>
          <w:szCs w:val="24"/>
        </w:rPr>
        <w:t>, implicando que o crescimento populacional das c</w:t>
      </w:r>
      <w:r w:rsidR="00230F33">
        <w:rPr>
          <w:rFonts w:ascii="Times New Roman" w:hAnsi="Times New Roman" w:cs="Times New Roman"/>
          <w:sz w:val="24"/>
          <w:szCs w:val="24"/>
        </w:rPr>
        <w:t>i</w:t>
      </w:r>
      <w:r w:rsidR="00230F33">
        <w:rPr>
          <w:rFonts w:ascii="Times New Roman" w:hAnsi="Times New Roman" w:cs="Times New Roman"/>
          <w:sz w:val="24"/>
          <w:szCs w:val="24"/>
        </w:rPr>
        <w:t xml:space="preserve">dades vizinhas </w:t>
      </w:r>
      <w:proofErr w:type="gramStart"/>
      <w:r w:rsidR="00230F33">
        <w:rPr>
          <w:rFonts w:ascii="Times New Roman" w:hAnsi="Times New Roman" w:cs="Times New Roman"/>
          <w:sz w:val="24"/>
          <w:szCs w:val="24"/>
        </w:rPr>
        <w:t>influencia</w:t>
      </w:r>
      <w:r w:rsidR="00B73F0A">
        <w:rPr>
          <w:rFonts w:ascii="Times New Roman" w:hAnsi="Times New Roman" w:cs="Times New Roman"/>
          <w:sz w:val="24"/>
          <w:szCs w:val="24"/>
        </w:rPr>
        <w:t>,</w:t>
      </w:r>
      <w:proofErr w:type="gramEnd"/>
      <w:r w:rsidR="00230F33">
        <w:rPr>
          <w:rFonts w:ascii="Times New Roman" w:hAnsi="Times New Roman" w:cs="Times New Roman"/>
          <w:sz w:val="24"/>
          <w:szCs w:val="24"/>
        </w:rPr>
        <w:t xml:space="preserve"> no mesmo sentido</w:t>
      </w:r>
      <w:r w:rsidR="00B73F0A">
        <w:rPr>
          <w:rFonts w:ascii="Times New Roman" w:hAnsi="Times New Roman" w:cs="Times New Roman"/>
          <w:sz w:val="24"/>
          <w:szCs w:val="24"/>
        </w:rPr>
        <w:t>,</w:t>
      </w:r>
      <w:r w:rsidR="00230F33">
        <w:rPr>
          <w:rFonts w:ascii="Times New Roman" w:hAnsi="Times New Roman" w:cs="Times New Roman"/>
          <w:sz w:val="24"/>
          <w:szCs w:val="24"/>
        </w:rPr>
        <w:t xml:space="preserve"> a cidade </w:t>
      </w:r>
      <w:r w:rsidR="00230F33" w:rsidRPr="002B1DFB">
        <w:rPr>
          <w:rFonts w:ascii="Times New Roman" w:hAnsi="Times New Roman" w:cs="Times New Roman"/>
          <w:i/>
          <w:sz w:val="24"/>
          <w:szCs w:val="24"/>
        </w:rPr>
        <w:t>i</w:t>
      </w:r>
      <w:r w:rsidR="00230F33">
        <w:rPr>
          <w:rFonts w:ascii="Times New Roman" w:hAnsi="Times New Roman" w:cs="Times New Roman"/>
          <w:sz w:val="24"/>
          <w:szCs w:val="24"/>
        </w:rPr>
        <w:t xml:space="preserve">.  Se, </w:t>
      </w:r>
      <w:r w:rsidR="00230F33" w:rsidRPr="0029516E">
        <w:rPr>
          <w:rFonts w:ascii="Symbol" w:hAnsi="Symbol" w:cs="Times New Roman"/>
          <w:sz w:val="24"/>
          <w:szCs w:val="24"/>
        </w:rPr>
        <w:t></w:t>
      </w:r>
      <w:r w:rsidR="00230F33">
        <w:rPr>
          <w:rFonts w:ascii="Times New Roman" w:hAnsi="Times New Roman" w:cs="Times New Roman"/>
          <w:sz w:val="24"/>
          <w:szCs w:val="24"/>
        </w:rPr>
        <w:t xml:space="preserve"> = 0, tem-se um modelo com erro espacial</w:t>
      </w:r>
      <w:r w:rsidR="0041624C">
        <w:rPr>
          <w:rFonts w:ascii="Times New Roman" w:hAnsi="Times New Roman" w:cs="Times New Roman"/>
          <w:sz w:val="24"/>
          <w:szCs w:val="24"/>
        </w:rPr>
        <w:t>, como em</w:t>
      </w:r>
      <w:r w:rsidR="00352732">
        <w:rPr>
          <w:rFonts w:ascii="Times New Roman" w:hAnsi="Times New Roman" w:cs="Times New Roman"/>
          <w:sz w:val="24"/>
          <w:szCs w:val="24"/>
        </w:rPr>
        <w:t xml:space="preserve"> </w:t>
      </w:r>
      <w:r w:rsidR="00113D87">
        <w:rPr>
          <w:rFonts w:ascii="Times New Roman" w:eastAsiaTheme="minorEastAsia" w:hAnsi="Times New Roman" w:cs="Times New Roman"/>
          <w:sz w:val="24"/>
          <w:szCs w:val="24"/>
        </w:rPr>
        <w:t>(6)</w:t>
      </w:r>
      <w:r w:rsidR="00230F33">
        <w:rPr>
          <w:rFonts w:ascii="Times New Roman" w:hAnsi="Times New Roman" w:cs="Times New Roman"/>
          <w:sz w:val="24"/>
          <w:szCs w:val="24"/>
        </w:rPr>
        <w:t xml:space="preserve">, implicando que o crescimento de uma cidade depende de alguma associação espacial de uma variável qualquer </w:t>
      </w:r>
      <w:r w:rsidR="00745D8D">
        <w:rPr>
          <w:rFonts w:ascii="Times New Roman" w:hAnsi="Times New Roman" w:cs="Times New Roman"/>
          <w:sz w:val="24"/>
          <w:szCs w:val="24"/>
        </w:rPr>
        <w:t xml:space="preserve">que não foi incluída no modelo. </w:t>
      </w:r>
      <w:r w:rsidR="008C6AFC">
        <w:rPr>
          <w:rFonts w:ascii="Times New Roman" w:hAnsi="Times New Roman" w:cs="Times New Roman"/>
          <w:sz w:val="24"/>
          <w:szCs w:val="24"/>
        </w:rPr>
        <w:t>O instrumento de diagnóstico usado para identif</w:t>
      </w:r>
      <w:r w:rsidR="008C6AFC">
        <w:rPr>
          <w:rFonts w:ascii="Times New Roman" w:hAnsi="Times New Roman" w:cs="Times New Roman"/>
          <w:sz w:val="24"/>
          <w:szCs w:val="24"/>
        </w:rPr>
        <w:t>i</w:t>
      </w:r>
      <w:r w:rsidR="008C6AFC">
        <w:rPr>
          <w:rFonts w:ascii="Times New Roman" w:hAnsi="Times New Roman" w:cs="Times New Roman"/>
          <w:sz w:val="24"/>
          <w:szCs w:val="24"/>
        </w:rPr>
        <w:t>car um termo de erro auto-regressivo espacialmente ou uma defasagem espacial erroneamente omitida, são os testes dos multiplicadores de Lagrange.</w:t>
      </w:r>
      <w:r w:rsidR="002F1092">
        <w:rPr>
          <w:rFonts w:ascii="Times New Roman" w:hAnsi="Times New Roman" w:cs="Times New Roman"/>
          <w:sz w:val="24"/>
          <w:szCs w:val="24"/>
        </w:rPr>
        <w:t xml:space="preserve"> </w:t>
      </w:r>
      <w:r w:rsidR="00230F33">
        <w:rPr>
          <w:rFonts w:ascii="Times New Roman" w:hAnsi="Times New Roman" w:cs="Times New Roman"/>
          <w:sz w:val="24"/>
          <w:szCs w:val="24"/>
        </w:rPr>
        <w:t xml:space="preserve">Para identificar o modelo adequado </w:t>
      </w:r>
      <w:r w:rsidR="00956F54">
        <w:rPr>
          <w:rFonts w:ascii="Times New Roman" w:hAnsi="Times New Roman" w:cs="Times New Roman"/>
          <w:sz w:val="24"/>
          <w:szCs w:val="24"/>
        </w:rPr>
        <w:t xml:space="preserve">a partir da </w:t>
      </w:r>
      <w:r w:rsidR="008B0D98">
        <w:rPr>
          <w:rFonts w:ascii="Times New Roman" w:hAnsi="Times New Roman" w:cs="Times New Roman"/>
          <w:sz w:val="24"/>
          <w:szCs w:val="24"/>
        </w:rPr>
        <w:t xml:space="preserve">equação </w:t>
      </w:r>
      <w:r w:rsidR="00113D87">
        <w:rPr>
          <w:rFonts w:ascii="Times New Roman" w:eastAsiaTheme="minorEastAsia" w:hAnsi="Times New Roman" w:cs="Times New Roman"/>
          <w:sz w:val="24"/>
          <w:szCs w:val="24"/>
        </w:rPr>
        <w:t>(3)</w:t>
      </w:r>
      <w:r w:rsidR="002F1092">
        <w:rPr>
          <w:rFonts w:ascii="Times New Roman" w:eastAsiaTheme="minorEastAsia" w:hAnsi="Times New Roman" w:cs="Times New Roman"/>
          <w:sz w:val="24"/>
          <w:szCs w:val="24"/>
        </w:rPr>
        <w:t xml:space="preserve"> adota-se o procedimento sugerido por </w:t>
      </w:r>
      <w:r w:rsidR="000972AA" w:rsidRPr="00143F0F">
        <w:rPr>
          <w:rFonts w:ascii="Times New Roman" w:hAnsi="Times New Roman" w:cs="Times New Roman"/>
          <w:sz w:val="24"/>
          <w:szCs w:val="24"/>
        </w:rPr>
        <w:t>F</w:t>
      </w:r>
      <w:r w:rsidR="00B2271D">
        <w:rPr>
          <w:rFonts w:ascii="Times New Roman" w:hAnsi="Times New Roman" w:cs="Times New Roman"/>
          <w:sz w:val="24"/>
          <w:szCs w:val="24"/>
        </w:rPr>
        <w:t xml:space="preserve">lorax </w:t>
      </w:r>
      <w:r w:rsidR="000972AA" w:rsidRPr="001F1F99">
        <w:rPr>
          <w:rFonts w:ascii="Times New Roman" w:hAnsi="Times New Roman" w:cs="Times New Roman"/>
          <w:sz w:val="24"/>
          <w:szCs w:val="24"/>
        </w:rPr>
        <w:t>et al</w:t>
      </w:r>
      <w:r w:rsidR="00B2271D">
        <w:rPr>
          <w:rFonts w:ascii="Times New Roman" w:hAnsi="Times New Roman" w:cs="Times New Roman"/>
          <w:sz w:val="24"/>
          <w:szCs w:val="24"/>
        </w:rPr>
        <w:t xml:space="preserve"> (</w:t>
      </w:r>
      <w:r w:rsidR="000972AA" w:rsidRPr="00143F0F">
        <w:rPr>
          <w:rFonts w:ascii="Times New Roman" w:hAnsi="Times New Roman" w:cs="Times New Roman"/>
          <w:sz w:val="24"/>
          <w:szCs w:val="24"/>
        </w:rPr>
        <w:t>2003</w:t>
      </w:r>
      <w:bookmarkStart w:id="19" w:name="_Toc268255725"/>
      <w:bookmarkStart w:id="20" w:name="_Toc268497769"/>
      <w:bookmarkStart w:id="21" w:name="_Toc268668236"/>
      <w:bookmarkStart w:id="22" w:name="_Toc272591754"/>
      <w:bookmarkStart w:id="23" w:name="_Toc278637502"/>
      <w:bookmarkStart w:id="24" w:name="_Toc280092990"/>
      <w:r w:rsidR="00B2271D">
        <w:rPr>
          <w:rFonts w:ascii="Times New Roman" w:hAnsi="Times New Roman" w:cs="Times New Roman"/>
          <w:sz w:val="24"/>
          <w:szCs w:val="24"/>
        </w:rPr>
        <w:t>)</w:t>
      </w:r>
      <w:r w:rsidR="00426306" w:rsidRPr="000C6816">
        <w:rPr>
          <w:rFonts w:ascii="Times New Roman" w:hAnsi="Times New Roman" w:cs="Times New Roman"/>
          <w:sz w:val="24"/>
          <w:szCs w:val="24"/>
        </w:rPr>
        <w:t>.</w:t>
      </w:r>
    </w:p>
    <w:p w:rsidR="00230F33" w:rsidRDefault="00230F33" w:rsidP="00281017">
      <w:pPr>
        <w:pStyle w:val="Ttulo3"/>
        <w:spacing w:after="120" w:line="240" w:lineRule="auto"/>
        <w:ind w:firstLine="425"/>
        <w:rPr>
          <w:b w:val="0"/>
        </w:rPr>
      </w:pPr>
      <w:bookmarkStart w:id="25" w:name="_Toc282363986"/>
      <w:r>
        <w:rPr>
          <w:b w:val="0"/>
        </w:rPr>
        <w:t xml:space="preserve">Os efeitos espaciais apresentados podem ser divididos em duas categorias: heterogeneidade espacial e dependência espacial, também conhecida como autocorrelação espacial. </w:t>
      </w:r>
      <w:bookmarkStart w:id="26" w:name="_Toc260750313"/>
      <w:bookmarkStart w:id="27" w:name="_Toc268255726"/>
      <w:bookmarkStart w:id="28" w:name="_Toc268497770"/>
      <w:bookmarkStart w:id="29" w:name="_Toc268668237"/>
      <w:bookmarkStart w:id="30" w:name="_Toc272591755"/>
      <w:bookmarkStart w:id="31" w:name="_Toc278637503"/>
      <w:bookmarkStart w:id="32" w:name="_Toc280092992"/>
      <w:bookmarkStart w:id="33" w:name="_Toc282363988"/>
      <w:bookmarkEnd w:id="19"/>
      <w:bookmarkEnd w:id="20"/>
      <w:bookmarkEnd w:id="21"/>
      <w:bookmarkEnd w:id="22"/>
      <w:bookmarkEnd w:id="23"/>
      <w:bookmarkEnd w:id="24"/>
      <w:bookmarkEnd w:id="25"/>
      <w:r>
        <w:rPr>
          <w:b w:val="0"/>
        </w:rPr>
        <w:t>A</w:t>
      </w:r>
      <w:r w:rsidRPr="00886D72">
        <w:rPr>
          <w:b w:val="0"/>
        </w:rPr>
        <w:t xml:space="preserve"> heterogeneidade espacial </w:t>
      </w:r>
      <w:r w:rsidRPr="00886D72">
        <w:rPr>
          <w:b w:val="0"/>
        </w:rPr>
        <w:lastRenderedPageBreak/>
        <w:t>surge quando se usa dados de unidades espaciais distintas para explicar um mesmo fenômeno. Neste caso, aparecem problemas como a heterocedasticidade ou a instabilidade estrutural, os quais podem ser resolv</w:t>
      </w:r>
      <w:r w:rsidRPr="00886D72">
        <w:rPr>
          <w:b w:val="0"/>
        </w:rPr>
        <w:t>i</w:t>
      </w:r>
      <w:r w:rsidRPr="00886D72">
        <w:rPr>
          <w:b w:val="0"/>
        </w:rPr>
        <w:t xml:space="preserve">dos mediante técnicas econométricas </w:t>
      </w:r>
      <w:r>
        <w:rPr>
          <w:b w:val="0"/>
        </w:rPr>
        <w:t>padrões</w:t>
      </w:r>
      <w:r w:rsidR="00D04321">
        <w:rPr>
          <w:b w:val="0"/>
        </w:rPr>
        <w:t xml:space="preserve">, como por exemplo, </w:t>
      </w:r>
      <w:r w:rsidR="000206BC">
        <w:rPr>
          <w:b w:val="0"/>
        </w:rPr>
        <w:t xml:space="preserve">pelo uso </w:t>
      </w:r>
      <w:r w:rsidR="00406DD6">
        <w:rPr>
          <w:b w:val="0"/>
        </w:rPr>
        <w:t>do Método</w:t>
      </w:r>
      <w:r w:rsidR="00D04321">
        <w:rPr>
          <w:b w:val="0"/>
        </w:rPr>
        <w:t xml:space="preserve"> dos Mínimos Quadrados Ponderados</w:t>
      </w:r>
      <w:r w:rsidRPr="00886D72">
        <w:rPr>
          <w:b w:val="0"/>
        </w:rPr>
        <w:t xml:space="preserve">. Por sua vez, a autocorrelação espacial surge </w:t>
      </w:r>
      <w:r>
        <w:rPr>
          <w:b w:val="0"/>
        </w:rPr>
        <w:t xml:space="preserve">ao passo </w:t>
      </w:r>
      <w:r w:rsidRPr="00886D72">
        <w:rPr>
          <w:b w:val="0"/>
        </w:rPr>
        <w:t xml:space="preserve">que o valor de uma variável </w:t>
      </w:r>
      <w:r w:rsidR="000206BC">
        <w:rPr>
          <w:b w:val="0"/>
        </w:rPr>
        <w:t xml:space="preserve">em </w:t>
      </w:r>
      <w:r w:rsidRPr="00886D72">
        <w:rPr>
          <w:b w:val="0"/>
        </w:rPr>
        <w:t xml:space="preserve">um lugar do espaço está relacionado com o valor de tal variável em outros lugares. </w:t>
      </w:r>
      <w:r>
        <w:rPr>
          <w:b w:val="0"/>
        </w:rPr>
        <w:t xml:space="preserve">Conforme isso se </w:t>
      </w:r>
      <w:r w:rsidRPr="00886D72">
        <w:rPr>
          <w:b w:val="0"/>
        </w:rPr>
        <w:t>apresente, faz com que se viole uma das principais hipóteses quando se trabalha com dados de corte transversal e tem a ver com a independência das observações amostrais, o qual conduz a problemas de ineficiência em qualquer estimação feita por Mínimos Quadrados Ordinários</w:t>
      </w:r>
      <w:r>
        <w:rPr>
          <w:b w:val="0"/>
        </w:rPr>
        <w:t xml:space="preserve"> (</w:t>
      </w:r>
      <w:r w:rsidRPr="00886D72">
        <w:rPr>
          <w:b w:val="0"/>
        </w:rPr>
        <w:t>MORENO</w:t>
      </w:r>
      <w:r>
        <w:rPr>
          <w:b w:val="0"/>
        </w:rPr>
        <w:t xml:space="preserve">; </w:t>
      </w:r>
      <w:r w:rsidRPr="00886D72">
        <w:rPr>
          <w:b w:val="0"/>
        </w:rPr>
        <w:t>VAYA</w:t>
      </w:r>
      <w:r>
        <w:rPr>
          <w:b w:val="0"/>
        </w:rPr>
        <w:t xml:space="preserve">, </w:t>
      </w:r>
      <w:r w:rsidRPr="00886D72">
        <w:rPr>
          <w:b w:val="0"/>
        </w:rPr>
        <w:t>2000).</w:t>
      </w:r>
      <w:bookmarkEnd w:id="26"/>
      <w:bookmarkEnd w:id="27"/>
      <w:bookmarkEnd w:id="28"/>
      <w:bookmarkEnd w:id="29"/>
      <w:bookmarkEnd w:id="30"/>
      <w:bookmarkEnd w:id="31"/>
      <w:bookmarkEnd w:id="32"/>
      <w:bookmarkEnd w:id="33"/>
      <w:r w:rsidR="005119C2">
        <w:rPr>
          <w:b w:val="0"/>
        </w:rPr>
        <w:t xml:space="preserve"> </w:t>
      </w:r>
      <w:r w:rsidRPr="005119C2">
        <w:rPr>
          <w:b w:val="0"/>
        </w:rPr>
        <w:t>Para verificar a presença ou não de autocorrelação espacial, deve-se recorrer a um teste estatístico</w:t>
      </w:r>
      <w:r w:rsidR="002F3D6B">
        <w:rPr>
          <w:b w:val="0"/>
        </w:rPr>
        <w:t xml:space="preserve">, o I de Moral </w:t>
      </w:r>
      <w:r w:rsidRPr="005119C2">
        <w:rPr>
          <w:b w:val="0"/>
        </w:rPr>
        <w:t>global</w:t>
      </w:r>
      <w:r w:rsidR="002F3D6B">
        <w:rPr>
          <w:b w:val="0"/>
        </w:rPr>
        <w:t xml:space="preserve">, que </w:t>
      </w:r>
      <w:r w:rsidRPr="005119C2">
        <w:rPr>
          <w:b w:val="0"/>
        </w:rPr>
        <w:t>resume o esquema geral de dependência</w:t>
      </w:r>
      <w:bookmarkStart w:id="34" w:name="_Toc260750315"/>
      <w:bookmarkStart w:id="35" w:name="_Toc268255727"/>
      <w:bookmarkStart w:id="36" w:name="_Toc268497771"/>
      <w:bookmarkStart w:id="37" w:name="_Toc268668238"/>
      <w:bookmarkStart w:id="38" w:name="_Toc272591756"/>
      <w:bookmarkStart w:id="39" w:name="_Toc278637504"/>
      <w:bookmarkStart w:id="40" w:name="_Toc280092994"/>
      <w:bookmarkStart w:id="41" w:name="_Toc282363990"/>
      <w:r w:rsidR="000972AA" w:rsidRPr="005119C2">
        <w:rPr>
          <w:b w:val="0"/>
        </w:rPr>
        <w:t>.</w:t>
      </w:r>
      <w:r w:rsidRPr="005119C2">
        <w:rPr>
          <w:b w:val="0"/>
          <w:lang w:eastAsia="pt-BR"/>
        </w:rPr>
        <w:t xml:space="preserve"> </w:t>
      </w:r>
      <w:bookmarkStart w:id="42" w:name="_Toc282363991"/>
      <w:bookmarkEnd w:id="34"/>
      <w:bookmarkEnd w:id="35"/>
      <w:bookmarkEnd w:id="36"/>
      <w:bookmarkEnd w:id="37"/>
      <w:bookmarkEnd w:id="38"/>
      <w:bookmarkEnd w:id="39"/>
      <w:bookmarkEnd w:id="40"/>
      <w:bookmarkEnd w:id="41"/>
      <w:r w:rsidRPr="005119C2">
        <w:rPr>
          <w:b w:val="0"/>
          <w:lang w:eastAsia="pt-BR"/>
        </w:rPr>
        <w:t xml:space="preserve">Dado que os testes de autocorrelação espacial global analisam todas as observações da amostra de forma conjunta, </w:t>
      </w:r>
      <w:r w:rsidRPr="005119C2">
        <w:rPr>
          <w:b w:val="0"/>
        </w:rPr>
        <w:t>e</w:t>
      </w:r>
      <w:r w:rsidR="00CF66DB" w:rsidRPr="005119C2">
        <w:rPr>
          <w:b w:val="0"/>
        </w:rPr>
        <w:t xml:space="preserve">les </w:t>
      </w:r>
      <w:r w:rsidRPr="005119C2">
        <w:rPr>
          <w:b w:val="0"/>
        </w:rPr>
        <w:t>não captam situações nas quais predomine uma importante instabilidade na distribuição espacial da variável em estudo.</w:t>
      </w:r>
      <w:r w:rsidR="00CF66DB" w:rsidRPr="005119C2">
        <w:rPr>
          <w:b w:val="0"/>
        </w:rPr>
        <w:t xml:space="preserve"> Esses testem não </w:t>
      </w:r>
      <w:r w:rsidRPr="005119C2">
        <w:rPr>
          <w:b w:val="0"/>
        </w:rPr>
        <w:t>contemplam a possibilidade de que o esquema de dependência detectado a nível global possa não se ma</w:t>
      </w:r>
      <w:r w:rsidRPr="005119C2">
        <w:rPr>
          <w:b w:val="0"/>
        </w:rPr>
        <w:t>n</w:t>
      </w:r>
      <w:r w:rsidRPr="005119C2">
        <w:rPr>
          <w:b w:val="0"/>
        </w:rPr>
        <w:t>ter em todas as unidades do espaço analisado. Tal limitação é superável por meio do cálculo da estatística local de Moran,</w:t>
      </w:r>
      <w:r w:rsidR="006A4247" w:rsidRPr="005119C2">
        <w:rPr>
          <w:b w:val="0"/>
        </w:rPr>
        <w:t xml:space="preserve"> LISA</w:t>
      </w:r>
      <w:bookmarkEnd w:id="42"/>
      <w:r w:rsidR="009E2182">
        <w:rPr>
          <w:lang w:eastAsia="pt-BR"/>
        </w:rPr>
        <w:t xml:space="preserve"> </w:t>
      </w:r>
      <w:r w:rsidR="005119C2" w:rsidRPr="005119C2">
        <w:rPr>
          <w:b w:val="0"/>
        </w:rPr>
        <w:t xml:space="preserve">(ANSELIN, </w:t>
      </w:r>
      <w:r w:rsidR="008C5F8D">
        <w:rPr>
          <w:b w:val="0"/>
        </w:rPr>
        <w:t>2003</w:t>
      </w:r>
      <w:r w:rsidR="005119C2" w:rsidRPr="005119C2">
        <w:rPr>
          <w:b w:val="0"/>
        </w:rPr>
        <w:t>)</w:t>
      </w:r>
      <w:r w:rsidR="005119C2">
        <w:rPr>
          <w:b w:val="0"/>
        </w:rPr>
        <w:t>.</w:t>
      </w:r>
    </w:p>
    <w:p w:rsidR="00230F33" w:rsidRDefault="00230F33" w:rsidP="00AF057C">
      <w:pPr>
        <w:pStyle w:val="Ttulo2"/>
        <w:spacing w:after="0" w:line="240" w:lineRule="auto"/>
        <w:ind w:left="567" w:hanging="567"/>
      </w:pPr>
      <w:bookmarkStart w:id="43" w:name="_Ref282179207"/>
      <w:bookmarkStart w:id="44" w:name="_Ref282179601"/>
      <w:bookmarkStart w:id="45" w:name="_Toc282363994"/>
      <w:r>
        <w:t xml:space="preserve">As Áreas Mínimas Comparáveis </w:t>
      </w:r>
      <w:r w:rsidR="00CE48F0">
        <w:t xml:space="preserve">- </w:t>
      </w:r>
      <w:r w:rsidR="00406DD6">
        <w:t>AMC</w:t>
      </w:r>
      <w:bookmarkEnd w:id="43"/>
      <w:bookmarkEnd w:id="44"/>
      <w:bookmarkEnd w:id="45"/>
      <w:r>
        <w:t xml:space="preserve"> </w:t>
      </w:r>
    </w:p>
    <w:p w:rsidR="0005185D" w:rsidRPr="00035E77" w:rsidRDefault="00230F33" w:rsidP="000972AA">
      <w:pPr>
        <w:spacing w:after="120" w:line="240" w:lineRule="auto"/>
        <w:ind w:firstLine="425"/>
        <w:jc w:val="both"/>
        <w:rPr>
          <w:rFonts w:ascii="Times New Roman" w:hAnsi="Times New Roman" w:cs="Times New Roman"/>
          <w:sz w:val="24"/>
          <w:szCs w:val="24"/>
        </w:rPr>
      </w:pPr>
      <w:r w:rsidRPr="001744A2">
        <w:rPr>
          <w:rFonts w:ascii="Times New Roman" w:hAnsi="Times New Roman" w:cs="Times New Roman"/>
          <w:sz w:val="24"/>
          <w:szCs w:val="24"/>
        </w:rPr>
        <w:t>Durante o período ora em análise</w:t>
      </w:r>
      <w:r w:rsidR="00275D68">
        <w:rPr>
          <w:rFonts w:ascii="Times New Roman" w:hAnsi="Times New Roman" w:cs="Times New Roman"/>
          <w:sz w:val="24"/>
          <w:szCs w:val="24"/>
        </w:rPr>
        <w:t xml:space="preserve"> (1980 a 2000)</w:t>
      </w:r>
      <w:r w:rsidRPr="001744A2">
        <w:rPr>
          <w:rFonts w:ascii="Times New Roman" w:hAnsi="Times New Roman" w:cs="Times New Roman"/>
          <w:sz w:val="24"/>
          <w:szCs w:val="24"/>
        </w:rPr>
        <w:t>, ocorreram expressivas modificações geográficas na Região Norte. Alguns municípios foram incorporados a outros, assim como foram criados novos</w:t>
      </w:r>
      <w:r w:rsidR="00834BEF">
        <w:rPr>
          <w:rFonts w:ascii="Times New Roman" w:hAnsi="Times New Roman" w:cs="Times New Roman"/>
          <w:sz w:val="24"/>
          <w:szCs w:val="24"/>
        </w:rPr>
        <w:t xml:space="preserve"> munic</w:t>
      </w:r>
      <w:r w:rsidR="00834BEF">
        <w:rPr>
          <w:rFonts w:ascii="Times New Roman" w:hAnsi="Times New Roman" w:cs="Times New Roman"/>
          <w:sz w:val="24"/>
          <w:szCs w:val="24"/>
        </w:rPr>
        <w:t>í</w:t>
      </w:r>
      <w:r w:rsidR="00834BEF">
        <w:rPr>
          <w:rFonts w:ascii="Times New Roman" w:hAnsi="Times New Roman" w:cs="Times New Roman"/>
          <w:sz w:val="24"/>
          <w:szCs w:val="24"/>
        </w:rPr>
        <w:t>pios</w:t>
      </w:r>
      <w:r w:rsidRPr="001744A2">
        <w:rPr>
          <w:rFonts w:ascii="Times New Roman" w:hAnsi="Times New Roman" w:cs="Times New Roman"/>
          <w:sz w:val="24"/>
          <w:szCs w:val="24"/>
        </w:rPr>
        <w:t>. A maior parte dessas modificações deve-se à elevação de categoria de Território para Estado, como Rondônia em 1982</w:t>
      </w:r>
      <w:r w:rsidR="00DD73BD">
        <w:rPr>
          <w:rFonts w:ascii="Times New Roman" w:hAnsi="Times New Roman" w:cs="Times New Roman"/>
          <w:sz w:val="24"/>
          <w:szCs w:val="24"/>
        </w:rPr>
        <w:t>;</w:t>
      </w:r>
      <w:r w:rsidRPr="001744A2">
        <w:rPr>
          <w:rFonts w:ascii="Times New Roman" w:hAnsi="Times New Roman" w:cs="Times New Roman"/>
          <w:sz w:val="24"/>
          <w:szCs w:val="24"/>
        </w:rPr>
        <w:t xml:space="preserve"> Amapá e Roraima em 1991</w:t>
      </w:r>
      <w:r w:rsidR="00DD73BD">
        <w:rPr>
          <w:rFonts w:ascii="Times New Roman" w:hAnsi="Times New Roman" w:cs="Times New Roman"/>
          <w:sz w:val="24"/>
          <w:szCs w:val="24"/>
        </w:rPr>
        <w:t>;</w:t>
      </w:r>
      <w:r w:rsidRPr="001744A2">
        <w:rPr>
          <w:rFonts w:ascii="Times New Roman" w:hAnsi="Times New Roman" w:cs="Times New Roman"/>
          <w:sz w:val="24"/>
          <w:szCs w:val="24"/>
        </w:rPr>
        <w:t xml:space="preserve"> e a criação do Estado de Tocantins em 1989, que antes fazia parte do Estado de Goiás. Essas alterações acarretaram transferências de municípios entre Estados ou Territórios que colocam problemas para comparações intercensitárias, mesmo em nível estadual (REIS </w:t>
      </w:r>
      <w:r w:rsidR="00056C7E" w:rsidRPr="001F1F99">
        <w:rPr>
          <w:rFonts w:ascii="Times New Roman" w:hAnsi="Times New Roman" w:cs="Times New Roman"/>
          <w:sz w:val="24"/>
          <w:szCs w:val="24"/>
        </w:rPr>
        <w:t>et al</w:t>
      </w:r>
      <w:r w:rsidRPr="00747436">
        <w:rPr>
          <w:rFonts w:ascii="Times New Roman" w:hAnsi="Times New Roman" w:cs="Times New Roman"/>
          <w:i/>
          <w:sz w:val="24"/>
          <w:szCs w:val="24"/>
        </w:rPr>
        <w:t>.</w:t>
      </w:r>
      <w:r w:rsidR="001F1F99">
        <w:rPr>
          <w:rFonts w:ascii="Times New Roman" w:hAnsi="Times New Roman" w:cs="Times New Roman"/>
          <w:i/>
          <w:sz w:val="24"/>
          <w:szCs w:val="24"/>
        </w:rPr>
        <w:t>,</w:t>
      </w:r>
      <w:r w:rsidRPr="001744A2">
        <w:rPr>
          <w:rFonts w:ascii="Times New Roman" w:hAnsi="Times New Roman" w:cs="Times New Roman"/>
          <w:sz w:val="24"/>
          <w:szCs w:val="24"/>
        </w:rPr>
        <w:t xml:space="preserve"> 2008).</w:t>
      </w:r>
      <w:r w:rsidR="005E6608">
        <w:rPr>
          <w:rFonts w:ascii="Times New Roman" w:hAnsi="Times New Roman" w:cs="Times New Roman"/>
          <w:sz w:val="24"/>
          <w:szCs w:val="24"/>
        </w:rPr>
        <w:t xml:space="preserve"> </w:t>
      </w:r>
      <w:r w:rsidRPr="001744A2">
        <w:rPr>
          <w:rFonts w:ascii="Times New Roman" w:hAnsi="Times New Roman" w:cs="Times New Roman"/>
          <w:sz w:val="24"/>
          <w:szCs w:val="24"/>
        </w:rPr>
        <w:t>Sob esse aspecto, analisar o comportamento de uma variável de um município que foi de</w:t>
      </w:r>
      <w:r w:rsidRPr="001744A2">
        <w:rPr>
          <w:rFonts w:ascii="Times New Roman" w:hAnsi="Times New Roman" w:cs="Times New Roman"/>
          <w:sz w:val="24"/>
          <w:szCs w:val="24"/>
        </w:rPr>
        <w:t>s</w:t>
      </w:r>
      <w:r w:rsidRPr="001744A2">
        <w:rPr>
          <w:rFonts w:ascii="Times New Roman" w:hAnsi="Times New Roman" w:cs="Times New Roman"/>
          <w:sz w:val="24"/>
          <w:szCs w:val="24"/>
        </w:rPr>
        <w:t>membrando para gerar outros é uma tarefa complexa. Por isso que a solução usualmente encontrada se dá através de AMC</w:t>
      </w:r>
      <w:r w:rsidR="005E6608">
        <w:rPr>
          <w:rFonts w:ascii="Times New Roman" w:hAnsi="Times New Roman" w:cs="Times New Roman"/>
          <w:sz w:val="24"/>
          <w:szCs w:val="24"/>
        </w:rPr>
        <w:t xml:space="preserve">. Nesse sentido a metodologia utilizada será aquela proposta por </w:t>
      </w:r>
      <w:r w:rsidR="00311D8C">
        <w:rPr>
          <w:rFonts w:ascii="Times New Roman" w:hAnsi="Times New Roman" w:cs="Times New Roman"/>
          <w:sz w:val="24"/>
          <w:szCs w:val="24"/>
        </w:rPr>
        <w:t xml:space="preserve">Da </w:t>
      </w:r>
      <w:r w:rsidR="005E6608">
        <w:rPr>
          <w:rFonts w:ascii="Times New Roman" w:hAnsi="Times New Roman" w:cs="Times New Roman"/>
          <w:sz w:val="24"/>
          <w:szCs w:val="24"/>
        </w:rPr>
        <w:t xml:space="preserve">Silva </w:t>
      </w:r>
      <w:r w:rsidR="00747C62">
        <w:rPr>
          <w:rFonts w:ascii="Times New Roman" w:hAnsi="Times New Roman" w:cs="Times New Roman"/>
          <w:sz w:val="24"/>
          <w:szCs w:val="24"/>
        </w:rPr>
        <w:t xml:space="preserve">e Bacha </w:t>
      </w:r>
      <w:r w:rsidR="005E6608">
        <w:rPr>
          <w:rFonts w:ascii="Times New Roman" w:hAnsi="Times New Roman" w:cs="Times New Roman"/>
          <w:sz w:val="24"/>
          <w:szCs w:val="24"/>
        </w:rPr>
        <w:t>(2011), que consiste em criar as AMC via polígono de Voronoi. Essa metodologia permite que a base de municípios de 1980 seja a mesma de 2000. Portanto, os municípios que foram criados a partir de 1980 são agregados às suas bases geradoras, mas considerando a menor dist</w:t>
      </w:r>
      <w:r w:rsidR="00035E77">
        <w:rPr>
          <w:rFonts w:ascii="Times New Roman" w:hAnsi="Times New Roman" w:cs="Times New Roman"/>
          <w:sz w:val="24"/>
          <w:szCs w:val="24"/>
        </w:rPr>
        <w:t xml:space="preserve">ância </w:t>
      </w:r>
      <w:r w:rsidR="005E6608">
        <w:rPr>
          <w:rFonts w:ascii="Times New Roman" w:hAnsi="Times New Roman" w:cs="Times New Roman"/>
          <w:sz w:val="24"/>
          <w:szCs w:val="24"/>
        </w:rPr>
        <w:t>entre eles e não as áreas territor</w:t>
      </w:r>
      <w:r w:rsidR="005E6608">
        <w:rPr>
          <w:rFonts w:ascii="Times New Roman" w:hAnsi="Times New Roman" w:cs="Times New Roman"/>
          <w:sz w:val="24"/>
          <w:szCs w:val="24"/>
        </w:rPr>
        <w:t>i</w:t>
      </w:r>
      <w:r w:rsidR="005E6608">
        <w:rPr>
          <w:rFonts w:ascii="Times New Roman" w:hAnsi="Times New Roman" w:cs="Times New Roman"/>
          <w:sz w:val="24"/>
          <w:szCs w:val="24"/>
        </w:rPr>
        <w:t xml:space="preserve">ais. </w:t>
      </w:r>
      <w:r w:rsidR="00B01C7D">
        <w:rPr>
          <w:rFonts w:ascii="Times New Roman" w:hAnsi="Times New Roman" w:cs="Times New Roman"/>
          <w:sz w:val="24"/>
          <w:szCs w:val="24"/>
        </w:rPr>
        <w:t>U</w:t>
      </w:r>
      <w:r w:rsidR="005E6608">
        <w:rPr>
          <w:rFonts w:ascii="Times New Roman" w:hAnsi="Times New Roman" w:cs="Times New Roman"/>
          <w:sz w:val="24"/>
          <w:szCs w:val="24"/>
        </w:rPr>
        <w:t xml:space="preserve">ma vez criadas as AMC, pondera-se as variáveis </w:t>
      </w:r>
      <w:r w:rsidR="00B01C7D">
        <w:rPr>
          <w:rFonts w:ascii="Times New Roman" w:hAnsi="Times New Roman" w:cs="Times New Roman"/>
          <w:sz w:val="24"/>
          <w:szCs w:val="24"/>
        </w:rPr>
        <w:t xml:space="preserve">censitárias que são alocadas nas suas respectivas </w:t>
      </w:r>
      <w:r w:rsidR="005E6608">
        <w:rPr>
          <w:rFonts w:ascii="Times New Roman" w:hAnsi="Times New Roman" w:cs="Times New Roman"/>
          <w:sz w:val="24"/>
          <w:szCs w:val="24"/>
        </w:rPr>
        <w:t>AMC.</w:t>
      </w:r>
      <w:r w:rsidR="00B01C7D">
        <w:rPr>
          <w:rFonts w:ascii="Times New Roman" w:hAnsi="Times New Roman" w:cs="Times New Roman"/>
          <w:sz w:val="24"/>
          <w:szCs w:val="24"/>
        </w:rPr>
        <w:t xml:space="preserve"> </w:t>
      </w:r>
      <w:r w:rsidRPr="00783BC4">
        <w:rPr>
          <w:rFonts w:ascii="Times New Roman" w:hAnsi="Times New Roman" w:cs="Times New Roman"/>
          <w:sz w:val="24"/>
          <w:szCs w:val="24"/>
        </w:rPr>
        <w:t>Esse método capta tanto a perda de população resulta</w:t>
      </w:r>
      <w:r>
        <w:rPr>
          <w:rFonts w:ascii="Times New Roman" w:hAnsi="Times New Roman" w:cs="Times New Roman"/>
          <w:sz w:val="24"/>
          <w:szCs w:val="24"/>
        </w:rPr>
        <w:t xml:space="preserve">nte </w:t>
      </w:r>
      <w:r w:rsidRPr="00783BC4">
        <w:rPr>
          <w:rFonts w:ascii="Times New Roman" w:hAnsi="Times New Roman" w:cs="Times New Roman"/>
          <w:sz w:val="24"/>
          <w:szCs w:val="24"/>
        </w:rPr>
        <w:t xml:space="preserve">do desmembramento, como </w:t>
      </w:r>
      <w:r>
        <w:rPr>
          <w:rFonts w:ascii="Times New Roman" w:hAnsi="Times New Roman" w:cs="Times New Roman"/>
          <w:sz w:val="24"/>
          <w:szCs w:val="24"/>
        </w:rPr>
        <w:t xml:space="preserve">também </w:t>
      </w:r>
      <w:r w:rsidRPr="00783BC4">
        <w:rPr>
          <w:rFonts w:ascii="Times New Roman" w:hAnsi="Times New Roman" w:cs="Times New Roman"/>
          <w:sz w:val="24"/>
          <w:szCs w:val="24"/>
        </w:rPr>
        <w:t>o movimento migratório intermunicipal de zonas rurais e urbanas. O</w:t>
      </w:r>
      <w:r>
        <w:rPr>
          <w:rFonts w:ascii="Times New Roman" w:hAnsi="Times New Roman" w:cs="Times New Roman"/>
          <w:sz w:val="24"/>
          <w:szCs w:val="24"/>
        </w:rPr>
        <w:t xml:space="preserve"> método é aplicado para todas as vari</w:t>
      </w:r>
      <w:r>
        <w:rPr>
          <w:rFonts w:ascii="Times New Roman" w:hAnsi="Times New Roman" w:cs="Times New Roman"/>
          <w:sz w:val="24"/>
          <w:szCs w:val="24"/>
        </w:rPr>
        <w:t>á</w:t>
      </w:r>
      <w:r>
        <w:rPr>
          <w:rFonts w:ascii="Times New Roman" w:hAnsi="Times New Roman" w:cs="Times New Roman"/>
          <w:sz w:val="24"/>
          <w:szCs w:val="24"/>
        </w:rPr>
        <w:t xml:space="preserve">veis explicativas, exceto para as variáveis de </w:t>
      </w:r>
      <w:r w:rsidRPr="00590153">
        <w:rPr>
          <w:rFonts w:ascii="Times New Roman" w:hAnsi="Times New Roman" w:cs="Times New Roman"/>
          <w:sz w:val="24"/>
          <w:szCs w:val="24"/>
        </w:rPr>
        <w:t>primeira natureza,</w:t>
      </w:r>
      <w:r>
        <w:rPr>
          <w:rFonts w:ascii="Times New Roman" w:hAnsi="Times New Roman" w:cs="Times New Roman"/>
          <w:sz w:val="24"/>
          <w:szCs w:val="24"/>
        </w:rPr>
        <w:t xml:space="preserve"> </w:t>
      </w:r>
      <w:r w:rsidR="00035E77">
        <w:rPr>
          <w:rFonts w:ascii="Times New Roman" w:hAnsi="Times New Roman" w:cs="Times New Roman"/>
          <w:sz w:val="24"/>
          <w:szCs w:val="24"/>
        </w:rPr>
        <w:t xml:space="preserve">já que elas </w:t>
      </w:r>
      <w:r w:rsidR="00764CD9">
        <w:rPr>
          <w:rFonts w:ascii="Times New Roman" w:hAnsi="Times New Roman" w:cs="Times New Roman"/>
          <w:sz w:val="24"/>
          <w:szCs w:val="24"/>
        </w:rPr>
        <w:t xml:space="preserve">são </w:t>
      </w:r>
      <w:r w:rsidR="00764CD9" w:rsidRPr="00764CD9">
        <w:rPr>
          <w:rFonts w:ascii="Times New Roman" w:hAnsi="Times New Roman" w:cs="Times New Roman"/>
          <w:i/>
          <w:sz w:val="24"/>
          <w:szCs w:val="24"/>
        </w:rPr>
        <w:t>dummies</w:t>
      </w:r>
      <w:r w:rsidR="00035E77">
        <w:rPr>
          <w:rFonts w:ascii="Times New Roman" w:hAnsi="Times New Roman" w:cs="Times New Roman"/>
          <w:i/>
          <w:sz w:val="24"/>
          <w:szCs w:val="24"/>
        </w:rPr>
        <w:t>.</w:t>
      </w:r>
    </w:p>
    <w:p w:rsidR="00E8719B" w:rsidRDefault="00E8719B" w:rsidP="00893AD4">
      <w:pPr>
        <w:pStyle w:val="Ttulo2"/>
        <w:spacing w:after="0"/>
        <w:ind w:left="425" w:hanging="425"/>
      </w:pPr>
      <w:bookmarkStart w:id="46" w:name="_Ref279851568"/>
      <w:bookmarkStart w:id="47" w:name="_Ref279851574"/>
      <w:bookmarkStart w:id="48" w:name="_Ref279851583"/>
      <w:bookmarkStart w:id="49" w:name="_Toc282363998"/>
      <w:r>
        <w:t>Variáveis e fonte de dados</w:t>
      </w:r>
      <w:bookmarkEnd w:id="46"/>
      <w:bookmarkEnd w:id="47"/>
      <w:bookmarkEnd w:id="48"/>
      <w:bookmarkEnd w:id="49"/>
    </w:p>
    <w:p w:rsidR="00227B49" w:rsidRDefault="00411267" w:rsidP="0044685B">
      <w:pPr>
        <w:spacing w:after="0" w:line="240" w:lineRule="auto"/>
        <w:ind w:firstLine="397"/>
        <w:jc w:val="both"/>
        <w:rPr>
          <w:rFonts w:ascii="Times New Roman" w:hAnsi="Times New Roman" w:cs="Times New Roman"/>
          <w:sz w:val="24"/>
          <w:szCs w:val="24"/>
        </w:rPr>
      </w:pPr>
      <w:r>
        <w:rPr>
          <w:rFonts w:ascii="Times New Roman" w:hAnsi="Times New Roman"/>
          <w:sz w:val="24"/>
          <w:szCs w:val="24"/>
        </w:rPr>
        <w:t xml:space="preserve">A base de dados foi construída a partir da consolidação dos censos demográficos de 1980 e 2000 e agropecuários de 1980 e 1996, disponibilizada pelo IPEA. O Índice de acessibilidade, as AMC bem como a ponderação das variáveis nas AMC foram </w:t>
      </w:r>
      <w:proofErr w:type="gramStart"/>
      <w:r>
        <w:rPr>
          <w:rFonts w:ascii="Times New Roman" w:hAnsi="Times New Roman"/>
          <w:sz w:val="24"/>
          <w:szCs w:val="24"/>
        </w:rPr>
        <w:t>obtidos</w:t>
      </w:r>
      <w:proofErr w:type="gramEnd"/>
      <w:r>
        <w:rPr>
          <w:rFonts w:ascii="Times New Roman" w:hAnsi="Times New Roman"/>
          <w:sz w:val="24"/>
          <w:szCs w:val="24"/>
        </w:rPr>
        <w:t xml:space="preserve"> a partir de Silva (2011). Informações complementares foram extraídas do Banco de Dados da Amazônia (BADAM), do Departamento Nacional de Infraestrut</w:t>
      </w:r>
      <w:r>
        <w:rPr>
          <w:rFonts w:ascii="Times New Roman" w:hAnsi="Times New Roman"/>
          <w:sz w:val="24"/>
          <w:szCs w:val="24"/>
        </w:rPr>
        <w:t>u</w:t>
      </w:r>
      <w:r>
        <w:rPr>
          <w:rFonts w:ascii="Times New Roman" w:hAnsi="Times New Roman"/>
          <w:sz w:val="24"/>
          <w:szCs w:val="24"/>
        </w:rPr>
        <w:t>ra de Transporte (DNIT) e do Instituto Nacional de Pesquisas Espaciais - INPE.</w:t>
      </w:r>
      <w:r w:rsidR="00C255EC">
        <w:rPr>
          <w:rFonts w:ascii="Times New Roman" w:hAnsi="Times New Roman" w:cs="Times New Roman"/>
          <w:sz w:val="24"/>
          <w:szCs w:val="24"/>
        </w:rPr>
        <w:t xml:space="preserve"> </w:t>
      </w:r>
    </w:p>
    <w:p w:rsidR="008E0CA2" w:rsidRDefault="00F140C5" w:rsidP="0044685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As variáveis classificadas como de primeira natureza apresentam oscilação mínima no tempo. Para evitar </w:t>
      </w:r>
      <w:r w:rsidR="00C54886">
        <w:rPr>
          <w:rFonts w:ascii="Times New Roman" w:hAnsi="Times New Roman" w:cs="Times New Roman"/>
          <w:sz w:val="24"/>
          <w:szCs w:val="24"/>
        </w:rPr>
        <w:t xml:space="preserve">variação zero </w:t>
      </w:r>
      <w:r>
        <w:rPr>
          <w:rFonts w:ascii="Times New Roman" w:hAnsi="Times New Roman" w:cs="Times New Roman"/>
          <w:sz w:val="24"/>
          <w:szCs w:val="24"/>
        </w:rPr>
        <w:t xml:space="preserve">no modelo empírico deste trabalho, adotou-se </w:t>
      </w:r>
      <w:r w:rsidRPr="00EE7A6E">
        <w:rPr>
          <w:rFonts w:ascii="Times New Roman" w:hAnsi="Times New Roman" w:cs="Times New Roman"/>
          <w:i/>
          <w:sz w:val="24"/>
          <w:szCs w:val="24"/>
        </w:rPr>
        <w:t>dummy</w:t>
      </w:r>
      <w:r>
        <w:rPr>
          <w:rFonts w:ascii="Times New Roman" w:hAnsi="Times New Roman" w:cs="Times New Roman"/>
          <w:sz w:val="24"/>
          <w:szCs w:val="24"/>
        </w:rPr>
        <w:t xml:space="preserve"> para captar seus efeitos sobre as aglomerações. </w:t>
      </w:r>
      <w:r w:rsidR="00352732">
        <w:rPr>
          <w:rFonts w:ascii="Times New Roman" w:hAnsi="Times New Roman" w:cs="Times New Roman"/>
          <w:sz w:val="24"/>
          <w:szCs w:val="24"/>
        </w:rPr>
        <w:t xml:space="preserve">As variáveis geográficas altitude e longitude foram combinadas numa única variável </w:t>
      </w:r>
      <w:r w:rsidR="00352732" w:rsidRPr="00E35645">
        <w:rPr>
          <w:rFonts w:ascii="Times New Roman" w:hAnsi="Times New Roman" w:cs="Times New Roman"/>
          <w:i/>
          <w:sz w:val="24"/>
          <w:szCs w:val="24"/>
        </w:rPr>
        <w:t>dummy</w:t>
      </w:r>
      <w:r w:rsidR="00352732">
        <w:rPr>
          <w:rFonts w:ascii="Times New Roman" w:hAnsi="Times New Roman" w:cs="Times New Roman"/>
          <w:sz w:val="24"/>
          <w:szCs w:val="24"/>
        </w:rPr>
        <w:t xml:space="preserve"> para captar efeitos de tempo de viagem.</w:t>
      </w:r>
      <w:r w:rsidR="00E35645">
        <w:rPr>
          <w:rFonts w:ascii="Times New Roman" w:hAnsi="Times New Roman" w:cs="Times New Roman"/>
          <w:sz w:val="24"/>
          <w:szCs w:val="24"/>
        </w:rPr>
        <w:t xml:space="preserve"> </w:t>
      </w:r>
      <w:r w:rsidR="00406DD6">
        <w:rPr>
          <w:rFonts w:ascii="Times New Roman" w:hAnsi="Times New Roman" w:cs="Times New Roman"/>
          <w:sz w:val="24"/>
          <w:szCs w:val="24"/>
        </w:rPr>
        <w:t>Como ambas t</w:t>
      </w:r>
      <w:r w:rsidR="007B32AA">
        <w:rPr>
          <w:rFonts w:ascii="Times New Roman" w:hAnsi="Times New Roman" w:cs="Times New Roman"/>
          <w:sz w:val="24"/>
          <w:szCs w:val="24"/>
        </w:rPr>
        <w:t>ê</w:t>
      </w:r>
      <w:r w:rsidR="00406DD6">
        <w:rPr>
          <w:rFonts w:ascii="Times New Roman" w:hAnsi="Times New Roman" w:cs="Times New Roman"/>
          <w:sz w:val="24"/>
          <w:szCs w:val="24"/>
        </w:rPr>
        <w:t xml:space="preserve">m suas medidas iniciais a partir do oceano atlântico, para obter essa </w:t>
      </w:r>
      <w:r w:rsidR="00406DD6" w:rsidRPr="00F140C5">
        <w:rPr>
          <w:rFonts w:ascii="Times New Roman" w:hAnsi="Times New Roman" w:cs="Times New Roman"/>
          <w:i/>
          <w:sz w:val="24"/>
          <w:szCs w:val="24"/>
        </w:rPr>
        <w:t>dummy</w:t>
      </w:r>
      <w:r w:rsidR="00406DD6">
        <w:rPr>
          <w:rFonts w:ascii="Times New Roman" w:hAnsi="Times New Roman" w:cs="Times New Roman"/>
          <w:sz w:val="24"/>
          <w:szCs w:val="24"/>
        </w:rPr>
        <w:t xml:space="preserve"> altitude-longitude, di</w:t>
      </w:r>
      <w:r w:rsidR="00406DD6" w:rsidRPr="008E0CA2">
        <w:rPr>
          <w:rFonts w:ascii="Times New Roman" w:hAnsi="Times New Roman" w:cs="Times New Roman"/>
          <w:sz w:val="24"/>
          <w:szCs w:val="24"/>
        </w:rPr>
        <w:t xml:space="preserve">vidiu-se por </w:t>
      </w:r>
      <w:proofErr w:type="gramStart"/>
      <w:r w:rsidR="00406DD6" w:rsidRPr="008E0CA2">
        <w:rPr>
          <w:rFonts w:ascii="Times New Roman" w:hAnsi="Times New Roman" w:cs="Times New Roman"/>
          <w:sz w:val="24"/>
          <w:szCs w:val="24"/>
        </w:rPr>
        <w:t>2</w:t>
      </w:r>
      <w:proofErr w:type="gramEnd"/>
      <w:r w:rsidR="00406DD6" w:rsidRPr="008E0CA2">
        <w:rPr>
          <w:rFonts w:ascii="Times New Roman" w:hAnsi="Times New Roman" w:cs="Times New Roman"/>
          <w:sz w:val="24"/>
          <w:szCs w:val="24"/>
        </w:rPr>
        <w:t xml:space="preserve"> a maior distância euclidiana observ</w:t>
      </w:r>
      <w:r w:rsidR="00406DD6" w:rsidRPr="008E0CA2">
        <w:rPr>
          <w:rFonts w:ascii="Times New Roman" w:hAnsi="Times New Roman" w:cs="Times New Roman"/>
          <w:sz w:val="24"/>
          <w:szCs w:val="24"/>
        </w:rPr>
        <w:t>a</w:t>
      </w:r>
      <w:r w:rsidR="00406DD6" w:rsidRPr="008E0CA2">
        <w:rPr>
          <w:rFonts w:ascii="Times New Roman" w:hAnsi="Times New Roman" w:cs="Times New Roman"/>
          <w:sz w:val="24"/>
          <w:szCs w:val="24"/>
        </w:rPr>
        <w:t xml:space="preserve">da </w:t>
      </w:r>
      <w:r w:rsidR="00035E77">
        <w:rPr>
          <w:rFonts w:ascii="Times New Roman" w:hAnsi="Times New Roman" w:cs="Times New Roman"/>
          <w:sz w:val="24"/>
          <w:szCs w:val="24"/>
        </w:rPr>
        <w:t xml:space="preserve">de </w:t>
      </w:r>
      <w:r w:rsidR="00406DD6" w:rsidRPr="008E0CA2">
        <w:rPr>
          <w:rFonts w:ascii="Times New Roman" w:hAnsi="Times New Roman" w:cs="Times New Roman"/>
          <w:sz w:val="24"/>
          <w:szCs w:val="24"/>
        </w:rPr>
        <w:t xml:space="preserve">oeste </w:t>
      </w:r>
      <w:r w:rsidR="00406DD6">
        <w:rPr>
          <w:rFonts w:ascii="Times New Roman" w:hAnsi="Times New Roman" w:cs="Times New Roman"/>
          <w:sz w:val="24"/>
          <w:szCs w:val="24"/>
        </w:rPr>
        <w:t xml:space="preserve">a </w:t>
      </w:r>
      <w:r w:rsidR="00406DD6" w:rsidRPr="008E0CA2">
        <w:rPr>
          <w:rFonts w:ascii="Times New Roman" w:hAnsi="Times New Roman" w:cs="Times New Roman"/>
          <w:sz w:val="24"/>
          <w:szCs w:val="24"/>
        </w:rPr>
        <w:t>leste</w:t>
      </w:r>
      <w:r w:rsidR="00406DD6">
        <w:rPr>
          <w:rFonts w:ascii="Times New Roman" w:hAnsi="Times New Roman" w:cs="Times New Roman"/>
          <w:sz w:val="24"/>
          <w:szCs w:val="24"/>
        </w:rPr>
        <w:t xml:space="preserve"> da Região Norte.</w:t>
      </w:r>
      <w:r w:rsidR="008E0CA2" w:rsidRPr="008E0CA2">
        <w:rPr>
          <w:rFonts w:ascii="Times New Roman" w:hAnsi="Times New Roman" w:cs="Times New Roman"/>
          <w:sz w:val="24"/>
          <w:szCs w:val="24"/>
        </w:rPr>
        <w:t xml:space="preserve"> </w:t>
      </w:r>
      <w:r w:rsidR="008C6AFC">
        <w:rPr>
          <w:rFonts w:ascii="Times New Roman" w:hAnsi="Times New Roman" w:cs="Times New Roman"/>
          <w:sz w:val="24"/>
          <w:szCs w:val="24"/>
        </w:rPr>
        <w:t>Todos os municípios localizados à esquerda da linha divisória têm</w:t>
      </w:r>
      <w:r>
        <w:rPr>
          <w:rFonts w:ascii="Times New Roman" w:hAnsi="Times New Roman" w:cs="Times New Roman"/>
          <w:sz w:val="24"/>
          <w:szCs w:val="24"/>
        </w:rPr>
        <w:t xml:space="preserve"> valor igual a 1 e à direita, igual a zero. </w:t>
      </w:r>
      <w:r w:rsidR="008E0CA2" w:rsidRPr="008E0CA2">
        <w:rPr>
          <w:rFonts w:ascii="Times New Roman" w:hAnsi="Times New Roman" w:cs="Times New Roman"/>
          <w:sz w:val="24"/>
          <w:szCs w:val="24"/>
        </w:rPr>
        <w:t>A altitude</w:t>
      </w:r>
      <w:r w:rsidR="00E35645">
        <w:rPr>
          <w:rFonts w:ascii="Times New Roman" w:hAnsi="Times New Roman" w:cs="Times New Roman"/>
          <w:sz w:val="24"/>
          <w:szCs w:val="24"/>
        </w:rPr>
        <w:t>-longitude</w:t>
      </w:r>
      <w:r w:rsidR="008E0CA2" w:rsidRPr="008E0CA2">
        <w:rPr>
          <w:rFonts w:ascii="Times New Roman" w:hAnsi="Times New Roman" w:cs="Times New Roman"/>
          <w:sz w:val="24"/>
          <w:szCs w:val="24"/>
        </w:rPr>
        <w:t>, além de influenciar na distância, deverá ca</w:t>
      </w:r>
      <w:r w:rsidR="008E0CA2" w:rsidRPr="008E0CA2">
        <w:rPr>
          <w:rFonts w:ascii="Times New Roman" w:hAnsi="Times New Roman" w:cs="Times New Roman"/>
          <w:sz w:val="24"/>
          <w:szCs w:val="24"/>
        </w:rPr>
        <w:t>p</w:t>
      </w:r>
      <w:r w:rsidR="008E0CA2" w:rsidRPr="008E0CA2">
        <w:rPr>
          <w:rFonts w:ascii="Times New Roman" w:hAnsi="Times New Roman" w:cs="Times New Roman"/>
          <w:sz w:val="24"/>
          <w:szCs w:val="24"/>
        </w:rPr>
        <w:t>tar também o efeito do contrafluxo do</w:t>
      </w:r>
      <w:r w:rsidR="00AF71AD">
        <w:rPr>
          <w:rFonts w:ascii="Times New Roman" w:hAnsi="Times New Roman" w:cs="Times New Roman"/>
          <w:sz w:val="24"/>
          <w:szCs w:val="24"/>
        </w:rPr>
        <w:t>s</w:t>
      </w:r>
      <w:r w:rsidR="008E0CA2" w:rsidRPr="008E0CA2">
        <w:rPr>
          <w:rFonts w:ascii="Times New Roman" w:hAnsi="Times New Roman" w:cs="Times New Roman"/>
          <w:sz w:val="24"/>
          <w:szCs w:val="24"/>
        </w:rPr>
        <w:t xml:space="preserve"> rios, pois na bacia amazônica, à medida que se aproxima da cord</w:t>
      </w:r>
      <w:r w:rsidR="008E0CA2" w:rsidRPr="008E0CA2">
        <w:rPr>
          <w:rFonts w:ascii="Times New Roman" w:hAnsi="Times New Roman" w:cs="Times New Roman"/>
          <w:sz w:val="24"/>
          <w:szCs w:val="24"/>
        </w:rPr>
        <w:t>i</w:t>
      </w:r>
      <w:r w:rsidR="008E0CA2" w:rsidRPr="008E0CA2">
        <w:rPr>
          <w:rFonts w:ascii="Times New Roman" w:hAnsi="Times New Roman" w:cs="Times New Roman"/>
          <w:sz w:val="24"/>
          <w:szCs w:val="24"/>
        </w:rPr>
        <w:t>lheira dos Andes, o fluxo dos rios é relativamente mais intenso.</w:t>
      </w:r>
      <w:r w:rsidR="00227B49">
        <w:rPr>
          <w:rFonts w:ascii="Times New Roman" w:hAnsi="Times New Roman" w:cs="Times New Roman"/>
          <w:sz w:val="24"/>
          <w:szCs w:val="24"/>
        </w:rPr>
        <w:t xml:space="preserve"> </w:t>
      </w:r>
      <w:r w:rsidR="00B603AD">
        <w:rPr>
          <w:rFonts w:ascii="Times New Roman" w:hAnsi="Times New Roman" w:cs="Times New Roman"/>
          <w:sz w:val="24"/>
          <w:szCs w:val="24"/>
        </w:rPr>
        <w:t xml:space="preserve">O mesmo procedimento foi adotado para a </w:t>
      </w:r>
      <w:r w:rsidR="00B603AD" w:rsidRPr="00B603AD">
        <w:rPr>
          <w:rFonts w:ascii="Times New Roman" w:hAnsi="Times New Roman" w:cs="Times New Roman"/>
          <w:i/>
          <w:sz w:val="24"/>
          <w:szCs w:val="24"/>
        </w:rPr>
        <w:t>dummy</w:t>
      </w:r>
      <w:r w:rsidR="00B603AD">
        <w:rPr>
          <w:rFonts w:ascii="Times New Roman" w:hAnsi="Times New Roman" w:cs="Times New Roman"/>
          <w:sz w:val="24"/>
          <w:szCs w:val="24"/>
        </w:rPr>
        <w:t xml:space="preserve"> de latitude, </w:t>
      </w:r>
      <w:r w:rsidR="0043024E">
        <w:rPr>
          <w:rFonts w:ascii="Times New Roman" w:hAnsi="Times New Roman" w:cs="Times New Roman"/>
          <w:sz w:val="24"/>
          <w:szCs w:val="24"/>
        </w:rPr>
        <w:t xml:space="preserve">tendo em vista que </w:t>
      </w:r>
      <w:r w:rsidR="00B603AD">
        <w:rPr>
          <w:rFonts w:ascii="Times New Roman" w:hAnsi="Times New Roman" w:cs="Times New Roman"/>
          <w:sz w:val="24"/>
          <w:szCs w:val="24"/>
        </w:rPr>
        <w:t>a maioria dos municípios est</w:t>
      </w:r>
      <w:r w:rsidR="0043024E">
        <w:rPr>
          <w:rFonts w:ascii="Times New Roman" w:hAnsi="Times New Roman" w:cs="Times New Roman"/>
          <w:sz w:val="24"/>
          <w:szCs w:val="24"/>
        </w:rPr>
        <w:t xml:space="preserve">á </w:t>
      </w:r>
      <w:r w:rsidR="00B603AD">
        <w:rPr>
          <w:rFonts w:ascii="Times New Roman" w:hAnsi="Times New Roman" w:cs="Times New Roman"/>
          <w:sz w:val="24"/>
          <w:szCs w:val="24"/>
        </w:rPr>
        <w:t>localizad</w:t>
      </w:r>
      <w:r w:rsidR="0043024E">
        <w:rPr>
          <w:rFonts w:ascii="Times New Roman" w:hAnsi="Times New Roman" w:cs="Times New Roman"/>
          <w:sz w:val="24"/>
          <w:szCs w:val="24"/>
        </w:rPr>
        <w:t>a</w:t>
      </w:r>
      <w:r w:rsidR="00B603AD">
        <w:rPr>
          <w:rFonts w:ascii="Times New Roman" w:hAnsi="Times New Roman" w:cs="Times New Roman"/>
          <w:sz w:val="24"/>
          <w:szCs w:val="24"/>
        </w:rPr>
        <w:t xml:space="preserve"> abaixo da linha do </w:t>
      </w:r>
      <w:r w:rsidR="00B603AD">
        <w:rPr>
          <w:rFonts w:ascii="Times New Roman" w:hAnsi="Times New Roman" w:cs="Times New Roman"/>
          <w:sz w:val="24"/>
          <w:szCs w:val="24"/>
        </w:rPr>
        <w:t>E</w:t>
      </w:r>
      <w:r w:rsidR="00B603AD">
        <w:rPr>
          <w:rFonts w:ascii="Times New Roman" w:hAnsi="Times New Roman" w:cs="Times New Roman"/>
          <w:sz w:val="24"/>
          <w:szCs w:val="24"/>
        </w:rPr>
        <w:t xml:space="preserve">quador. Essa variável tem a função de captar os efeitos da temperatura. Então, dividiu-se a distância do extremo norte da região ao extremo sul por </w:t>
      </w:r>
      <w:r w:rsidR="009E4418">
        <w:rPr>
          <w:rFonts w:ascii="Times New Roman" w:hAnsi="Times New Roman" w:cs="Times New Roman"/>
          <w:sz w:val="24"/>
          <w:szCs w:val="24"/>
        </w:rPr>
        <w:t>2</w:t>
      </w:r>
      <w:r w:rsidR="00350DB5">
        <w:rPr>
          <w:rFonts w:ascii="Times New Roman" w:hAnsi="Times New Roman" w:cs="Times New Roman"/>
          <w:sz w:val="24"/>
          <w:szCs w:val="24"/>
        </w:rPr>
        <w:t xml:space="preserve">. </w:t>
      </w:r>
      <w:r w:rsidR="009E4418">
        <w:rPr>
          <w:rFonts w:ascii="Times New Roman" w:hAnsi="Times New Roman" w:cs="Times New Roman"/>
          <w:sz w:val="24"/>
          <w:szCs w:val="24"/>
        </w:rPr>
        <w:t>Deste modo</w:t>
      </w:r>
      <w:r w:rsidR="00350DB5">
        <w:rPr>
          <w:rFonts w:ascii="Times New Roman" w:hAnsi="Times New Roman" w:cs="Times New Roman"/>
          <w:sz w:val="24"/>
          <w:szCs w:val="24"/>
        </w:rPr>
        <w:t>, os municípios ao norte dessa linha divisória receberam o valor de 1</w:t>
      </w:r>
      <w:r w:rsidR="0043024E">
        <w:rPr>
          <w:rFonts w:ascii="Times New Roman" w:hAnsi="Times New Roman" w:cs="Times New Roman"/>
          <w:sz w:val="24"/>
          <w:szCs w:val="24"/>
        </w:rPr>
        <w:t xml:space="preserve"> e </w:t>
      </w:r>
      <w:r w:rsidR="00350DB5">
        <w:rPr>
          <w:rFonts w:ascii="Times New Roman" w:hAnsi="Times New Roman" w:cs="Times New Roman"/>
          <w:sz w:val="24"/>
          <w:szCs w:val="24"/>
        </w:rPr>
        <w:t>aqueles ao sul, o valor de zero.</w:t>
      </w:r>
      <w:r w:rsidR="00016134">
        <w:rPr>
          <w:rFonts w:ascii="Times New Roman" w:hAnsi="Times New Roman" w:cs="Times New Roman"/>
          <w:sz w:val="24"/>
          <w:szCs w:val="24"/>
        </w:rPr>
        <w:t xml:space="preserve"> Outra variável de primeira natureza envolvendo </w:t>
      </w:r>
      <w:r w:rsidR="00016134">
        <w:rPr>
          <w:rFonts w:ascii="Times New Roman" w:hAnsi="Times New Roman" w:cs="Times New Roman"/>
          <w:sz w:val="24"/>
          <w:szCs w:val="24"/>
        </w:rPr>
        <w:lastRenderedPageBreak/>
        <w:t xml:space="preserve">distância é a </w:t>
      </w:r>
      <w:r w:rsidR="00016134" w:rsidRPr="00016134">
        <w:rPr>
          <w:rFonts w:ascii="Times New Roman" w:hAnsi="Times New Roman" w:cs="Times New Roman"/>
          <w:i/>
          <w:sz w:val="24"/>
          <w:szCs w:val="24"/>
        </w:rPr>
        <w:t>dummy</w:t>
      </w:r>
      <w:r w:rsidR="00016134">
        <w:rPr>
          <w:rFonts w:ascii="Times New Roman" w:hAnsi="Times New Roman" w:cs="Times New Roman"/>
          <w:sz w:val="24"/>
          <w:szCs w:val="24"/>
        </w:rPr>
        <w:t xml:space="preserve"> para captar os efeitos de proximidade às capitais. </w:t>
      </w:r>
      <w:r w:rsidR="009E4418">
        <w:rPr>
          <w:rFonts w:ascii="Times New Roman" w:hAnsi="Times New Roman" w:cs="Times New Roman"/>
          <w:sz w:val="24"/>
          <w:szCs w:val="24"/>
        </w:rPr>
        <w:t>A</w:t>
      </w:r>
      <w:r w:rsidR="00016134">
        <w:rPr>
          <w:rFonts w:ascii="Times New Roman" w:hAnsi="Times New Roman" w:cs="Times New Roman"/>
          <w:sz w:val="24"/>
          <w:szCs w:val="24"/>
        </w:rPr>
        <w:t>queles municípios próximos à respectiva capital do Estado num raio de 100 km</w:t>
      </w:r>
      <w:r w:rsidR="008C6AFC">
        <w:rPr>
          <w:rFonts w:ascii="Times New Roman" w:hAnsi="Times New Roman" w:cs="Times New Roman"/>
          <w:sz w:val="24"/>
          <w:szCs w:val="24"/>
        </w:rPr>
        <w:t xml:space="preserve"> tem</w:t>
      </w:r>
      <w:r w:rsidR="00016134">
        <w:rPr>
          <w:rFonts w:ascii="Times New Roman" w:hAnsi="Times New Roman" w:cs="Times New Roman"/>
          <w:sz w:val="24"/>
          <w:szCs w:val="24"/>
        </w:rPr>
        <w:t xml:space="preserve"> valor 1 e as demais, valor 0.</w:t>
      </w:r>
    </w:p>
    <w:p w:rsidR="007B578E" w:rsidRDefault="00350DB5" w:rsidP="00C255EC">
      <w:pPr>
        <w:spacing w:after="12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Para captar os efeitos da pluviosidade em atrair pessoas, </w:t>
      </w:r>
      <w:r w:rsidR="00E35645">
        <w:rPr>
          <w:rFonts w:ascii="Times New Roman" w:hAnsi="Times New Roman" w:cs="Times New Roman"/>
          <w:sz w:val="24"/>
          <w:szCs w:val="24"/>
        </w:rPr>
        <w:t xml:space="preserve">adotou-se </w:t>
      </w:r>
      <w:r w:rsidR="008C5FDC">
        <w:rPr>
          <w:rFonts w:ascii="Times New Roman" w:hAnsi="Times New Roman" w:cs="Times New Roman"/>
          <w:sz w:val="24"/>
          <w:szCs w:val="24"/>
        </w:rPr>
        <w:t xml:space="preserve">o seguinte procedimento: a) </w:t>
      </w:r>
      <w:r>
        <w:rPr>
          <w:rFonts w:ascii="Times New Roman" w:hAnsi="Times New Roman" w:cs="Times New Roman"/>
          <w:sz w:val="24"/>
          <w:szCs w:val="24"/>
        </w:rPr>
        <w:t xml:space="preserve">a </w:t>
      </w:r>
      <w:r w:rsidR="00052F75">
        <w:rPr>
          <w:rFonts w:ascii="Times New Roman" w:hAnsi="Times New Roman" w:cs="Times New Roman"/>
          <w:sz w:val="24"/>
          <w:szCs w:val="24"/>
        </w:rPr>
        <w:t xml:space="preserve">proporção </w:t>
      </w:r>
      <w:r w:rsidR="008C5FDC">
        <w:rPr>
          <w:rFonts w:ascii="Times New Roman" w:hAnsi="Times New Roman" w:cs="Times New Roman"/>
          <w:sz w:val="24"/>
          <w:szCs w:val="24"/>
        </w:rPr>
        <w:t xml:space="preserve">do índice pluviométrico da Região Norte em relação a cada região do Brasil; b) extraiu-se o percentual de imigrantes de cada Estado da Região Norte, por origem de UF (Unidade Federativa); c) multiplicou-se a proporção de pluviosidade pela taxa de imigração, para cada Estado da Região Norte; d) </w:t>
      </w:r>
      <w:r w:rsidR="008C6AFC">
        <w:rPr>
          <w:rFonts w:ascii="Times New Roman" w:hAnsi="Times New Roman" w:cs="Times New Roman"/>
          <w:sz w:val="24"/>
          <w:szCs w:val="24"/>
        </w:rPr>
        <w:t>somaram-se</w:t>
      </w:r>
      <w:r w:rsidR="00A24270">
        <w:rPr>
          <w:rFonts w:ascii="Times New Roman" w:hAnsi="Times New Roman" w:cs="Times New Roman"/>
          <w:sz w:val="24"/>
          <w:szCs w:val="24"/>
        </w:rPr>
        <w:t xml:space="preserve"> </w:t>
      </w:r>
      <w:r w:rsidR="008C5FDC">
        <w:rPr>
          <w:rFonts w:ascii="Times New Roman" w:hAnsi="Times New Roman" w:cs="Times New Roman"/>
          <w:sz w:val="24"/>
          <w:szCs w:val="24"/>
        </w:rPr>
        <w:t>os valores obtidos no item anterior</w:t>
      </w:r>
      <w:r w:rsidR="006B7DF3">
        <w:rPr>
          <w:rFonts w:ascii="Times New Roman" w:hAnsi="Times New Roman" w:cs="Times New Roman"/>
          <w:sz w:val="24"/>
          <w:szCs w:val="24"/>
        </w:rPr>
        <w:t>, por UF</w:t>
      </w:r>
      <w:r w:rsidR="008C5FDC">
        <w:rPr>
          <w:rFonts w:ascii="Times New Roman" w:hAnsi="Times New Roman" w:cs="Times New Roman"/>
          <w:sz w:val="24"/>
          <w:szCs w:val="24"/>
        </w:rPr>
        <w:t xml:space="preserve">; e) </w:t>
      </w:r>
      <w:r w:rsidR="006E1DC5">
        <w:rPr>
          <w:rFonts w:ascii="Times New Roman" w:hAnsi="Times New Roman" w:cs="Times New Roman"/>
          <w:sz w:val="24"/>
          <w:szCs w:val="24"/>
        </w:rPr>
        <w:t xml:space="preserve">extraiu-se a média dos valores calculados no item </w:t>
      </w:r>
      <w:r w:rsidR="006B7DF3" w:rsidRPr="006B7DF3">
        <w:rPr>
          <w:rFonts w:ascii="Times New Roman" w:hAnsi="Times New Roman" w:cs="Times New Roman"/>
          <w:i/>
          <w:sz w:val="24"/>
          <w:szCs w:val="24"/>
        </w:rPr>
        <w:t>d</w:t>
      </w:r>
      <w:r w:rsidR="006B7DF3">
        <w:rPr>
          <w:rFonts w:ascii="Times New Roman" w:hAnsi="Times New Roman" w:cs="Times New Roman"/>
          <w:i/>
          <w:sz w:val="24"/>
          <w:szCs w:val="24"/>
        </w:rPr>
        <w:t>)</w:t>
      </w:r>
      <w:r w:rsidR="006E1DC5">
        <w:rPr>
          <w:rFonts w:ascii="Times New Roman" w:hAnsi="Times New Roman" w:cs="Times New Roman"/>
          <w:sz w:val="24"/>
          <w:szCs w:val="24"/>
        </w:rPr>
        <w:t xml:space="preserve"> para </w:t>
      </w:r>
      <w:r w:rsidR="006B7DF3">
        <w:rPr>
          <w:rFonts w:ascii="Times New Roman" w:hAnsi="Times New Roman" w:cs="Times New Roman"/>
          <w:sz w:val="24"/>
          <w:szCs w:val="24"/>
        </w:rPr>
        <w:t xml:space="preserve">depois atribuir o valor de 1 aos Estados com somatório acima da média e 0 </w:t>
      </w:r>
      <w:r w:rsidR="006E1DC5">
        <w:rPr>
          <w:rFonts w:ascii="Times New Roman" w:hAnsi="Times New Roman" w:cs="Times New Roman"/>
          <w:sz w:val="24"/>
          <w:szCs w:val="24"/>
        </w:rPr>
        <w:t xml:space="preserve">para aqueles </w:t>
      </w:r>
      <w:r w:rsidR="008C5FDC">
        <w:rPr>
          <w:rFonts w:ascii="Times New Roman" w:hAnsi="Times New Roman" w:cs="Times New Roman"/>
          <w:sz w:val="24"/>
          <w:szCs w:val="24"/>
        </w:rPr>
        <w:t>a</w:t>
      </w:r>
      <w:r w:rsidR="008C5FDC">
        <w:rPr>
          <w:rFonts w:ascii="Times New Roman" w:hAnsi="Times New Roman" w:cs="Times New Roman"/>
          <w:sz w:val="24"/>
          <w:szCs w:val="24"/>
        </w:rPr>
        <w:t xml:space="preserve">baixo da média. </w:t>
      </w:r>
    </w:p>
    <w:p w:rsidR="00232AB8" w:rsidRPr="0044685B" w:rsidRDefault="00232AB8" w:rsidP="001A5CC9">
      <w:pPr>
        <w:spacing w:after="120" w:line="240" w:lineRule="auto"/>
        <w:ind w:firstLine="425"/>
        <w:jc w:val="both"/>
        <w:rPr>
          <w:rFonts w:ascii="Times New Roman" w:hAnsi="Times New Roman" w:cs="Times New Roman"/>
          <w:sz w:val="4"/>
          <w:szCs w:val="24"/>
        </w:rPr>
      </w:pPr>
    </w:p>
    <w:p w:rsidR="00C51EBC" w:rsidRDefault="003E147E" w:rsidP="00AF46A0">
      <w:pPr>
        <w:pStyle w:val="Ttulo3"/>
        <w:numPr>
          <w:ilvl w:val="0"/>
          <w:numId w:val="1"/>
        </w:numPr>
        <w:spacing w:after="0"/>
        <w:ind w:left="357" w:hanging="357"/>
      </w:pPr>
      <w:bookmarkStart w:id="50" w:name="_Toc282364010"/>
      <w:r>
        <w:t>RESULTADOS</w:t>
      </w:r>
      <w:bookmarkEnd w:id="50"/>
    </w:p>
    <w:p w:rsidR="00A03142" w:rsidRDefault="007417E1" w:rsidP="008B470D">
      <w:pPr>
        <w:pStyle w:val="TEXTO1"/>
        <w:spacing w:line="240" w:lineRule="auto"/>
        <w:ind w:firstLine="425"/>
        <w:rPr>
          <w:szCs w:val="24"/>
        </w:rPr>
      </w:pPr>
      <w:bookmarkStart w:id="51" w:name="_O_Indicador_de"/>
      <w:bookmarkEnd w:id="51"/>
      <w:r>
        <w:rPr>
          <w:szCs w:val="24"/>
        </w:rPr>
        <w:t>Os testes estatísticos indicaram a presença de autocorrelação espacial e heterogeneidade espacial</w:t>
      </w:r>
      <w:r w:rsidR="00ED5C97">
        <w:rPr>
          <w:szCs w:val="24"/>
        </w:rPr>
        <w:t xml:space="preserve"> no modelo rural e urbano</w:t>
      </w:r>
      <w:r w:rsidR="0006206E">
        <w:rPr>
          <w:szCs w:val="24"/>
        </w:rPr>
        <w:t xml:space="preserve"> (tabelas em anexo)</w:t>
      </w:r>
      <w:r>
        <w:rPr>
          <w:szCs w:val="24"/>
        </w:rPr>
        <w:t xml:space="preserve">. Em razão disto, </w:t>
      </w:r>
      <w:r w:rsidR="003928F9">
        <w:rPr>
          <w:szCs w:val="24"/>
        </w:rPr>
        <w:t xml:space="preserve">estimou-se um modelo </w:t>
      </w:r>
      <w:r w:rsidR="00AF1DB0">
        <w:rPr>
          <w:szCs w:val="24"/>
        </w:rPr>
        <w:t>com a adição da vari</w:t>
      </w:r>
      <w:r w:rsidR="00AF1DB0">
        <w:rPr>
          <w:szCs w:val="24"/>
        </w:rPr>
        <w:t>á</w:t>
      </w:r>
      <w:r w:rsidR="00AF1DB0">
        <w:rPr>
          <w:szCs w:val="24"/>
        </w:rPr>
        <w:t xml:space="preserve">vel de interação entre a população a acessibilidade para corrigir a heterocedasticidade. </w:t>
      </w:r>
      <w:r w:rsidR="00CD0554">
        <w:rPr>
          <w:szCs w:val="24"/>
        </w:rPr>
        <w:t xml:space="preserve">Para o caso da </w:t>
      </w:r>
      <w:proofErr w:type="spellStart"/>
      <w:r w:rsidR="00CD0554">
        <w:rPr>
          <w:szCs w:val="24"/>
        </w:rPr>
        <w:t>a</w:t>
      </w:r>
      <w:r w:rsidR="00CD0554">
        <w:rPr>
          <w:szCs w:val="24"/>
        </w:rPr>
        <w:t>u</w:t>
      </w:r>
      <w:r w:rsidR="00CD0554">
        <w:rPr>
          <w:szCs w:val="24"/>
        </w:rPr>
        <w:t>tocorr</w:t>
      </w:r>
      <w:r w:rsidR="00CD0554">
        <w:rPr>
          <w:szCs w:val="24"/>
        </w:rPr>
        <w:t>e</w:t>
      </w:r>
      <w:r w:rsidR="00CD0554">
        <w:rPr>
          <w:szCs w:val="24"/>
        </w:rPr>
        <w:t>lação</w:t>
      </w:r>
      <w:proofErr w:type="spellEnd"/>
      <w:r w:rsidR="00CD0554">
        <w:rPr>
          <w:szCs w:val="24"/>
        </w:rPr>
        <w:t xml:space="preserve"> espacial, estimou-se nova equação incorporando o componente espacial, que compreende um mét</w:t>
      </w:r>
      <w:r w:rsidR="00CD0554">
        <w:rPr>
          <w:szCs w:val="24"/>
        </w:rPr>
        <w:t>o</w:t>
      </w:r>
      <w:r w:rsidR="00CD0554">
        <w:rPr>
          <w:szCs w:val="24"/>
        </w:rPr>
        <w:t>do com erro espacial [equação (6)] e outro com defasagem espacial [equação</w:t>
      </w:r>
      <w:r w:rsidR="00CD0554" w:rsidRPr="00395327">
        <w:rPr>
          <w:szCs w:val="24"/>
        </w:rPr>
        <w:t xml:space="preserve"> </w:t>
      </w:r>
      <w:r w:rsidR="00CD0554">
        <w:rPr>
          <w:szCs w:val="24"/>
        </w:rPr>
        <w:t>(4)].</w:t>
      </w:r>
      <w:r w:rsidR="00AF1DB0">
        <w:rPr>
          <w:szCs w:val="24"/>
        </w:rPr>
        <w:t xml:space="preserve"> </w:t>
      </w:r>
      <w:r w:rsidR="00F43721" w:rsidRPr="00334E42">
        <w:rPr>
          <w:szCs w:val="24"/>
        </w:rPr>
        <w:t xml:space="preserve">No </w:t>
      </w:r>
      <w:r w:rsidR="00F43721">
        <w:rPr>
          <w:szCs w:val="24"/>
        </w:rPr>
        <w:t>método</w:t>
      </w:r>
      <w:r w:rsidR="00F43721" w:rsidRPr="00334E42">
        <w:rPr>
          <w:szCs w:val="24"/>
        </w:rPr>
        <w:t xml:space="preserve"> com def</w:t>
      </w:r>
      <w:r w:rsidR="00F43721" w:rsidRPr="00334E42">
        <w:rPr>
          <w:szCs w:val="24"/>
        </w:rPr>
        <w:t>a</w:t>
      </w:r>
      <w:r w:rsidR="00F43721" w:rsidRPr="00334E42">
        <w:rPr>
          <w:szCs w:val="24"/>
        </w:rPr>
        <w:t>sagem espacial</w:t>
      </w:r>
      <w:r w:rsidR="00F43721">
        <w:rPr>
          <w:szCs w:val="24"/>
        </w:rPr>
        <w:t xml:space="preserve"> (modelo rural, tabela 1) e erro espacial (modelo urbano</w:t>
      </w:r>
      <w:r w:rsidR="00F43721" w:rsidRPr="00334E42">
        <w:rPr>
          <w:szCs w:val="24"/>
        </w:rPr>
        <w:t>,</w:t>
      </w:r>
      <w:r w:rsidR="00F43721">
        <w:rPr>
          <w:szCs w:val="24"/>
        </w:rPr>
        <w:t xml:space="preserve"> tabela 2)</w:t>
      </w:r>
      <w:r w:rsidR="00F43721" w:rsidRPr="00334E42">
        <w:rPr>
          <w:szCs w:val="24"/>
        </w:rPr>
        <w:t xml:space="preserve"> o</w:t>
      </w:r>
      <w:r w:rsidR="00F43721">
        <w:rPr>
          <w:szCs w:val="24"/>
        </w:rPr>
        <w:t>s</w:t>
      </w:r>
      <w:r w:rsidR="00F43721" w:rsidRPr="00334E42">
        <w:rPr>
          <w:szCs w:val="24"/>
        </w:rPr>
        <w:t xml:space="preserve"> parâmetro</w:t>
      </w:r>
      <w:r w:rsidR="00F43721">
        <w:rPr>
          <w:szCs w:val="24"/>
        </w:rPr>
        <w:t>s</w:t>
      </w:r>
      <w:r w:rsidR="00F43721" w:rsidRPr="00334E42">
        <w:rPr>
          <w:szCs w:val="24"/>
        </w:rPr>
        <w:t xml:space="preserve"> </w:t>
      </w:r>
      <w:proofErr w:type="spellStart"/>
      <w:r w:rsidR="00F43721" w:rsidRPr="00334E42">
        <w:rPr>
          <w:i/>
          <w:szCs w:val="24"/>
        </w:rPr>
        <w:t>rho</w:t>
      </w:r>
      <w:proofErr w:type="spellEnd"/>
      <w:r w:rsidR="00F43721" w:rsidRPr="00334E42">
        <w:rPr>
          <w:szCs w:val="24"/>
        </w:rPr>
        <w:t xml:space="preserve"> </w:t>
      </w:r>
      <w:r w:rsidR="00F43721">
        <w:rPr>
          <w:szCs w:val="24"/>
        </w:rPr>
        <w:t xml:space="preserve">e </w:t>
      </w:r>
      <w:r w:rsidR="00F43721" w:rsidRPr="00ED5C97">
        <w:rPr>
          <w:i/>
          <w:szCs w:val="24"/>
        </w:rPr>
        <w:t>lambda</w:t>
      </w:r>
      <w:proofErr w:type="gramStart"/>
      <w:r w:rsidR="00F43721">
        <w:rPr>
          <w:i/>
          <w:szCs w:val="24"/>
        </w:rPr>
        <w:t xml:space="preserve"> </w:t>
      </w:r>
      <w:r w:rsidR="00F43721">
        <w:rPr>
          <w:szCs w:val="24"/>
        </w:rPr>
        <w:t xml:space="preserve"> </w:t>
      </w:r>
      <w:proofErr w:type="gramEnd"/>
      <w:r w:rsidR="00F43721" w:rsidRPr="00334E42">
        <w:rPr>
          <w:szCs w:val="24"/>
        </w:rPr>
        <w:t>reflete</w:t>
      </w:r>
      <w:r w:rsidR="00F43721">
        <w:rPr>
          <w:szCs w:val="24"/>
        </w:rPr>
        <w:t>m</w:t>
      </w:r>
      <w:r w:rsidR="00F43721" w:rsidRPr="00334E42">
        <w:rPr>
          <w:szCs w:val="24"/>
        </w:rPr>
        <w:t xml:space="preserve"> a dependência esp</w:t>
      </w:r>
      <w:r w:rsidR="00F43721">
        <w:rPr>
          <w:szCs w:val="24"/>
        </w:rPr>
        <w:t>a</w:t>
      </w:r>
      <w:r w:rsidR="00F43721" w:rsidRPr="00334E42">
        <w:rPr>
          <w:szCs w:val="24"/>
        </w:rPr>
        <w:t>cial inerente à amostra de da</w:t>
      </w:r>
      <w:r w:rsidR="00F43721">
        <w:rPr>
          <w:szCs w:val="24"/>
        </w:rPr>
        <w:t>dos</w:t>
      </w:r>
      <w:r w:rsidR="00F43721" w:rsidRPr="00334E42">
        <w:rPr>
          <w:szCs w:val="24"/>
        </w:rPr>
        <w:t xml:space="preserve">, </w:t>
      </w:r>
      <w:r w:rsidR="00F43721">
        <w:rPr>
          <w:szCs w:val="24"/>
        </w:rPr>
        <w:t>medindo a influência média das obse</w:t>
      </w:r>
      <w:r w:rsidR="00F43721">
        <w:rPr>
          <w:szCs w:val="24"/>
        </w:rPr>
        <w:t>r</w:t>
      </w:r>
      <w:r w:rsidR="00F43721">
        <w:rPr>
          <w:szCs w:val="24"/>
        </w:rPr>
        <w:t xml:space="preserve">vações dos seus vizinhos. Isso significa que, se há uma mudança da variável em análise num local, seus vizinhos serão afetados por essa mudança, em média, equivalente ao valor do coeficiente </w:t>
      </w:r>
      <w:proofErr w:type="spellStart"/>
      <w:r w:rsidR="00F43721" w:rsidRPr="00490A9F">
        <w:rPr>
          <w:i/>
          <w:szCs w:val="24"/>
        </w:rPr>
        <w:t>rho</w:t>
      </w:r>
      <w:proofErr w:type="spellEnd"/>
      <w:r w:rsidR="00F43721">
        <w:rPr>
          <w:i/>
          <w:szCs w:val="24"/>
        </w:rPr>
        <w:t xml:space="preserve"> </w:t>
      </w:r>
      <w:r w:rsidR="00F43721" w:rsidRPr="00ED5C97">
        <w:rPr>
          <w:szCs w:val="24"/>
        </w:rPr>
        <w:t>ou</w:t>
      </w:r>
      <w:r w:rsidR="00F43721">
        <w:rPr>
          <w:i/>
          <w:szCs w:val="24"/>
        </w:rPr>
        <w:t xml:space="preserve"> lambda</w:t>
      </w:r>
      <w:r w:rsidR="00F43721">
        <w:rPr>
          <w:szCs w:val="24"/>
        </w:rPr>
        <w:t>. No resu</w:t>
      </w:r>
      <w:r w:rsidR="00F43721">
        <w:rPr>
          <w:szCs w:val="24"/>
        </w:rPr>
        <w:t>l</w:t>
      </w:r>
      <w:r w:rsidR="00F43721">
        <w:rPr>
          <w:szCs w:val="24"/>
        </w:rPr>
        <w:t>tados das tabelas 1 e 2, a baixa probabilidade desses coeficientes confirmam o padrão espacial já identif</w:t>
      </w:r>
      <w:r w:rsidR="00F43721">
        <w:rPr>
          <w:szCs w:val="24"/>
        </w:rPr>
        <w:t>i</w:t>
      </w:r>
      <w:r w:rsidR="00F43721">
        <w:rPr>
          <w:szCs w:val="24"/>
        </w:rPr>
        <w:t xml:space="preserve">cado quando feito o teste I de </w:t>
      </w:r>
      <w:proofErr w:type="spellStart"/>
      <w:r w:rsidR="00F43721">
        <w:rPr>
          <w:szCs w:val="24"/>
        </w:rPr>
        <w:t>Moran</w:t>
      </w:r>
      <w:proofErr w:type="spellEnd"/>
      <w:r w:rsidR="00F43721">
        <w:rPr>
          <w:szCs w:val="24"/>
        </w:rPr>
        <w:t xml:space="preserve"> (ANSELIN, 1988).</w:t>
      </w:r>
    </w:p>
    <w:p w:rsidR="00F43721" w:rsidRPr="00F43721" w:rsidRDefault="008B470D" w:rsidP="008B470D">
      <w:pPr>
        <w:pStyle w:val="TEXTO1"/>
        <w:spacing w:after="120" w:line="240" w:lineRule="auto"/>
        <w:ind w:firstLine="425"/>
        <w:rPr>
          <w:b/>
          <w:sz w:val="2"/>
          <w:szCs w:val="24"/>
        </w:rPr>
      </w:pPr>
      <w:r>
        <w:rPr>
          <w:szCs w:val="24"/>
        </w:rPr>
        <w:t xml:space="preserve">Visto que o método com a defasagem espacial é o mais adequado para corrigir as imperfeições do modelo já discutidas, a seguir </w:t>
      </w:r>
      <w:r w:rsidRPr="00EE21B3">
        <w:rPr>
          <w:szCs w:val="24"/>
        </w:rPr>
        <w:t>(</w:t>
      </w:r>
      <w:r>
        <w:rPr>
          <w:szCs w:val="24"/>
        </w:rPr>
        <w:t>T</w:t>
      </w:r>
      <w:r w:rsidRPr="001D25FA">
        <w:rPr>
          <w:szCs w:val="24"/>
        </w:rPr>
        <w:t xml:space="preserve">abela </w:t>
      </w:r>
      <w:r w:rsidRPr="001D25FA">
        <w:rPr>
          <w:noProof/>
          <w:szCs w:val="24"/>
        </w:rPr>
        <w:t>1</w:t>
      </w:r>
      <w:r w:rsidRPr="00EE21B3">
        <w:rPr>
          <w:szCs w:val="24"/>
        </w:rPr>
        <w:t>)</w:t>
      </w:r>
      <w:r>
        <w:rPr>
          <w:szCs w:val="24"/>
        </w:rPr>
        <w:t xml:space="preserve"> são apresentados os resultados com os devidos ajustes para o crescimento da população rural.</w:t>
      </w:r>
      <w:bookmarkStart w:id="52" w:name="tabela11"/>
      <w:bookmarkStart w:id="53" w:name="_Ref272656905"/>
      <w:bookmarkStart w:id="54" w:name="_Ref275327270"/>
      <w:bookmarkStart w:id="55" w:name="_Toc282373877"/>
    </w:p>
    <w:p w:rsidR="005D42D2" w:rsidRPr="007F2451" w:rsidRDefault="005D42D2" w:rsidP="0044066C">
      <w:pPr>
        <w:pStyle w:val="Legenda"/>
        <w:ind w:left="1134" w:hanging="1134"/>
        <w:rPr>
          <w:rFonts w:ascii="Times New Roman" w:hAnsi="Times New Roman" w:cs="Times New Roman"/>
          <w:b w:val="0"/>
          <w:color w:val="auto"/>
          <w:sz w:val="24"/>
          <w:szCs w:val="24"/>
        </w:rPr>
      </w:pPr>
      <w:r w:rsidRPr="007F2451">
        <w:rPr>
          <w:rFonts w:ascii="Times New Roman" w:hAnsi="Times New Roman" w:cs="Times New Roman"/>
          <w:b w:val="0"/>
          <w:color w:val="auto"/>
          <w:sz w:val="24"/>
          <w:szCs w:val="24"/>
        </w:rPr>
        <w:t xml:space="preserve">Tabela </w:t>
      </w:r>
      <w:r w:rsidR="001D25FA">
        <w:rPr>
          <w:rFonts w:ascii="Times New Roman" w:hAnsi="Times New Roman" w:cs="Times New Roman"/>
          <w:b w:val="0"/>
          <w:noProof/>
          <w:color w:val="auto"/>
          <w:sz w:val="24"/>
          <w:szCs w:val="24"/>
        </w:rPr>
        <w:t>1</w:t>
      </w:r>
      <w:bookmarkEnd w:id="52"/>
      <w:bookmarkEnd w:id="53"/>
      <w:r w:rsidR="009E6899">
        <w:rPr>
          <w:rFonts w:ascii="Times New Roman" w:hAnsi="Times New Roman" w:cs="Times New Roman"/>
          <w:b w:val="0"/>
          <w:color w:val="auto"/>
          <w:sz w:val="24"/>
          <w:szCs w:val="24"/>
        </w:rPr>
        <w:t xml:space="preserve"> -</w:t>
      </w:r>
      <w:r w:rsidRPr="007F2451">
        <w:rPr>
          <w:rFonts w:ascii="Times New Roman" w:hAnsi="Times New Roman" w:cs="Times New Roman"/>
          <w:b w:val="0"/>
          <w:color w:val="auto"/>
          <w:sz w:val="24"/>
          <w:szCs w:val="24"/>
        </w:rPr>
        <w:t xml:space="preserve"> </w:t>
      </w:r>
      <w:bookmarkStart w:id="56" w:name="_Ref275327280"/>
      <w:r w:rsidR="000F058E" w:rsidRPr="007F2451">
        <w:rPr>
          <w:rFonts w:ascii="Times New Roman" w:hAnsi="Times New Roman" w:cs="Times New Roman"/>
          <w:b w:val="0"/>
          <w:color w:val="auto"/>
          <w:sz w:val="24"/>
          <w:szCs w:val="24"/>
        </w:rPr>
        <w:t>Estimativa</w:t>
      </w:r>
      <w:r w:rsidRPr="007F2451">
        <w:rPr>
          <w:rFonts w:ascii="Times New Roman" w:hAnsi="Times New Roman" w:cs="Times New Roman"/>
          <w:b w:val="0"/>
          <w:color w:val="auto"/>
          <w:sz w:val="24"/>
          <w:szCs w:val="24"/>
        </w:rPr>
        <w:t xml:space="preserve"> </w:t>
      </w:r>
      <w:r w:rsidR="00606F21">
        <w:rPr>
          <w:rFonts w:ascii="Times New Roman" w:hAnsi="Times New Roman" w:cs="Times New Roman"/>
          <w:b w:val="0"/>
          <w:color w:val="auto"/>
          <w:sz w:val="24"/>
          <w:szCs w:val="24"/>
        </w:rPr>
        <w:t>da equa</w:t>
      </w:r>
      <w:r w:rsidR="00606F21" w:rsidRPr="00606F21">
        <w:rPr>
          <w:rFonts w:ascii="Times New Roman" w:hAnsi="Times New Roman" w:cs="Times New Roman"/>
          <w:b w:val="0"/>
          <w:color w:val="auto"/>
          <w:sz w:val="24"/>
          <w:szCs w:val="24"/>
        </w:rPr>
        <w:t>ção</w:t>
      </w:r>
      <w:r w:rsidR="001D25FA" w:rsidRPr="001D25FA">
        <w:rPr>
          <w:rFonts w:ascii="Times New Roman" w:eastAsiaTheme="minorEastAsia" w:hAnsi="Times New Roman" w:cs="Times New Roman"/>
          <w:b w:val="0"/>
          <w:color w:val="auto"/>
          <w:sz w:val="24"/>
          <w:szCs w:val="24"/>
        </w:rPr>
        <w:t xml:space="preserve"> </w:t>
      </w:r>
      <w:r w:rsidR="00113D87">
        <w:rPr>
          <w:rFonts w:ascii="Times New Roman" w:eastAsiaTheme="minorEastAsia" w:hAnsi="Times New Roman" w:cs="Times New Roman"/>
          <w:b w:val="0"/>
          <w:color w:val="auto"/>
          <w:sz w:val="24"/>
          <w:szCs w:val="24"/>
        </w:rPr>
        <w:t>(4)</w:t>
      </w:r>
      <w:r w:rsidR="00606F21" w:rsidRPr="00606F21">
        <w:rPr>
          <w:rFonts w:ascii="Times New Roman" w:hAnsi="Times New Roman" w:cs="Times New Roman"/>
          <w:b w:val="0"/>
          <w:color w:val="auto"/>
          <w:sz w:val="24"/>
          <w:szCs w:val="24"/>
        </w:rPr>
        <w:t>,</w:t>
      </w:r>
      <w:r w:rsidR="00606F21">
        <w:rPr>
          <w:rFonts w:ascii="Times New Roman" w:hAnsi="Times New Roman" w:cs="Times New Roman"/>
          <w:b w:val="0"/>
          <w:color w:val="auto"/>
          <w:sz w:val="24"/>
          <w:szCs w:val="24"/>
        </w:rPr>
        <w:t xml:space="preserve"> </w:t>
      </w:r>
      <w:r w:rsidR="000F058E">
        <w:rPr>
          <w:rFonts w:ascii="Times New Roman" w:hAnsi="Times New Roman" w:cs="Times New Roman"/>
          <w:b w:val="0"/>
          <w:color w:val="auto"/>
          <w:sz w:val="24"/>
          <w:szCs w:val="24"/>
        </w:rPr>
        <w:t xml:space="preserve">para </w:t>
      </w:r>
      <w:r w:rsidR="00EE21B3">
        <w:rPr>
          <w:rFonts w:ascii="Times New Roman" w:hAnsi="Times New Roman" w:cs="Times New Roman"/>
          <w:b w:val="0"/>
          <w:color w:val="auto"/>
          <w:sz w:val="24"/>
          <w:szCs w:val="24"/>
        </w:rPr>
        <w:t xml:space="preserve">o crescimento da </w:t>
      </w:r>
      <w:r w:rsidR="000F058E">
        <w:rPr>
          <w:rFonts w:ascii="Times New Roman" w:hAnsi="Times New Roman" w:cs="Times New Roman"/>
          <w:b w:val="0"/>
          <w:color w:val="auto"/>
          <w:sz w:val="24"/>
          <w:szCs w:val="24"/>
        </w:rPr>
        <w:t xml:space="preserve">população </w:t>
      </w:r>
      <w:r w:rsidRPr="007F2451">
        <w:rPr>
          <w:rFonts w:ascii="Times New Roman" w:hAnsi="Times New Roman" w:cs="Times New Roman"/>
          <w:b w:val="0"/>
          <w:color w:val="auto"/>
          <w:sz w:val="24"/>
          <w:szCs w:val="24"/>
        </w:rPr>
        <w:t>rural</w:t>
      </w:r>
      <w:r w:rsidR="00EE21B3">
        <w:rPr>
          <w:rFonts w:ascii="Times New Roman" w:hAnsi="Times New Roman" w:cs="Times New Roman"/>
          <w:b w:val="0"/>
          <w:color w:val="auto"/>
          <w:sz w:val="24"/>
          <w:szCs w:val="24"/>
        </w:rPr>
        <w:t xml:space="preserve"> (período de 1980 a 2000)</w:t>
      </w:r>
      <w:r w:rsidR="000F058E">
        <w:rPr>
          <w:rFonts w:ascii="Times New Roman" w:hAnsi="Times New Roman" w:cs="Times New Roman"/>
          <w:b w:val="0"/>
          <w:color w:val="auto"/>
          <w:sz w:val="24"/>
          <w:szCs w:val="24"/>
        </w:rPr>
        <w:t>,</w:t>
      </w:r>
      <w:r w:rsidRPr="007F2451">
        <w:rPr>
          <w:rFonts w:ascii="Times New Roman" w:hAnsi="Times New Roman" w:cs="Times New Roman"/>
          <w:b w:val="0"/>
          <w:color w:val="auto"/>
          <w:sz w:val="24"/>
          <w:szCs w:val="24"/>
        </w:rPr>
        <w:t xml:space="preserve"> com defasagem espacial</w:t>
      </w:r>
      <w:bookmarkEnd w:id="54"/>
      <w:bookmarkEnd w:id="55"/>
      <w:bookmarkEnd w:id="56"/>
    </w:p>
    <w:tbl>
      <w:tblPr>
        <w:tblStyle w:val="Oficial"/>
        <w:tblW w:w="5000" w:type="pct"/>
        <w:tblLook w:val="04A0"/>
      </w:tblPr>
      <w:tblGrid>
        <w:gridCol w:w="2964"/>
        <w:gridCol w:w="1843"/>
        <w:gridCol w:w="2240"/>
        <w:gridCol w:w="1219"/>
        <w:gridCol w:w="1225"/>
        <w:gridCol w:w="929"/>
      </w:tblGrid>
      <w:tr w:rsidR="00EF6018" w:rsidRPr="00352732" w:rsidTr="00893AD4">
        <w:trPr>
          <w:cnfStyle w:val="100000000000"/>
          <w:trHeight w:val="279"/>
        </w:trPr>
        <w:tc>
          <w:tcPr>
            <w:tcW w:w="1422" w:type="pct"/>
            <w:vAlign w:val="center"/>
            <w:hideMark/>
          </w:tcPr>
          <w:p w:rsidR="00EF6018" w:rsidRPr="00893AD4" w:rsidRDefault="00EF6018" w:rsidP="00893AD4">
            <w:pPr>
              <w:jc w:val="center"/>
              <w:rPr>
                <w:bCs/>
                <w:color w:val="000000"/>
                <w:sz w:val="22"/>
                <w:szCs w:val="24"/>
                <w:lang w:eastAsia="en-CA"/>
              </w:rPr>
            </w:pPr>
            <w:r w:rsidRPr="00893AD4">
              <w:rPr>
                <w:bCs/>
                <w:color w:val="000000"/>
                <w:sz w:val="22"/>
                <w:szCs w:val="24"/>
                <w:lang w:eastAsia="en-CA"/>
              </w:rPr>
              <w:t>Variável</w:t>
            </w:r>
          </w:p>
        </w:tc>
        <w:tc>
          <w:tcPr>
            <w:tcW w:w="884" w:type="pct"/>
            <w:vAlign w:val="center"/>
            <w:hideMark/>
          </w:tcPr>
          <w:p w:rsidR="00EF6018" w:rsidRPr="00893AD4" w:rsidRDefault="00EF6018" w:rsidP="00893AD4">
            <w:pPr>
              <w:jc w:val="center"/>
              <w:rPr>
                <w:bCs/>
                <w:color w:val="000000"/>
                <w:sz w:val="22"/>
                <w:szCs w:val="24"/>
                <w:lang w:eastAsia="en-CA"/>
              </w:rPr>
            </w:pPr>
            <w:r w:rsidRPr="00893AD4">
              <w:rPr>
                <w:bCs/>
                <w:color w:val="000000"/>
                <w:sz w:val="22"/>
                <w:szCs w:val="24"/>
                <w:lang w:eastAsia="en-CA"/>
              </w:rPr>
              <w:t>Coeficiente</w:t>
            </w:r>
          </w:p>
        </w:tc>
        <w:tc>
          <w:tcPr>
            <w:tcW w:w="1075" w:type="pct"/>
            <w:vAlign w:val="center"/>
            <w:hideMark/>
          </w:tcPr>
          <w:p w:rsidR="00EF6018" w:rsidRPr="00893AD4" w:rsidRDefault="00EF6018" w:rsidP="00893AD4">
            <w:pPr>
              <w:jc w:val="center"/>
              <w:rPr>
                <w:bCs/>
                <w:color w:val="000000"/>
                <w:sz w:val="22"/>
                <w:szCs w:val="24"/>
                <w:lang w:eastAsia="en-CA"/>
              </w:rPr>
            </w:pPr>
            <w:r w:rsidRPr="00893AD4">
              <w:rPr>
                <w:bCs/>
                <w:color w:val="000000"/>
                <w:sz w:val="22"/>
                <w:szCs w:val="24"/>
                <w:lang w:eastAsia="en-CA"/>
              </w:rPr>
              <w:t>Desvio padrão</w:t>
            </w:r>
          </w:p>
        </w:tc>
        <w:tc>
          <w:tcPr>
            <w:tcW w:w="585" w:type="pct"/>
            <w:vAlign w:val="center"/>
            <w:hideMark/>
          </w:tcPr>
          <w:p w:rsidR="00EF6018" w:rsidRPr="00893AD4" w:rsidRDefault="00EF6018" w:rsidP="00893AD4">
            <w:pPr>
              <w:jc w:val="center"/>
              <w:rPr>
                <w:bCs/>
                <w:color w:val="000000"/>
                <w:sz w:val="22"/>
                <w:szCs w:val="24"/>
                <w:lang w:eastAsia="en-CA"/>
              </w:rPr>
            </w:pPr>
            <w:r w:rsidRPr="00893AD4">
              <w:rPr>
                <w:bCs/>
                <w:color w:val="000000"/>
                <w:sz w:val="22"/>
                <w:szCs w:val="24"/>
                <w:lang w:eastAsia="en-CA"/>
              </w:rPr>
              <w:t>z valor</w:t>
            </w:r>
          </w:p>
        </w:tc>
        <w:tc>
          <w:tcPr>
            <w:tcW w:w="1034" w:type="pct"/>
            <w:gridSpan w:val="2"/>
            <w:vAlign w:val="center"/>
            <w:hideMark/>
          </w:tcPr>
          <w:p w:rsidR="00EF6018" w:rsidRPr="00893AD4" w:rsidRDefault="00EF6018" w:rsidP="00893AD4">
            <w:pPr>
              <w:jc w:val="center"/>
              <w:rPr>
                <w:bCs/>
                <w:color w:val="000000"/>
                <w:sz w:val="22"/>
                <w:szCs w:val="24"/>
                <w:lang w:eastAsia="en-CA"/>
              </w:rPr>
            </w:pPr>
            <w:r w:rsidRPr="00893AD4">
              <w:rPr>
                <w:bCs/>
                <w:color w:val="000000"/>
                <w:sz w:val="22"/>
                <w:szCs w:val="24"/>
                <w:lang w:eastAsia="en-CA"/>
              </w:rPr>
              <w:t>Probabilidade</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Rho</w:t>
            </w:r>
          </w:p>
        </w:tc>
        <w:tc>
          <w:tcPr>
            <w:tcW w:w="884" w:type="pct"/>
            <w:hideMark/>
          </w:tcPr>
          <w:p w:rsidR="0067130E" w:rsidRPr="00893AD4" w:rsidRDefault="0067130E" w:rsidP="00893AD4">
            <w:pPr>
              <w:jc w:val="center"/>
              <w:rPr>
                <w:sz w:val="22"/>
              </w:rPr>
            </w:pPr>
            <w:r w:rsidRPr="00893AD4">
              <w:rPr>
                <w:sz w:val="22"/>
              </w:rPr>
              <w:t>0,202</w:t>
            </w:r>
          </w:p>
        </w:tc>
        <w:tc>
          <w:tcPr>
            <w:tcW w:w="1075" w:type="pct"/>
            <w:hideMark/>
          </w:tcPr>
          <w:p w:rsidR="0067130E" w:rsidRPr="00893AD4" w:rsidRDefault="0067130E" w:rsidP="00893AD4">
            <w:pPr>
              <w:jc w:val="center"/>
              <w:rPr>
                <w:sz w:val="22"/>
              </w:rPr>
            </w:pPr>
            <w:r w:rsidRPr="00893AD4">
              <w:rPr>
                <w:sz w:val="22"/>
              </w:rPr>
              <w:t>0,052</w:t>
            </w:r>
          </w:p>
        </w:tc>
        <w:tc>
          <w:tcPr>
            <w:tcW w:w="585" w:type="pct"/>
            <w:hideMark/>
          </w:tcPr>
          <w:p w:rsidR="0067130E" w:rsidRPr="00893AD4" w:rsidRDefault="0067130E" w:rsidP="00893AD4">
            <w:pPr>
              <w:jc w:val="center"/>
              <w:rPr>
                <w:sz w:val="22"/>
              </w:rPr>
            </w:pPr>
            <w:r w:rsidRPr="00893AD4">
              <w:rPr>
                <w:sz w:val="22"/>
              </w:rPr>
              <w:t>3,920</w:t>
            </w:r>
          </w:p>
        </w:tc>
        <w:tc>
          <w:tcPr>
            <w:tcW w:w="588" w:type="pct"/>
            <w:hideMark/>
          </w:tcPr>
          <w:p w:rsidR="0067130E" w:rsidRPr="00893AD4" w:rsidRDefault="0067130E" w:rsidP="00893AD4">
            <w:pPr>
              <w:jc w:val="center"/>
              <w:rPr>
                <w:sz w:val="22"/>
              </w:rPr>
            </w:pPr>
            <w:r w:rsidRPr="00893AD4">
              <w:rPr>
                <w:sz w:val="22"/>
              </w:rPr>
              <w:t>0,000</w:t>
            </w:r>
          </w:p>
        </w:tc>
        <w:tc>
          <w:tcPr>
            <w:tcW w:w="446" w:type="pct"/>
          </w:tcPr>
          <w:p w:rsidR="0067130E" w:rsidRPr="00893AD4" w:rsidRDefault="0067130E" w:rsidP="00893AD4">
            <w:pPr>
              <w:autoSpaceDE w:val="0"/>
              <w:autoSpaceDN w:val="0"/>
              <w:adjustRightInd w:val="0"/>
              <w:rPr>
                <w:rFonts w:cs="Times New Roman"/>
                <w:iCs/>
                <w:color w:val="000000"/>
                <w:sz w:val="22"/>
                <w:szCs w:val="24"/>
              </w:rPr>
            </w:pPr>
            <w:r w:rsidRPr="00893AD4">
              <w:rPr>
                <w:rFonts w:cs="Times New Roman"/>
                <w:iCs/>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Intercepto</w:t>
            </w:r>
          </w:p>
        </w:tc>
        <w:tc>
          <w:tcPr>
            <w:tcW w:w="884" w:type="pct"/>
            <w:hideMark/>
          </w:tcPr>
          <w:p w:rsidR="0067130E" w:rsidRPr="00893AD4" w:rsidRDefault="0067130E" w:rsidP="00893AD4">
            <w:pPr>
              <w:jc w:val="center"/>
              <w:rPr>
                <w:sz w:val="22"/>
              </w:rPr>
            </w:pPr>
            <w:r w:rsidRPr="00893AD4">
              <w:rPr>
                <w:sz w:val="22"/>
              </w:rPr>
              <w:t>-0,023</w:t>
            </w:r>
          </w:p>
        </w:tc>
        <w:tc>
          <w:tcPr>
            <w:tcW w:w="1075" w:type="pct"/>
            <w:hideMark/>
          </w:tcPr>
          <w:p w:rsidR="0067130E" w:rsidRPr="00893AD4" w:rsidRDefault="0067130E" w:rsidP="00893AD4">
            <w:pPr>
              <w:jc w:val="center"/>
              <w:rPr>
                <w:sz w:val="22"/>
              </w:rPr>
            </w:pPr>
            <w:r w:rsidRPr="00893AD4">
              <w:rPr>
                <w:sz w:val="22"/>
              </w:rPr>
              <w:t>0,833</w:t>
            </w:r>
          </w:p>
        </w:tc>
        <w:tc>
          <w:tcPr>
            <w:tcW w:w="585" w:type="pct"/>
            <w:hideMark/>
          </w:tcPr>
          <w:p w:rsidR="0067130E" w:rsidRPr="00893AD4" w:rsidRDefault="0067130E" w:rsidP="00893AD4">
            <w:pPr>
              <w:jc w:val="center"/>
              <w:rPr>
                <w:sz w:val="22"/>
              </w:rPr>
            </w:pPr>
            <w:r w:rsidRPr="00893AD4">
              <w:rPr>
                <w:sz w:val="22"/>
              </w:rPr>
              <w:t>-0,028</w:t>
            </w:r>
          </w:p>
        </w:tc>
        <w:tc>
          <w:tcPr>
            <w:tcW w:w="588" w:type="pct"/>
            <w:hideMark/>
          </w:tcPr>
          <w:p w:rsidR="0067130E" w:rsidRPr="00893AD4" w:rsidRDefault="0067130E" w:rsidP="00893AD4">
            <w:pPr>
              <w:jc w:val="center"/>
              <w:rPr>
                <w:sz w:val="22"/>
              </w:rPr>
            </w:pPr>
            <w:r w:rsidRPr="00893AD4">
              <w:rPr>
                <w:sz w:val="22"/>
              </w:rPr>
              <w:t>0,978</w:t>
            </w:r>
          </w:p>
        </w:tc>
        <w:tc>
          <w:tcPr>
            <w:tcW w:w="446" w:type="pct"/>
          </w:tcPr>
          <w:p w:rsidR="0067130E" w:rsidRPr="00893AD4" w:rsidRDefault="0067130E" w:rsidP="00893AD4">
            <w:pPr>
              <w:autoSpaceDE w:val="0"/>
              <w:autoSpaceDN w:val="0"/>
              <w:adjustRightInd w:val="0"/>
              <w:rPr>
                <w:rFonts w:cs="Times New Roman"/>
                <w:color w:val="000000"/>
                <w:sz w:val="22"/>
                <w:szCs w:val="24"/>
              </w:rPr>
            </w:pP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Pluviosidade</w:t>
            </w:r>
          </w:p>
        </w:tc>
        <w:tc>
          <w:tcPr>
            <w:tcW w:w="884" w:type="pct"/>
            <w:hideMark/>
          </w:tcPr>
          <w:p w:rsidR="0067130E" w:rsidRPr="00893AD4" w:rsidRDefault="0067130E" w:rsidP="00893AD4">
            <w:pPr>
              <w:jc w:val="center"/>
              <w:rPr>
                <w:sz w:val="22"/>
              </w:rPr>
            </w:pPr>
            <w:r w:rsidRPr="00893AD4">
              <w:rPr>
                <w:sz w:val="22"/>
              </w:rPr>
              <w:t>0,125</w:t>
            </w:r>
          </w:p>
        </w:tc>
        <w:tc>
          <w:tcPr>
            <w:tcW w:w="1075" w:type="pct"/>
            <w:hideMark/>
          </w:tcPr>
          <w:p w:rsidR="0067130E" w:rsidRPr="00893AD4" w:rsidRDefault="0067130E" w:rsidP="00893AD4">
            <w:pPr>
              <w:jc w:val="center"/>
              <w:rPr>
                <w:sz w:val="22"/>
              </w:rPr>
            </w:pPr>
            <w:r w:rsidRPr="00893AD4">
              <w:rPr>
                <w:sz w:val="22"/>
              </w:rPr>
              <w:t>0,153</w:t>
            </w:r>
          </w:p>
        </w:tc>
        <w:tc>
          <w:tcPr>
            <w:tcW w:w="585" w:type="pct"/>
            <w:hideMark/>
          </w:tcPr>
          <w:p w:rsidR="0067130E" w:rsidRPr="00893AD4" w:rsidRDefault="0067130E" w:rsidP="00893AD4">
            <w:pPr>
              <w:jc w:val="center"/>
              <w:rPr>
                <w:sz w:val="22"/>
              </w:rPr>
            </w:pPr>
            <w:r w:rsidRPr="00893AD4">
              <w:rPr>
                <w:sz w:val="22"/>
              </w:rPr>
              <w:t>0,816</w:t>
            </w:r>
          </w:p>
        </w:tc>
        <w:tc>
          <w:tcPr>
            <w:tcW w:w="588" w:type="pct"/>
            <w:hideMark/>
          </w:tcPr>
          <w:p w:rsidR="0067130E" w:rsidRPr="00893AD4" w:rsidRDefault="0067130E" w:rsidP="00893AD4">
            <w:pPr>
              <w:jc w:val="center"/>
              <w:rPr>
                <w:sz w:val="22"/>
              </w:rPr>
            </w:pPr>
            <w:r w:rsidRPr="00893AD4">
              <w:rPr>
                <w:sz w:val="22"/>
              </w:rPr>
              <w:t>0,415</w:t>
            </w:r>
          </w:p>
        </w:tc>
        <w:tc>
          <w:tcPr>
            <w:tcW w:w="446" w:type="pct"/>
          </w:tcPr>
          <w:p w:rsidR="0067130E" w:rsidRPr="00893AD4" w:rsidRDefault="0067130E" w:rsidP="00893AD4">
            <w:pPr>
              <w:autoSpaceDE w:val="0"/>
              <w:autoSpaceDN w:val="0"/>
              <w:adjustRightInd w:val="0"/>
              <w:rPr>
                <w:rFonts w:cs="Times New Roman"/>
                <w:color w:val="000000"/>
                <w:sz w:val="22"/>
                <w:szCs w:val="24"/>
              </w:rPr>
            </w:pP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Altitude-Longitude</w:t>
            </w:r>
          </w:p>
        </w:tc>
        <w:tc>
          <w:tcPr>
            <w:tcW w:w="884" w:type="pct"/>
            <w:hideMark/>
          </w:tcPr>
          <w:p w:rsidR="0067130E" w:rsidRPr="00893AD4" w:rsidRDefault="0067130E" w:rsidP="00893AD4">
            <w:pPr>
              <w:jc w:val="center"/>
              <w:rPr>
                <w:sz w:val="22"/>
              </w:rPr>
            </w:pPr>
            <w:r w:rsidRPr="00893AD4">
              <w:rPr>
                <w:sz w:val="22"/>
              </w:rPr>
              <w:t>-0,052</w:t>
            </w:r>
          </w:p>
        </w:tc>
        <w:tc>
          <w:tcPr>
            <w:tcW w:w="1075" w:type="pct"/>
            <w:hideMark/>
          </w:tcPr>
          <w:p w:rsidR="0067130E" w:rsidRPr="00893AD4" w:rsidRDefault="0067130E" w:rsidP="00893AD4">
            <w:pPr>
              <w:jc w:val="center"/>
              <w:rPr>
                <w:sz w:val="22"/>
              </w:rPr>
            </w:pPr>
            <w:r w:rsidRPr="00893AD4">
              <w:rPr>
                <w:sz w:val="22"/>
              </w:rPr>
              <w:t>0,047</w:t>
            </w:r>
          </w:p>
        </w:tc>
        <w:tc>
          <w:tcPr>
            <w:tcW w:w="585" w:type="pct"/>
            <w:hideMark/>
          </w:tcPr>
          <w:p w:rsidR="0067130E" w:rsidRPr="00893AD4" w:rsidRDefault="0067130E" w:rsidP="00893AD4">
            <w:pPr>
              <w:jc w:val="center"/>
              <w:rPr>
                <w:sz w:val="22"/>
              </w:rPr>
            </w:pPr>
            <w:r w:rsidRPr="00893AD4">
              <w:rPr>
                <w:sz w:val="22"/>
              </w:rPr>
              <w:t>-1,112</w:t>
            </w:r>
          </w:p>
        </w:tc>
        <w:tc>
          <w:tcPr>
            <w:tcW w:w="588" w:type="pct"/>
            <w:hideMark/>
          </w:tcPr>
          <w:p w:rsidR="0067130E" w:rsidRPr="00893AD4" w:rsidRDefault="0067130E" w:rsidP="00893AD4">
            <w:pPr>
              <w:jc w:val="center"/>
              <w:rPr>
                <w:sz w:val="22"/>
              </w:rPr>
            </w:pPr>
            <w:r w:rsidRPr="00893AD4">
              <w:rPr>
                <w:sz w:val="22"/>
              </w:rPr>
              <w:t>0,266</w:t>
            </w:r>
          </w:p>
        </w:tc>
        <w:tc>
          <w:tcPr>
            <w:tcW w:w="446" w:type="pct"/>
          </w:tcPr>
          <w:p w:rsidR="0067130E" w:rsidRPr="00893AD4" w:rsidRDefault="0067130E" w:rsidP="00893AD4">
            <w:pPr>
              <w:autoSpaceDE w:val="0"/>
              <w:autoSpaceDN w:val="0"/>
              <w:adjustRightInd w:val="0"/>
              <w:rPr>
                <w:rFonts w:cs="Times New Roman"/>
                <w:color w:val="000000"/>
                <w:sz w:val="22"/>
                <w:szCs w:val="24"/>
              </w:rPr>
            </w:pP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Latitude</w:t>
            </w:r>
          </w:p>
        </w:tc>
        <w:tc>
          <w:tcPr>
            <w:tcW w:w="884" w:type="pct"/>
            <w:hideMark/>
          </w:tcPr>
          <w:p w:rsidR="0067130E" w:rsidRPr="00893AD4" w:rsidRDefault="0067130E" w:rsidP="00893AD4">
            <w:pPr>
              <w:jc w:val="center"/>
              <w:rPr>
                <w:sz w:val="22"/>
              </w:rPr>
            </w:pPr>
            <w:r w:rsidRPr="00893AD4">
              <w:rPr>
                <w:sz w:val="22"/>
              </w:rPr>
              <w:t>-0,033</w:t>
            </w:r>
          </w:p>
        </w:tc>
        <w:tc>
          <w:tcPr>
            <w:tcW w:w="1075" w:type="pct"/>
            <w:hideMark/>
          </w:tcPr>
          <w:p w:rsidR="0067130E" w:rsidRPr="00893AD4" w:rsidRDefault="0067130E" w:rsidP="00893AD4">
            <w:pPr>
              <w:jc w:val="center"/>
              <w:rPr>
                <w:sz w:val="22"/>
              </w:rPr>
            </w:pPr>
            <w:r w:rsidRPr="00893AD4">
              <w:rPr>
                <w:sz w:val="22"/>
              </w:rPr>
              <w:t>0,030</w:t>
            </w:r>
          </w:p>
        </w:tc>
        <w:tc>
          <w:tcPr>
            <w:tcW w:w="585" w:type="pct"/>
            <w:hideMark/>
          </w:tcPr>
          <w:p w:rsidR="0067130E" w:rsidRPr="00893AD4" w:rsidRDefault="0067130E" w:rsidP="00893AD4">
            <w:pPr>
              <w:jc w:val="center"/>
              <w:rPr>
                <w:sz w:val="22"/>
              </w:rPr>
            </w:pPr>
            <w:r w:rsidRPr="00893AD4">
              <w:rPr>
                <w:sz w:val="22"/>
              </w:rPr>
              <w:t>-1,112</w:t>
            </w:r>
          </w:p>
        </w:tc>
        <w:tc>
          <w:tcPr>
            <w:tcW w:w="588" w:type="pct"/>
            <w:hideMark/>
          </w:tcPr>
          <w:p w:rsidR="0067130E" w:rsidRPr="00893AD4" w:rsidRDefault="0067130E" w:rsidP="00893AD4">
            <w:pPr>
              <w:jc w:val="center"/>
              <w:rPr>
                <w:sz w:val="22"/>
              </w:rPr>
            </w:pPr>
            <w:r w:rsidRPr="00893AD4">
              <w:rPr>
                <w:sz w:val="22"/>
              </w:rPr>
              <w:t>0,266</w:t>
            </w:r>
          </w:p>
        </w:tc>
        <w:tc>
          <w:tcPr>
            <w:tcW w:w="446" w:type="pct"/>
          </w:tcPr>
          <w:p w:rsidR="0067130E" w:rsidRPr="00893AD4" w:rsidRDefault="0067130E" w:rsidP="00893AD4">
            <w:pPr>
              <w:autoSpaceDE w:val="0"/>
              <w:autoSpaceDN w:val="0"/>
              <w:adjustRightInd w:val="0"/>
              <w:rPr>
                <w:rFonts w:cs="Times New Roman"/>
                <w:color w:val="000000"/>
                <w:sz w:val="22"/>
                <w:szCs w:val="24"/>
              </w:rPr>
            </w:pP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Prox. Capitais</w:t>
            </w:r>
          </w:p>
        </w:tc>
        <w:tc>
          <w:tcPr>
            <w:tcW w:w="884" w:type="pct"/>
            <w:hideMark/>
          </w:tcPr>
          <w:p w:rsidR="0067130E" w:rsidRPr="00893AD4" w:rsidRDefault="0067130E" w:rsidP="00893AD4">
            <w:pPr>
              <w:jc w:val="center"/>
              <w:rPr>
                <w:sz w:val="22"/>
              </w:rPr>
            </w:pPr>
            <w:r w:rsidRPr="00893AD4">
              <w:rPr>
                <w:sz w:val="22"/>
              </w:rPr>
              <w:t>-0,003</w:t>
            </w:r>
          </w:p>
        </w:tc>
        <w:tc>
          <w:tcPr>
            <w:tcW w:w="1075" w:type="pct"/>
            <w:hideMark/>
          </w:tcPr>
          <w:p w:rsidR="0067130E" w:rsidRPr="00893AD4" w:rsidRDefault="0067130E" w:rsidP="00893AD4">
            <w:pPr>
              <w:jc w:val="center"/>
              <w:rPr>
                <w:sz w:val="22"/>
              </w:rPr>
            </w:pPr>
            <w:r w:rsidRPr="00893AD4">
              <w:rPr>
                <w:sz w:val="22"/>
              </w:rPr>
              <w:t>0,044</w:t>
            </w:r>
          </w:p>
        </w:tc>
        <w:tc>
          <w:tcPr>
            <w:tcW w:w="585" w:type="pct"/>
            <w:hideMark/>
          </w:tcPr>
          <w:p w:rsidR="0067130E" w:rsidRPr="00893AD4" w:rsidRDefault="0067130E" w:rsidP="00893AD4">
            <w:pPr>
              <w:jc w:val="center"/>
              <w:rPr>
                <w:sz w:val="22"/>
              </w:rPr>
            </w:pPr>
            <w:r w:rsidRPr="00893AD4">
              <w:rPr>
                <w:sz w:val="22"/>
              </w:rPr>
              <w:t>-0,065</w:t>
            </w:r>
          </w:p>
        </w:tc>
        <w:tc>
          <w:tcPr>
            <w:tcW w:w="588" w:type="pct"/>
            <w:hideMark/>
          </w:tcPr>
          <w:p w:rsidR="0067130E" w:rsidRPr="00893AD4" w:rsidRDefault="0067130E" w:rsidP="00893AD4">
            <w:pPr>
              <w:jc w:val="center"/>
              <w:rPr>
                <w:sz w:val="22"/>
              </w:rPr>
            </w:pPr>
            <w:r w:rsidRPr="00893AD4">
              <w:rPr>
                <w:sz w:val="22"/>
              </w:rPr>
              <w:t>0,948</w:t>
            </w:r>
          </w:p>
        </w:tc>
        <w:tc>
          <w:tcPr>
            <w:tcW w:w="446" w:type="pct"/>
          </w:tcPr>
          <w:p w:rsidR="0067130E" w:rsidRPr="00893AD4" w:rsidRDefault="0067130E" w:rsidP="00893AD4">
            <w:pPr>
              <w:autoSpaceDE w:val="0"/>
              <w:autoSpaceDN w:val="0"/>
              <w:adjustRightInd w:val="0"/>
              <w:rPr>
                <w:rFonts w:cs="Times New Roman"/>
                <w:color w:val="000000"/>
                <w:sz w:val="22"/>
                <w:szCs w:val="24"/>
              </w:rPr>
            </w:pPr>
          </w:p>
        </w:tc>
      </w:tr>
      <w:tr w:rsidR="00BB5942" w:rsidRPr="00352732" w:rsidTr="00F87036">
        <w:trPr>
          <w:trHeight w:val="227"/>
        </w:trPr>
        <w:tc>
          <w:tcPr>
            <w:tcW w:w="1422" w:type="pct"/>
            <w:hideMark/>
          </w:tcPr>
          <w:p w:rsidR="00BB5942" w:rsidRPr="00893AD4" w:rsidRDefault="00BB5942" w:rsidP="00893AD4">
            <w:pPr>
              <w:rPr>
                <w:color w:val="000000"/>
                <w:sz w:val="22"/>
                <w:szCs w:val="24"/>
                <w:lang w:eastAsia="en-CA"/>
              </w:rPr>
            </w:pPr>
            <w:r w:rsidRPr="00893AD4">
              <w:rPr>
                <w:color w:val="000000"/>
                <w:sz w:val="22"/>
                <w:szCs w:val="24"/>
                <w:lang w:eastAsia="en-CA"/>
              </w:rPr>
              <w:t xml:space="preserve">Imp. PEA urb. </w:t>
            </w:r>
            <w:r w:rsidR="007417E1" w:rsidRPr="00893AD4">
              <w:rPr>
                <w:color w:val="000000"/>
                <w:sz w:val="22"/>
                <w:szCs w:val="24"/>
                <w:lang w:eastAsia="en-CA"/>
              </w:rPr>
              <w:t>E</w:t>
            </w:r>
            <w:r w:rsidRPr="00893AD4">
              <w:rPr>
                <w:color w:val="000000"/>
                <w:sz w:val="22"/>
                <w:szCs w:val="24"/>
                <w:lang w:eastAsia="en-CA"/>
              </w:rPr>
              <w:t>mprego</w:t>
            </w:r>
          </w:p>
        </w:tc>
        <w:tc>
          <w:tcPr>
            <w:tcW w:w="884" w:type="pct"/>
            <w:hideMark/>
          </w:tcPr>
          <w:p w:rsidR="00BB5942" w:rsidRPr="00893AD4" w:rsidRDefault="00BB5942" w:rsidP="00893AD4">
            <w:pPr>
              <w:jc w:val="center"/>
              <w:rPr>
                <w:sz w:val="22"/>
              </w:rPr>
            </w:pPr>
            <w:r w:rsidRPr="00893AD4">
              <w:rPr>
                <w:sz w:val="22"/>
              </w:rPr>
              <w:t>-0,242</w:t>
            </w:r>
          </w:p>
        </w:tc>
        <w:tc>
          <w:tcPr>
            <w:tcW w:w="1075" w:type="pct"/>
            <w:hideMark/>
          </w:tcPr>
          <w:p w:rsidR="00BB5942" w:rsidRPr="00893AD4" w:rsidRDefault="00BB5942" w:rsidP="00893AD4">
            <w:pPr>
              <w:jc w:val="center"/>
              <w:rPr>
                <w:sz w:val="22"/>
              </w:rPr>
            </w:pPr>
            <w:r w:rsidRPr="00893AD4">
              <w:rPr>
                <w:sz w:val="22"/>
              </w:rPr>
              <w:t>0,043</w:t>
            </w:r>
          </w:p>
        </w:tc>
        <w:tc>
          <w:tcPr>
            <w:tcW w:w="585" w:type="pct"/>
            <w:hideMark/>
          </w:tcPr>
          <w:p w:rsidR="00BB5942" w:rsidRPr="00893AD4" w:rsidRDefault="00BB5942" w:rsidP="00893AD4">
            <w:pPr>
              <w:jc w:val="center"/>
              <w:rPr>
                <w:sz w:val="22"/>
              </w:rPr>
            </w:pPr>
            <w:r w:rsidRPr="00893AD4">
              <w:rPr>
                <w:sz w:val="22"/>
              </w:rPr>
              <w:t>-5,575</w:t>
            </w:r>
          </w:p>
        </w:tc>
        <w:tc>
          <w:tcPr>
            <w:tcW w:w="588" w:type="pct"/>
            <w:hideMark/>
          </w:tcPr>
          <w:p w:rsidR="00BB5942" w:rsidRPr="00893AD4" w:rsidRDefault="00BB5942" w:rsidP="00893AD4">
            <w:pPr>
              <w:jc w:val="center"/>
              <w:rPr>
                <w:sz w:val="22"/>
              </w:rPr>
            </w:pPr>
            <w:r w:rsidRPr="00893AD4">
              <w:rPr>
                <w:sz w:val="22"/>
              </w:rPr>
              <w:t>0,000</w:t>
            </w:r>
          </w:p>
        </w:tc>
        <w:tc>
          <w:tcPr>
            <w:tcW w:w="446" w:type="pct"/>
          </w:tcPr>
          <w:p w:rsidR="00BB5942" w:rsidRPr="00893AD4" w:rsidRDefault="00BB5942"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BB5942" w:rsidRPr="00352732" w:rsidTr="00F87036">
        <w:trPr>
          <w:trHeight w:val="227"/>
        </w:trPr>
        <w:tc>
          <w:tcPr>
            <w:tcW w:w="1422" w:type="pct"/>
            <w:hideMark/>
          </w:tcPr>
          <w:p w:rsidR="00BB5942" w:rsidRPr="00893AD4" w:rsidRDefault="00BB5942" w:rsidP="00893AD4">
            <w:pPr>
              <w:rPr>
                <w:color w:val="000000"/>
                <w:sz w:val="22"/>
                <w:szCs w:val="24"/>
                <w:lang w:eastAsia="en-CA"/>
              </w:rPr>
            </w:pPr>
            <w:r w:rsidRPr="00893AD4">
              <w:rPr>
                <w:color w:val="000000"/>
                <w:sz w:val="22"/>
                <w:szCs w:val="24"/>
                <w:lang w:eastAsia="en-CA"/>
              </w:rPr>
              <w:t>Imp. PEA rur. Emprego</w:t>
            </w:r>
          </w:p>
        </w:tc>
        <w:tc>
          <w:tcPr>
            <w:tcW w:w="884" w:type="pct"/>
            <w:hideMark/>
          </w:tcPr>
          <w:p w:rsidR="00BB5942" w:rsidRPr="00893AD4" w:rsidRDefault="00BB5942" w:rsidP="00893AD4">
            <w:pPr>
              <w:jc w:val="center"/>
              <w:rPr>
                <w:sz w:val="22"/>
              </w:rPr>
            </w:pPr>
            <w:r w:rsidRPr="00893AD4">
              <w:rPr>
                <w:sz w:val="22"/>
              </w:rPr>
              <w:t>0,480</w:t>
            </w:r>
          </w:p>
        </w:tc>
        <w:tc>
          <w:tcPr>
            <w:tcW w:w="1075" w:type="pct"/>
            <w:hideMark/>
          </w:tcPr>
          <w:p w:rsidR="00BB5942" w:rsidRPr="00893AD4" w:rsidRDefault="00BB5942" w:rsidP="00893AD4">
            <w:pPr>
              <w:jc w:val="center"/>
              <w:rPr>
                <w:sz w:val="22"/>
              </w:rPr>
            </w:pPr>
            <w:r w:rsidRPr="00893AD4">
              <w:rPr>
                <w:sz w:val="22"/>
              </w:rPr>
              <w:t>0,042</w:t>
            </w:r>
          </w:p>
        </w:tc>
        <w:tc>
          <w:tcPr>
            <w:tcW w:w="585" w:type="pct"/>
            <w:hideMark/>
          </w:tcPr>
          <w:p w:rsidR="00BB5942" w:rsidRPr="00893AD4" w:rsidRDefault="00BB5942" w:rsidP="00893AD4">
            <w:pPr>
              <w:jc w:val="center"/>
              <w:rPr>
                <w:sz w:val="22"/>
              </w:rPr>
            </w:pPr>
            <w:r w:rsidRPr="00893AD4">
              <w:rPr>
                <w:sz w:val="22"/>
              </w:rPr>
              <w:t>11,476</w:t>
            </w:r>
          </w:p>
        </w:tc>
        <w:tc>
          <w:tcPr>
            <w:tcW w:w="588" w:type="pct"/>
            <w:hideMark/>
          </w:tcPr>
          <w:p w:rsidR="00BB5942" w:rsidRPr="00893AD4" w:rsidRDefault="00BB5942" w:rsidP="00893AD4">
            <w:pPr>
              <w:jc w:val="center"/>
              <w:rPr>
                <w:sz w:val="22"/>
              </w:rPr>
            </w:pPr>
            <w:r w:rsidRPr="00893AD4">
              <w:rPr>
                <w:sz w:val="22"/>
              </w:rPr>
              <w:t>0,000</w:t>
            </w:r>
          </w:p>
        </w:tc>
        <w:tc>
          <w:tcPr>
            <w:tcW w:w="446" w:type="pct"/>
          </w:tcPr>
          <w:p w:rsidR="00BB5942" w:rsidRPr="00893AD4" w:rsidRDefault="00BB5942"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IDH-Educação</w:t>
            </w:r>
          </w:p>
        </w:tc>
        <w:tc>
          <w:tcPr>
            <w:tcW w:w="884" w:type="pct"/>
            <w:hideMark/>
          </w:tcPr>
          <w:p w:rsidR="0067130E" w:rsidRPr="00893AD4" w:rsidRDefault="0067130E" w:rsidP="00893AD4">
            <w:pPr>
              <w:jc w:val="center"/>
              <w:rPr>
                <w:sz w:val="22"/>
              </w:rPr>
            </w:pPr>
            <w:r w:rsidRPr="00893AD4">
              <w:rPr>
                <w:sz w:val="22"/>
              </w:rPr>
              <w:t>0,242</w:t>
            </w:r>
          </w:p>
        </w:tc>
        <w:tc>
          <w:tcPr>
            <w:tcW w:w="1075" w:type="pct"/>
            <w:hideMark/>
          </w:tcPr>
          <w:p w:rsidR="0067130E" w:rsidRPr="00893AD4" w:rsidRDefault="0067130E" w:rsidP="00893AD4">
            <w:pPr>
              <w:jc w:val="center"/>
              <w:rPr>
                <w:sz w:val="22"/>
              </w:rPr>
            </w:pPr>
            <w:r w:rsidRPr="00893AD4">
              <w:rPr>
                <w:sz w:val="22"/>
              </w:rPr>
              <w:t>0,091</w:t>
            </w:r>
          </w:p>
        </w:tc>
        <w:tc>
          <w:tcPr>
            <w:tcW w:w="585" w:type="pct"/>
            <w:hideMark/>
          </w:tcPr>
          <w:p w:rsidR="0067130E" w:rsidRPr="00893AD4" w:rsidRDefault="0067130E" w:rsidP="00893AD4">
            <w:pPr>
              <w:jc w:val="center"/>
              <w:rPr>
                <w:sz w:val="22"/>
              </w:rPr>
            </w:pPr>
            <w:r w:rsidRPr="00893AD4">
              <w:rPr>
                <w:sz w:val="22"/>
              </w:rPr>
              <w:t>2,658</w:t>
            </w:r>
          </w:p>
        </w:tc>
        <w:tc>
          <w:tcPr>
            <w:tcW w:w="588" w:type="pct"/>
            <w:hideMark/>
          </w:tcPr>
          <w:p w:rsidR="0067130E" w:rsidRPr="00893AD4" w:rsidRDefault="0067130E" w:rsidP="00893AD4">
            <w:pPr>
              <w:jc w:val="center"/>
              <w:rPr>
                <w:sz w:val="22"/>
              </w:rPr>
            </w:pPr>
            <w:r w:rsidRPr="00893AD4">
              <w:rPr>
                <w:sz w:val="22"/>
              </w:rPr>
              <w:t>0,008</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IDH-Longevidade</w:t>
            </w:r>
          </w:p>
        </w:tc>
        <w:tc>
          <w:tcPr>
            <w:tcW w:w="884" w:type="pct"/>
            <w:hideMark/>
          </w:tcPr>
          <w:p w:rsidR="0067130E" w:rsidRPr="00893AD4" w:rsidRDefault="0067130E" w:rsidP="00893AD4">
            <w:pPr>
              <w:jc w:val="center"/>
              <w:rPr>
                <w:sz w:val="22"/>
              </w:rPr>
            </w:pPr>
            <w:r w:rsidRPr="00893AD4">
              <w:rPr>
                <w:sz w:val="22"/>
              </w:rPr>
              <w:t>-0,380</w:t>
            </w:r>
          </w:p>
        </w:tc>
        <w:tc>
          <w:tcPr>
            <w:tcW w:w="1075" w:type="pct"/>
            <w:hideMark/>
          </w:tcPr>
          <w:p w:rsidR="0067130E" w:rsidRPr="00893AD4" w:rsidRDefault="0067130E" w:rsidP="00893AD4">
            <w:pPr>
              <w:jc w:val="center"/>
              <w:rPr>
                <w:sz w:val="22"/>
              </w:rPr>
            </w:pPr>
            <w:r w:rsidRPr="00893AD4">
              <w:rPr>
                <w:sz w:val="22"/>
              </w:rPr>
              <w:t>0,180</w:t>
            </w:r>
          </w:p>
        </w:tc>
        <w:tc>
          <w:tcPr>
            <w:tcW w:w="585" w:type="pct"/>
            <w:hideMark/>
          </w:tcPr>
          <w:p w:rsidR="0067130E" w:rsidRPr="00893AD4" w:rsidRDefault="0067130E" w:rsidP="00893AD4">
            <w:pPr>
              <w:jc w:val="center"/>
              <w:rPr>
                <w:sz w:val="22"/>
              </w:rPr>
            </w:pPr>
            <w:r w:rsidRPr="00893AD4">
              <w:rPr>
                <w:sz w:val="22"/>
              </w:rPr>
              <w:t>-2,111</w:t>
            </w:r>
          </w:p>
        </w:tc>
        <w:tc>
          <w:tcPr>
            <w:tcW w:w="588" w:type="pct"/>
            <w:hideMark/>
          </w:tcPr>
          <w:p w:rsidR="0067130E" w:rsidRPr="00893AD4" w:rsidRDefault="0067130E" w:rsidP="00893AD4">
            <w:pPr>
              <w:jc w:val="center"/>
              <w:rPr>
                <w:sz w:val="22"/>
              </w:rPr>
            </w:pPr>
            <w:r w:rsidRPr="00893AD4">
              <w:rPr>
                <w:sz w:val="22"/>
              </w:rPr>
              <w:t>0,035</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IDH-Renda</w:t>
            </w:r>
          </w:p>
        </w:tc>
        <w:tc>
          <w:tcPr>
            <w:tcW w:w="884" w:type="pct"/>
            <w:hideMark/>
          </w:tcPr>
          <w:p w:rsidR="0067130E" w:rsidRPr="00893AD4" w:rsidRDefault="0067130E" w:rsidP="00893AD4">
            <w:pPr>
              <w:jc w:val="center"/>
              <w:rPr>
                <w:sz w:val="22"/>
              </w:rPr>
            </w:pPr>
            <w:r w:rsidRPr="00893AD4">
              <w:rPr>
                <w:sz w:val="22"/>
              </w:rPr>
              <w:t>-0,304</w:t>
            </w:r>
          </w:p>
        </w:tc>
        <w:tc>
          <w:tcPr>
            <w:tcW w:w="1075" w:type="pct"/>
            <w:hideMark/>
          </w:tcPr>
          <w:p w:rsidR="0067130E" w:rsidRPr="00893AD4" w:rsidRDefault="0067130E" w:rsidP="00893AD4">
            <w:pPr>
              <w:jc w:val="center"/>
              <w:rPr>
                <w:sz w:val="22"/>
              </w:rPr>
            </w:pPr>
            <w:r w:rsidRPr="00893AD4">
              <w:rPr>
                <w:sz w:val="22"/>
              </w:rPr>
              <w:t>0,062</w:t>
            </w:r>
          </w:p>
        </w:tc>
        <w:tc>
          <w:tcPr>
            <w:tcW w:w="585" w:type="pct"/>
            <w:hideMark/>
          </w:tcPr>
          <w:p w:rsidR="0067130E" w:rsidRPr="00893AD4" w:rsidRDefault="0067130E" w:rsidP="00893AD4">
            <w:pPr>
              <w:jc w:val="center"/>
              <w:rPr>
                <w:sz w:val="22"/>
              </w:rPr>
            </w:pPr>
            <w:r w:rsidRPr="00893AD4">
              <w:rPr>
                <w:sz w:val="22"/>
              </w:rPr>
              <w:t>-4,901</w:t>
            </w:r>
          </w:p>
        </w:tc>
        <w:tc>
          <w:tcPr>
            <w:tcW w:w="588" w:type="pct"/>
            <w:hideMark/>
          </w:tcPr>
          <w:p w:rsidR="0067130E" w:rsidRPr="00893AD4" w:rsidRDefault="0067130E" w:rsidP="00893AD4">
            <w:pPr>
              <w:jc w:val="center"/>
              <w:rPr>
                <w:sz w:val="22"/>
              </w:rPr>
            </w:pPr>
            <w:r w:rsidRPr="00893AD4">
              <w:rPr>
                <w:sz w:val="22"/>
              </w:rPr>
              <w:t>0,000</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Salário rural</w:t>
            </w:r>
          </w:p>
        </w:tc>
        <w:tc>
          <w:tcPr>
            <w:tcW w:w="884" w:type="pct"/>
            <w:hideMark/>
          </w:tcPr>
          <w:p w:rsidR="0067130E" w:rsidRPr="00893AD4" w:rsidRDefault="0067130E" w:rsidP="00893AD4">
            <w:pPr>
              <w:jc w:val="center"/>
              <w:rPr>
                <w:sz w:val="22"/>
              </w:rPr>
            </w:pPr>
            <w:r w:rsidRPr="00893AD4">
              <w:rPr>
                <w:sz w:val="22"/>
              </w:rPr>
              <w:t>0,429</w:t>
            </w:r>
          </w:p>
        </w:tc>
        <w:tc>
          <w:tcPr>
            <w:tcW w:w="1075" w:type="pct"/>
            <w:hideMark/>
          </w:tcPr>
          <w:p w:rsidR="0067130E" w:rsidRPr="00893AD4" w:rsidRDefault="0067130E" w:rsidP="00893AD4">
            <w:pPr>
              <w:jc w:val="center"/>
              <w:rPr>
                <w:sz w:val="22"/>
              </w:rPr>
            </w:pPr>
            <w:r w:rsidRPr="00893AD4">
              <w:rPr>
                <w:sz w:val="22"/>
              </w:rPr>
              <w:t>0,031</w:t>
            </w:r>
          </w:p>
        </w:tc>
        <w:tc>
          <w:tcPr>
            <w:tcW w:w="585" w:type="pct"/>
            <w:hideMark/>
          </w:tcPr>
          <w:p w:rsidR="0067130E" w:rsidRPr="00893AD4" w:rsidRDefault="0067130E" w:rsidP="00893AD4">
            <w:pPr>
              <w:jc w:val="center"/>
              <w:rPr>
                <w:sz w:val="22"/>
              </w:rPr>
            </w:pPr>
            <w:r w:rsidRPr="00893AD4">
              <w:rPr>
                <w:sz w:val="22"/>
              </w:rPr>
              <w:t>13,989</w:t>
            </w:r>
          </w:p>
        </w:tc>
        <w:tc>
          <w:tcPr>
            <w:tcW w:w="588" w:type="pct"/>
            <w:hideMark/>
          </w:tcPr>
          <w:p w:rsidR="0067130E" w:rsidRPr="00893AD4" w:rsidRDefault="0067130E" w:rsidP="00893AD4">
            <w:pPr>
              <w:jc w:val="center"/>
              <w:rPr>
                <w:sz w:val="22"/>
              </w:rPr>
            </w:pPr>
            <w:r w:rsidRPr="00893AD4">
              <w:rPr>
                <w:sz w:val="22"/>
              </w:rPr>
              <w:t>0,000</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67130E" w:rsidP="00893AD4">
            <w:pPr>
              <w:rPr>
                <w:color w:val="000000"/>
                <w:sz w:val="22"/>
                <w:szCs w:val="24"/>
                <w:lang w:eastAsia="en-CA"/>
              </w:rPr>
            </w:pPr>
            <w:r w:rsidRPr="00893AD4">
              <w:rPr>
                <w:color w:val="000000"/>
                <w:sz w:val="22"/>
                <w:szCs w:val="24"/>
                <w:lang w:eastAsia="en-CA"/>
              </w:rPr>
              <w:t>PM (Acessibilidade)</w:t>
            </w:r>
          </w:p>
        </w:tc>
        <w:tc>
          <w:tcPr>
            <w:tcW w:w="884" w:type="pct"/>
            <w:hideMark/>
          </w:tcPr>
          <w:p w:rsidR="0067130E" w:rsidRPr="00893AD4" w:rsidRDefault="0067130E" w:rsidP="00893AD4">
            <w:pPr>
              <w:jc w:val="center"/>
              <w:rPr>
                <w:sz w:val="22"/>
              </w:rPr>
            </w:pPr>
            <w:r w:rsidRPr="00893AD4">
              <w:rPr>
                <w:sz w:val="22"/>
              </w:rPr>
              <w:t>-0,749</w:t>
            </w:r>
          </w:p>
        </w:tc>
        <w:tc>
          <w:tcPr>
            <w:tcW w:w="1075" w:type="pct"/>
            <w:hideMark/>
          </w:tcPr>
          <w:p w:rsidR="0067130E" w:rsidRPr="00893AD4" w:rsidRDefault="0067130E" w:rsidP="00893AD4">
            <w:pPr>
              <w:jc w:val="center"/>
              <w:rPr>
                <w:sz w:val="22"/>
              </w:rPr>
            </w:pPr>
            <w:r w:rsidRPr="00893AD4">
              <w:rPr>
                <w:sz w:val="22"/>
              </w:rPr>
              <w:t>0,118</w:t>
            </w:r>
          </w:p>
        </w:tc>
        <w:tc>
          <w:tcPr>
            <w:tcW w:w="585" w:type="pct"/>
            <w:hideMark/>
          </w:tcPr>
          <w:p w:rsidR="0067130E" w:rsidRPr="00893AD4" w:rsidRDefault="0067130E" w:rsidP="00893AD4">
            <w:pPr>
              <w:jc w:val="center"/>
              <w:rPr>
                <w:sz w:val="22"/>
              </w:rPr>
            </w:pPr>
            <w:r w:rsidRPr="00893AD4">
              <w:rPr>
                <w:sz w:val="22"/>
              </w:rPr>
              <w:t>-6,339</w:t>
            </w:r>
          </w:p>
        </w:tc>
        <w:tc>
          <w:tcPr>
            <w:tcW w:w="588" w:type="pct"/>
            <w:hideMark/>
          </w:tcPr>
          <w:p w:rsidR="0067130E" w:rsidRPr="00893AD4" w:rsidRDefault="0067130E" w:rsidP="00893AD4">
            <w:pPr>
              <w:jc w:val="center"/>
              <w:rPr>
                <w:sz w:val="22"/>
              </w:rPr>
            </w:pPr>
            <w:r w:rsidRPr="00893AD4">
              <w:rPr>
                <w:sz w:val="22"/>
              </w:rPr>
              <w:t>0,000</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r w:rsidR="0067130E" w:rsidRPr="00352732" w:rsidTr="00F87036">
        <w:trPr>
          <w:trHeight w:val="227"/>
        </w:trPr>
        <w:tc>
          <w:tcPr>
            <w:tcW w:w="1422" w:type="pct"/>
            <w:hideMark/>
          </w:tcPr>
          <w:p w:rsidR="0067130E" w:rsidRPr="00893AD4" w:rsidRDefault="00406DD6" w:rsidP="00893AD4">
            <w:pPr>
              <w:rPr>
                <w:color w:val="000000"/>
                <w:sz w:val="22"/>
                <w:szCs w:val="24"/>
                <w:lang w:eastAsia="en-CA"/>
              </w:rPr>
            </w:pPr>
            <w:r w:rsidRPr="00893AD4">
              <w:rPr>
                <w:color w:val="000000"/>
                <w:sz w:val="22"/>
                <w:szCs w:val="24"/>
                <w:lang w:eastAsia="en-CA"/>
              </w:rPr>
              <w:t>Iteração</w:t>
            </w:r>
          </w:p>
        </w:tc>
        <w:tc>
          <w:tcPr>
            <w:tcW w:w="884" w:type="pct"/>
            <w:hideMark/>
          </w:tcPr>
          <w:p w:rsidR="0067130E" w:rsidRPr="00893AD4" w:rsidRDefault="0067130E" w:rsidP="00893AD4">
            <w:pPr>
              <w:jc w:val="center"/>
              <w:rPr>
                <w:sz w:val="22"/>
              </w:rPr>
            </w:pPr>
            <w:r w:rsidRPr="00893AD4">
              <w:rPr>
                <w:sz w:val="22"/>
              </w:rPr>
              <w:t>0,598</w:t>
            </w:r>
          </w:p>
        </w:tc>
        <w:tc>
          <w:tcPr>
            <w:tcW w:w="1075" w:type="pct"/>
            <w:hideMark/>
          </w:tcPr>
          <w:p w:rsidR="0067130E" w:rsidRPr="00893AD4" w:rsidRDefault="0067130E" w:rsidP="00893AD4">
            <w:pPr>
              <w:jc w:val="center"/>
              <w:rPr>
                <w:sz w:val="22"/>
              </w:rPr>
            </w:pPr>
            <w:r w:rsidRPr="00893AD4">
              <w:rPr>
                <w:sz w:val="22"/>
              </w:rPr>
              <w:t>0,073</w:t>
            </w:r>
          </w:p>
        </w:tc>
        <w:tc>
          <w:tcPr>
            <w:tcW w:w="585" w:type="pct"/>
            <w:hideMark/>
          </w:tcPr>
          <w:p w:rsidR="0067130E" w:rsidRPr="00893AD4" w:rsidRDefault="0067130E" w:rsidP="00893AD4">
            <w:pPr>
              <w:jc w:val="center"/>
              <w:rPr>
                <w:sz w:val="22"/>
              </w:rPr>
            </w:pPr>
            <w:r w:rsidRPr="00893AD4">
              <w:rPr>
                <w:sz w:val="22"/>
              </w:rPr>
              <w:t>8,178</w:t>
            </w:r>
          </w:p>
        </w:tc>
        <w:tc>
          <w:tcPr>
            <w:tcW w:w="588" w:type="pct"/>
            <w:hideMark/>
          </w:tcPr>
          <w:p w:rsidR="0067130E" w:rsidRPr="00893AD4" w:rsidRDefault="0067130E" w:rsidP="00893AD4">
            <w:pPr>
              <w:jc w:val="center"/>
              <w:rPr>
                <w:sz w:val="22"/>
              </w:rPr>
            </w:pPr>
            <w:r w:rsidRPr="00893AD4">
              <w:rPr>
                <w:sz w:val="22"/>
              </w:rPr>
              <w:t>0,000</w:t>
            </w:r>
          </w:p>
        </w:tc>
        <w:tc>
          <w:tcPr>
            <w:tcW w:w="446" w:type="pct"/>
          </w:tcPr>
          <w:p w:rsidR="0067130E" w:rsidRPr="00893AD4" w:rsidRDefault="0067130E" w:rsidP="00893AD4">
            <w:pPr>
              <w:autoSpaceDE w:val="0"/>
              <w:autoSpaceDN w:val="0"/>
              <w:adjustRightInd w:val="0"/>
              <w:rPr>
                <w:rFonts w:cs="Times New Roman"/>
                <w:color w:val="000000"/>
                <w:sz w:val="22"/>
                <w:szCs w:val="24"/>
              </w:rPr>
            </w:pPr>
            <w:r w:rsidRPr="00893AD4">
              <w:rPr>
                <w:rFonts w:cs="Times New Roman"/>
                <w:color w:val="000000"/>
                <w:sz w:val="22"/>
                <w:szCs w:val="24"/>
              </w:rPr>
              <w:t>***</w:t>
            </w:r>
          </w:p>
        </w:tc>
      </w:tr>
    </w:tbl>
    <w:p w:rsidR="00EF6018" w:rsidRDefault="00EF6018" w:rsidP="0044066C">
      <w:pPr>
        <w:pStyle w:val="TEXTO1"/>
        <w:spacing w:line="240" w:lineRule="auto"/>
        <w:rPr>
          <w:sz w:val="20"/>
          <w:szCs w:val="24"/>
        </w:rPr>
      </w:pPr>
      <w:r w:rsidRPr="006D3E59">
        <w:rPr>
          <w:sz w:val="20"/>
          <w:szCs w:val="24"/>
        </w:rPr>
        <w:t>Fonte: Elabora</w:t>
      </w:r>
      <w:r w:rsidR="00A92DE6">
        <w:rPr>
          <w:sz w:val="20"/>
          <w:szCs w:val="24"/>
        </w:rPr>
        <w:t>da</w:t>
      </w:r>
      <w:r w:rsidRPr="006D3E59">
        <w:rPr>
          <w:sz w:val="20"/>
          <w:szCs w:val="24"/>
        </w:rPr>
        <w:t xml:space="preserve"> com base nos dados da pesquisa</w:t>
      </w:r>
      <w:r>
        <w:rPr>
          <w:sz w:val="20"/>
          <w:szCs w:val="24"/>
        </w:rPr>
        <w:t xml:space="preserve"> e programa SpaceStat.</w:t>
      </w:r>
    </w:p>
    <w:p w:rsidR="00EF6018" w:rsidRDefault="00EF6018" w:rsidP="0044066C">
      <w:pPr>
        <w:pStyle w:val="TEXTO1"/>
        <w:spacing w:after="200" w:line="240" w:lineRule="auto"/>
        <w:rPr>
          <w:sz w:val="20"/>
          <w:szCs w:val="24"/>
        </w:rPr>
      </w:pPr>
      <w:r>
        <w:rPr>
          <w:sz w:val="20"/>
          <w:szCs w:val="24"/>
        </w:rPr>
        <w:t>Notas: *** significativo a 1%; ** significativo a 5%; *significativo a 10%.</w:t>
      </w:r>
    </w:p>
    <w:p w:rsidR="00257E1C" w:rsidRDefault="008B470D" w:rsidP="00AF46A0">
      <w:pPr>
        <w:pStyle w:val="TEXTO1"/>
        <w:spacing w:line="240" w:lineRule="auto"/>
        <w:ind w:firstLine="425"/>
        <w:rPr>
          <w:szCs w:val="24"/>
        </w:rPr>
      </w:pPr>
      <w:bookmarkStart w:id="57" w:name="tabela20"/>
      <w:r>
        <w:rPr>
          <w:szCs w:val="24"/>
        </w:rPr>
        <w:t xml:space="preserve">Os testes indicaram que o método adequado para estimar o modelo com população urbana é com erro espacial. </w:t>
      </w:r>
      <w:r w:rsidRPr="003928F9">
        <w:rPr>
          <w:szCs w:val="24"/>
        </w:rPr>
        <w:t xml:space="preserve">A Tabela </w:t>
      </w:r>
      <w:r w:rsidRPr="003928F9">
        <w:rPr>
          <w:noProof/>
          <w:szCs w:val="24"/>
        </w:rPr>
        <w:t>2</w:t>
      </w:r>
      <w:r w:rsidRPr="003928F9">
        <w:rPr>
          <w:szCs w:val="24"/>
        </w:rPr>
        <w:t xml:space="preserve"> apresenta os resultados</w:t>
      </w:r>
      <w:r>
        <w:rPr>
          <w:szCs w:val="24"/>
        </w:rPr>
        <w:t xml:space="preserve">. </w:t>
      </w:r>
      <w:r w:rsidRPr="003928F9">
        <w:rPr>
          <w:szCs w:val="24"/>
        </w:rPr>
        <w:t>Tal como ocorreu na regressão para explicar as taxas de crescimento da população rural, as variáveis de primeira natureza não se mostraram de grande impacto para explicar as aglomerações</w:t>
      </w:r>
      <w:r>
        <w:rPr>
          <w:szCs w:val="24"/>
        </w:rPr>
        <w:t xml:space="preserve"> urbanas</w:t>
      </w:r>
      <w:r w:rsidR="00852900">
        <w:rPr>
          <w:szCs w:val="24"/>
        </w:rPr>
        <w:t xml:space="preserve">. </w:t>
      </w:r>
      <w:r w:rsidR="00257E1C" w:rsidRPr="003928F9">
        <w:rPr>
          <w:szCs w:val="24"/>
        </w:rPr>
        <w:t xml:space="preserve"> </w:t>
      </w:r>
    </w:p>
    <w:p w:rsidR="008B470D" w:rsidRDefault="008B470D" w:rsidP="00AF46A0">
      <w:pPr>
        <w:pStyle w:val="TEXTO1"/>
        <w:spacing w:line="240" w:lineRule="auto"/>
        <w:ind w:firstLine="425"/>
        <w:rPr>
          <w:szCs w:val="24"/>
        </w:rPr>
      </w:pPr>
    </w:p>
    <w:p w:rsidR="008B470D" w:rsidRPr="003928F9" w:rsidRDefault="008B470D" w:rsidP="00AF46A0">
      <w:pPr>
        <w:pStyle w:val="TEXTO1"/>
        <w:spacing w:line="240" w:lineRule="auto"/>
        <w:ind w:firstLine="425"/>
        <w:rPr>
          <w:szCs w:val="24"/>
        </w:rPr>
      </w:pPr>
    </w:p>
    <w:p w:rsidR="00AF1DB0" w:rsidRPr="00D76F93" w:rsidRDefault="002D1326" w:rsidP="0044066C">
      <w:pPr>
        <w:pStyle w:val="Legenda"/>
        <w:spacing w:before="240"/>
        <w:ind w:left="1134" w:hanging="1134"/>
        <w:rPr>
          <w:rFonts w:ascii="Times New Roman" w:hAnsi="Times New Roman" w:cs="Times New Roman"/>
          <w:b w:val="0"/>
          <w:color w:val="auto"/>
          <w:sz w:val="24"/>
          <w:szCs w:val="24"/>
        </w:rPr>
      </w:pPr>
      <w:bookmarkStart w:id="58" w:name="_Ref275601304"/>
      <w:bookmarkStart w:id="59" w:name="_Toc282373886"/>
      <w:r w:rsidRPr="00D76F93">
        <w:rPr>
          <w:rFonts w:ascii="Times New Roman" w:hAnsi="Times New Roman" w:cs="Times New Roman"/>
          <w:b w:val="0"/>
          <w:color w:val="auto"/>
          <w:sz w:val="24"/>
          <w:szCs w:val="24"/>
        </w:rPr>
        <w:lastRenderedPageBreak/>
        <w:t xml:space="preserve">Tabela </w:t>
      </w:r>
      <w:r w:rsidR="001D25FA" w:rsidRPr="00D76F93">
        <w:rPr>
          <w:rFonts w:ascii="Times New Roman" w:hAnsi="Times New Roman" w:cs="Times New Roman"/>
          <w:b w:val="0"/>
          <w:noProof/>
          <w:color w:val="auto"/>
          <w:sz w:val="24"/>
          <w:szCs w:val="24"/>
        </w:rPr>
        <w:t>2</w:t>
      </w:r>
      <w:bookmarkEnd w:id="57"/>
      <w:bookmarkEnd w:id="58"/>
      <w:r w:rsidR="009E6899" w:rsidRPr="00D76F93">
        <w:rPr>
          <w:rFonts w:ascii="Times New Roman" w:hAnsi="Times New Roman" w:cs="Times New Roman"/>
          <w:b w:val="0"/>
          <w:color w:val="auto"/>
          <w:sz w:val="24"/>
          <w:szCs w:val="24"/>
        </w:rPr>
        <w:t xml:space="preserve"> -</w:t>
      </w:r>
      <w:r w:rsidRPr="00D76F93">
        <w:rPr>
          <w:rFonts w:ascii="Times New Roman" w:hAnsi="Times New Roman" w:cs="Times New Roman"/>
          <w:b w:val="0"/>
          <w:color w:val="auto"/>
          <w:sz w:val="24"/>
          <w:szCs w:val="24"/>
        </w:rPr>
        <w:t xml:space="preserve"> Estimação </w:t>
      </w:r>
      <w:r w:rsidR="00606F21" w:rsidRPr="00D76F93">
        <w:rPr>
          <w:rFonts w:ascii="Times New Roman" w:hAnsi="Times New Roman" w:cs="Times New Roman"/>
          <w:b w:val="0"/>
          <w:color w:val="auto"/>
          <w:sz w:val="24"/>
          <w:szCs w:val="24"/>
        </w:rPr>
        <w:t>da equação</w:t>
      </w:r>
      <w:r w:rsidR="00352732" w:rsidRPr="00D76F93">
        <w:rPr>
          <w:rFonts w:ascii="Times New Roman" w:hAnsi="Times New Roman" w:cs="Times New Roman"/>
          <w:b w:val="0"/>
          <w:color w:val="auto"/>
          <w:sz w:val="24"/>
          <w:szCs w:val="24"/>
        </w:rPr>
        <w:t xml:space="preserve"> </w:t>
      </w:r>
      <w:r w:rsidR="00113D87">
        <w:rPr>
          <w:rFonts w:ascii="Times New Roman" w:hAnsi="Times New Roman" w:cs="Times New Roman"/>
          <w:b w:val="0"/>
          <w:color w:val="auto"/>
          <w:sz w:val="24"/>
          <w:szCs w:val="24"/>
        </w:rPr>
        <w:t>(6)</w:t>
      </w:r>
      <w:r w:rsidR="00606F21" w:rsidRPr="00D76F93">
        <w:rPr>
          <w:rFonts w:ascii="Times New Roman" w:hAnsi="Times New Roman" w:cs="Times New Roman"/>
          <w:b w:val="0"/>
          <w:color w:val="auto"/>
          <w:sz w:val="24"/>
          <w:szCs w:val="24"/>
        </w:rPr>
        <w:t xml:space="preserve">, </w:t>
      </w:r>
      <w:r w:rsidR="00A4081A" w:rsidRPr="00D76F93">
        <w:rPr>
          <w:rFonts w:ascii="Times New Roman" w:hAnsi="Times New Roman" w:cs="Times New Roman"/>
          <w:b w:val="0"/>
          <w:color w:val="auto"/>
          <w:sz w:val="24"/>
          <w:szCs w:val="24"/>
        </w:rPr>
        <w:t xml:space="preserve">para </w:t>
      </w:r>
      <w:r w:rsidR="00566502" w:rsidRPr="00D76F93">
        <w:rPr>
          <w:rFonts w:ascii="Times New Roman" w:hAnsi="Times New Roman" w:cs="Times New Roman"/>
          <w:b w:val="0"/>
          <w:color w:val="auto"/>
          <w:sz w:val="24"/>
          <w:szCs w:val="24"/>
        </w:rPr>
        <w:t xml:space="preserve">a população urbana, </w:t>
      </w:r>
      <w:r w:rsidRPr="00D76F93">
        <w:rPr>
          <w:rFonts w:ascii="Times New Roman" w:hAnsi="Times New Roman" w:cs="Times New Roman"/>
          <w:b w:val="0"/>
          <w:color w:val="auto"/>
          <w:sz w:val="24"/>
          <w:szCs w:val="24"/>
        </w:rPr>
        <w:t>com erro espacial</w:t>
      </w:r>
      <w:bookmarkEnd w:id="59"/>
    </w:p>
    <w:tbl>
      <w:tblPr>
        <w:tblStyle w:val="Oficial"/>
        <w:tblW w:w="5000" w:type="pct"/>
        <w:tblLook w:val="04A0"/>
      </w:tblPr>
      <w:tblGrid>
        <w:gridCol w:w="3145"/>
        <w:gridCol w:w="1796"/>
        <w:gridCol w:w="2184"/>
        <w:gridCol w:w="1190"/>
        <w:gridCol w:w="1194"/>
        <w:gridCol w:w="911"/>
      </w:tblGrid>
      <w:tr w:rsidR="00A41402" w:rsidRPr="00893AD4" w:rsidTr="00893AD4">
        <w:trPr>
          <w:cnfStyle w:val="100000000000"/>
          <w:trHeight w:val="206"/>
        </w:trPr>
        <w:tc>
          <w:tcPr>
            <w:tcW w:w="1509" w:type="pct"/>
            <w:vAlign w:val="center"/>
            <w:hideMark/>
          </w:tcPr>
          <w:p w:rsidR="00A41402" w:rsidRPr="00893AD4" w:rsidRDefault="00A41402" w:rsidP="0044066C">
            <w:pPr>
              <w:jc w:val="center"/>
              <w:rPr>
                <w:bCs/>
                <w:color w:val="000000"/>
                <w:sz w:val="22"/>
                <w:szCs w:val="24"/>
                <w:lang w:eastAsia="en-CA"/>
              </w:rPr>
            </w:pPr>
            <w:r w:rsidRPr="00893AD4">
              <w:rPr>
                <w:bCs/>
                <w:color w:val="000000"/>
                <w:sz w:val="22"/>
                <w:szCs w:val="24"/>
                <w:lang w:eastAsia="en-CA"/>
              </w:rPr>
              <w:t>Variável</w:t>
            </w:r>
          </w:p>
        </w:tc>
        <w:tc>
          <w:tcPr>
            <w:tcW w:w="862" w:type="pct"/>
            <w:vAlign w:val="center"/>
            <w:hideMark/>
          </w:tcPr>
          <w:p w:rsidR="00A41402" w:rsidRPr="00893AD4" w:rsidRDefault="00A41402" w:rsidP="0044066C">
            <w:pPr>
              <w:jc w:val="center"/>
              <w:rPr>
                <w:bCs/>
                <w:color w:val="000000"/>
                <w:sz w:val="22"/>
                <w:szCs w:val="24"/>
                <w:lang w:eastAsia="en-CA"/>
              </w:rPr>
            </w:pPr>
            <w:r w:rsidRPr="00893AD4">
              <w:rPr>
                <w:bCs/>
                <w:color w:val="000000"/>
                <w:sz w:val="22"/>
                <w:szCs w:val="24"/>
                <w:lang w:eastAsia="en-CA"/>
              </w:rPr>
              <w:t>Coeficiente</w:t>
            </w:r>
          </w:p>
        </w:tc>
        <w:tc>
          <w:tcPr>
            <w:tcW w:w="1048" w:type="pct"/>
            <w:vAlign w:val="center"/>
            <w:hideMark/>
          </w:tcPr>
          <w:p w:rsidR="00A41402" w:rsidRPr="00893AD4" w:rsidRDefault="00A41402" w:rsidP="0044066C">
            <w:pPr>
              <w:jc w:val="center"/>
              <w:rPr>
                <w:bCs/>
                <w:color w:val="000000"/>
                <w:sz w:val="22"/>
                <w:szCs w:val="24"/>
                <w:lang w:eastAsia="en-CA"/>
              </w:rPr>
            </w:pPr>
            <w:r w:rsidRPr="00893AD4">
              <w:rPr>
                <w:bCs/>
                <w:color w:val="000000"/>
                <w:sz w:val="22"/>
                <w:szCs w:val="24"/>
                <w:lang w:eastAsia="en-CA"/>
              </w:rPr>
              <w:t>Desvio padrão</w:t>
            </w:r>
          </w:p>
        </w:tc>
        <w:tc>
          <w:tcPr>
            <w:tcW w:w="571" w:type="pct"/>
            <w:vAlign w:val="center"/>
            <w:hideMark/>
          </w:tcPr>
          <w:p w:rsidR="00A41402" w:rsidRPr="00893AD4" w:rsidRDefault="00A41402" w:rsidP="0044066C">
            <w:pPr>
              <w:jc w:val="center"/>
              <w:rPr>
                <w:bCs/>
                <w:color w:val="000000"/>
                <w:sz w:val="22"/>
                <w:szCs w:val="24"/>
                <w:lang w:eastAsia="en-CA"/>
              </w:rPr>
            </w:pPr>
            <w:r w:rsidRPr="00893AD4">
              <w:rPr>
                <w:bCs/>
                <w:color w:val="000000"/>
                <w:sz w:val="22"/>
                <w:szCs w:val="24"/>
                <w:lang w:val="en-CA" w:eastAsia="en-CA"/>
              </w:rPr>
              <w:t>z valor</w:t>
            </w:r>
          </w:p>
        </w:tc>
        <w:tc>
          <w:tcPr>
            <w:tcW w:w="1010" w:type="pct"/>
            <w:gridSpan w:val="2"/>
            <w:vAlign w:val="center"/>
            <w:hideMark/>
          </w:tcPr>
          <w:p w:rsidR="00A41402" w:rsidRPr="00893AD4" w:rsidRDefault="00A41402" w:rsidP="0044066C">
            <w:pPr>
              <w:jc w:val="center"/>
              <w:rPr>
                <w:bCs/>
                <w:color w:val="000000"/>
                <w:sz w:val="22"/>
                <w:szCs w:val="24"/>
                <w:lang w:eastAsia="en-CA"/>
              </w:rPr>
            </w:pPr>
            <w:r w:rsidRPr="00893AD4">
              <w:rPr>
                <w:bCs/>
                <w:color w:val="000000"/>
                <w:sz w:val="22"/>
                <w:szCs w:val="24"/>
                <w:lang w:eastAsia="en-CA"/>
              </w:rPr>
              <w:t>Probabilidade</w:t>
            </w:r>
          </w:p>
        </w:tc>
      </w:tr>
      <w:tr w:rsidR="00CE3754" w:rsidRPr="00893AD4" w:rsidTr="00A41402">
        <w:tc>
          <w:tcPr>
            <w:tcW w:w="1509" w:type="pct"/>
            <w:hideMark/>
          </w:tcPr>
          <w:p w:rsidR="00CE3754" w:rsidRPr="00893AD4" w:rsidRDefault="00CE3754" w:rsidP="0044066C">
            <w:pPr>
              <w:rPr>
                <w:rFonts w:eastAsia="Times New Roman" w:cs="Times New Roman"/>
                <w:sz w:val="22"/>
                <w:szCs w:val="24"/>
                <w:lang w:eastAsia="en-CA"/>
              </w:rPr>
            </w:pPr>
            <w:r w:rsidRPr="00893AD4">
              <w:rPr>
                <w:rFonts w:eastAsia="Times New Roman" w:cs="Times New Roman"/>
                <w:bCs/>
                <w:sz w:val="22"/>
                <w:szCs w:val="24"/>
                <w:lang w:eastAsia="en-CA"/>
              </w:rPr>
              <w:t>Lambda</w:t>
            </w:r>
          </w:p>
        </w:tc>
        <w:tc>
          <w:tcPr>
            <w:tcW w:w="862" w:type="pct"/>
            <w:hideMark/>
          </w:tcPr>
          <w:p w:rsidR="00CE3754" w:rsidRPr="00893AD4" w:rsidRDefault="00CE3754" w:rsidP="0044066C">
            <w:pPr>
              <w:jc w:val="center"/>
              <w:rPr>
                <w:sz w:val="22"/>
              </w:rPr>
            </w:pPr>
            <w:r w:rsidRPr="00893AD4">
              <w:rPr>
                <w:sz w:val="22"/>
              </w:rPr>
              <w:t>0,296</w:t>
            </w:r>
          </w:p>
        </w:tc>
        <w:tc>
          <w:tcPr>
            <w:tcW w:w="1048" w:type="pct"/>
            <w:hideMark/>
          </w:tcPr>
          <w:p w:rsidR="00CE3754" w:rsidRPr="00893AD4" w:rsidRDefault="00CE3754" w:rsidP="0044066C">
            <w:pPr>
              <w:jc w:val="center"/>
              <w:rPr>
                <w:sz w:val="22"/>
              </w:rPr>
            </w:pPr>
            <w:r w:rsidRPr="00893AD4">
              <w:rPr>
                <w:sz w:val="22"/>
              </w:rPr>
              <w:t>0,094</w:t>
            </w:r>
          </w:p>
        </w:tc>
        <w:tc>
          <w:tcPr>
            <w:tcW w:w="571" w:type="pct"/>
            <w:hideMark/>
          </w:tcPr>
          <w:p w:rsidR="00CE3754" w:rsidRPr="00893AD4" w:rsidRDefault="00CE3754" w:rsidP="0044066C">
            <w:pPr>
              <w:jc w:val="center"/>
              <w:rPr>
                <w:sz w:val="22"/>
              </w:rPr>
            </w:pPr>
            <w:r w:rsidRPr="00893AD4">
              <w:rPr>
                <w:sz w:val="22"/>
              </w:rPr>
              <w:t>3,157</w:t>
            </w:r>
          </w:p>
        </w:tc>
        <w:tc>
          <w:tcPr>
            <w:tcW w:w="573" w:type="pct"/>
            <w:hideMark/>
          </w:tcPr>
          <w:p w:rsidR="00CE3754" w:rsidRPr="00893AD4" w:rsidRDefault="00CE3754" w:rsidP="0044066C">
            <w:pPr>
              <w:jc w:val="center"/>
              <w:rPr>
                <w:sz w:val="22"/>
              </w:rPr>
            </w:pPr>
            <w:r w:rsidRPr="00893AD4">
              <w:rPr>
                <w:sz w:val="22"/>
              </w:rPr>
              <w:t>0,002</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Intercepto</w:t>
            </w:r>
          </w:p>
        </w:tc>
        <w:tc>
          <w:tcPr>
            <w:tcW w:w="862" w:type="pct"/>
            <w:hideMark/>
          </w:tcPr>
          <w:p w:rsidR="00CE3754" w:rsidRPr="00893AD4" w:rsidRDefault="00CE3754" w:rsidP="0044066C">
            <w:pPr>
              <w:jc w:val="center"/>
              <w:rPr>
                <w:sz w:val="22"/>
              </w:rPr>
            </w:pPr>
            <w:r w:rsidRPr="00893AD4">
              <w:rPr>
                <w:sz w:val="22"/>
              </w:rPr>
              <w:t>-0,677</w:t>
            </w:r>
          </w:p>
        </w:tc>
        <w:tc>
          <w:tcPr>
            <w:tcW w:w="1048" w:type="pct"/>
            <w:hideMark/>
          </w:tcPr>
          <w:p w:rsidR="00CE3754" w:rsidRPr="00893AD4" w:rsidRDefault="00CE3754" w:rsidP="0044066C">
            <w:pPr>
              <w:jc w:val="center"/>
              <w:rPr>
                <w:sz w:val="22"/>
              </w:rPr>
            </w:pPr>
            <w:r w:rsidRPr="00893AD4">
              <w:rPr>
                <w:sz w:val="22"/>
              </w:rPr>
              <w:t>0,963</w:t>
            </w:r>
          </w:p>
        </w:tc>
        <w:tc>
          <w:tcPr>
            <w:tcW w:w="571" w:type="pct"/>
            <w:hideMark/>
          </w:tcPr>
          <w:p w:rsidR="00CE3754" w:rsidRPr="00893AD4" w:rsidRDefault="00CE3754" w:rsidP="0044066C">
            <w:pPr>
              <w:jc w:val="center"/>
              <w:rPr>
                <w:sz w:val="22"/>
              </w:rPr>
            </w:pPr>
            <w:r w:rsidRPr="00893AD4">
              <w:rPr>
                <w:sz w:val="22"/>
              </w:rPr>
              <w:t>-0,702</w:t>
            </w:r>
          </w:p>
        </w:tc>
        <w:tc>
          <w:tcPr>
            <w:tcW w:w="573" w:type="pct"/>
            <w:hideMark/>
          </w:tcPr>
          <w:p w:rsidR="00CE3754" w:rsidRPr="00893AD4" w:rsidRDefault="00CE3754" w:rsidP="0044066C">
            <w:pPr>
              <w:jc w:val="center"/>
              <w:rPr>
                <w:sz w:val="22"/>
              </w:rPr>
            </w:pPr>
            <w:r w:rsidRPr="00893AD4">
              <w:rPr>
                <w:sz w:val="22"/>
              </w:rPr>
              <w:t>0,483</w:t>
            </w:r>
          </w:p>
        </w:tc>
        <w:tc>
          <w:tcPr>
            <w:tcW w:w="437" w:type="pct"/>
          </w:tcPr>
          <w:p w:rsidR="00CE3754" w:rsidRPr="00893AD4" w:rsidRDefault="00CE3754" w:rsidP="0044066C">
            <w:pPr>
              <w:rPr>
                <w:sz w:val="22"/>
              </w:rPr>
            </w:pP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Pluviosidade</w:t>
            </w:r>
          </w:p>
        </w:tc>
        <w:tc>
          <w:tcPr>
            <w:tcW w:w="862" w:type="pct"/>
            <w:hideMark/>
          </w:tcPr>
          <w:p w:rsidR="00CE3754" w:rsidRPr="00893AD4" w:rsidRDefault="00CE3754" w:rsidP="0044066C">
            <w:pPr>
              <w:jc w:val="center"/>
              <w:rPr>
                <w:sz w:val="22"/>
              </w:rPr>
            </w:pPr>
            <w:r w:rsidRPr="00893AD4">
              <w:rPr>
                <w:sz w:val="22"/>
              </w:rPr>
              <w:t>0,144</w:t>
            </w:r>
          </w:p>
        </w:tc>
        <w:tc>
          <w:tcPr>
            <w:tcW w:w="1048" w:type="pct"/>
            <w:hideMark/>
          </w:tcPr>
          <w:p w:rsidR="00CE3754" w:rsidRPr="00893AD4" w:rsidRDefault="00CE3754" w:rsidP="0044066C">
            <w:pPr>
              <w:jc w:val="center"/>
              <w:rPr>
                <w:sz w:val="22"/>
              </w:rPr>
            </w:pPr>
            <w:r w:rsidRPr="00893AD4">
              <w:rPr>
                <w:sz w:val="22"/>
              </w:rPr>
              <w:t>0,178</w:t>
            </w:r>
          </w:p>
        </w:tc>
        <w:tc>
          <w:tcPr>
            <w:tcW w:w="571" w:type="pct"/>
            <w:hideMark/>
          </w:tcPr>
          <w:p w:rsidR="00CE3754" w:rsidRPr="00893AD4" w:rsidRDefault="00CE3754" w:rsidP="0044066C">
            <w:pPr>
              <w:jc w:val="center"/>
              <w:rPr>
                <w:sz w:val="22"/>
              </w:rPr>
            </w:pPr>
            <w:r w:rsidRPr="00893AD4">
              <w:rPr>
                <w:sz w:val="22"/>
              </w:rPr>
              <w:t>0,810</w:t>
            </w:r>
          </w:p>
        </w:tc>
        <w:tc>
          <w:tcPr>
            <w:tcW w:w="573" w:type="pct"/>
            <w:hideMark/>
          </w:tcPr>
          <w:p w:rsidR="00CE3754" w:rsidRPr="00893AD4" w:rsidRDefault="00CE3754" w:rsidP="0044066C">
            <w:pPr>
              <w:jc w:val="center"/>
              <w:rPr>
                <w:sz w:val="22"/>
              </w:rPr>
            </w:pPr>
            <w:r w:rsidRPr="00893AD4">
              <w:rPr>
                <w:sz w:val="22"/>
              </w:rPr>
              <w:t>0,418</w:t>
            </w:r>
          </w:p>
        </w:tc>
        <w:tc>
          <w:tcPr>
            <w:tcW w:w="437" w:type="pct"/>
          </w:tcPr>
          <w:p w:rsidR="00CE3754" w:rsidRPr="00893AD4" w:rsidRDefault="00CE3754" w:rsidP="0044066C">
            <w:pPr>
              <w:rPr>
                <w:sz w:val="22"/>
              </w:rPr>
            </w:pP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Altitude-Longitude</w:t>
            </w:r>
          </w:p>
        </w:tc>
        <w:tc>
          <w:tcPr>
            <w:tcW w:w="862" w:type="pct"/>
            <w:hideMark/>
          </w:tcPr>
          <w:p w:rsidR="00CE3754" w:rsidRPr="00893AD4" w:rsidRDefault="00CE3754" w:rsidP="0044066C">
            <w:pPr>
              <w:jc w:val="center"/>
              <w:rPr>
                <w:sz w:val="22"/>
              </w:rPr>
            </w:pPr>
            <w:r w:rsidRPr="00893AD4">
              <w:rPr>
                <w:sz w:val="22"/>
              </w:rPr>
              <w:t>-0,031</w:t>
            </w:r>
          </w:p>
        </w:tc>
        <w:tc>
          <w:tcPr>
            <w:tcW w:w="1048" w:type="pct"/>
            <w:hideMark/>
          </w:tcPr>
          <w:p w:rsidR="00CE3754" w:rsidRPr="00893AD4" w:rsidRDefault="00CE3754" w:rsidP="0044066C">
            <w:pPr>
              <w:jc w:val="center"/>
              <w:rPr>
                <w:sz w:val="22"/>
              </w:rPr>
            </w:pPr>
            <w:r w:rsidRPr="00893AD4">
              <w:rPr>
                <w:sz w:val="22"/>
              </w:rPr>
              <w:t>0,065</w:t>
            </w:r>
          </w:p>
        </w:tc>
        <w:tc>
          <w:tcPr>
            <w:tcW w:w="571" w:type="pct"/>
            <w:hideMark/>
          </w:tcPr>
          <w:p w:rsidR="00CE3754" w:rsidRPr="00893AD4" w:rsidRDefault="00CE3754" w:rsidP="0044066C">
            <w:pPr>
              <w:jc w:val="center"/>
              <w:rPr>
                <w:sz w:val="22"/>
              </w:rPr>
            </w:pPr>
            <w:r w:rsidRPr="00893AD4">
              <w:rPr>
                <w:sz w:val="22"/>
              </w:rPr>
              <w:t>-0,476</w:t>
            </w:r>
          </w:p>
        </w:tc>
        <w:tc>
          <w:tcPr>
            <w:tcW w:w="573" w:type="pct"/>
            <w:hideMark/>
          </w:tcPr>
          <w:p w:rsidR="00CE3754" w:rsidRPr="00893AD4" w:rsidRDefault="00CE3754" w:rsidP="0044066C">
            <w:pPr>
              <w:jc w:val="center"/>
              <w:rPr>
                <w:sz w:val="22"/>
              </w:rPr>
            </w:pPr>
            <w:r w:rsidRPr="00893AD4">
              <w:rPr>
                <w:sz w:val="22"/>
              </w:rPr>
              <w:t>0,634</w:t>
            </w:r>
          </w:p>
        </w:tc>
        <w:tc>
          <w:tcPr>
            <w:tcW w:w="437" w:type="pct"/>
          </w:tcPr>
          <w:p w:rsidR="00CE3754" w:rsidRPr="00893AD4" w:rsidRDefault="00CE3754" w:rsidP="0044066C">
            <w:pPr>
              <w:rPr>
                <w:sz w:val="22"/>
              </w:rPr>
            </w:pP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Latitude</w:t>
            </w:r>
          </w:p>
        </w:tc>
        <w:tc>
          <w:tcPr>
            <w:tcW w:w="862" w:type="pct"/>
            <w:hideMark/>
          </w:tcPr>
          <w:p w:rsidR="00CE3754" w:rsidRPr="00893AD4" w:rsidRDefault="00CE3754" w:rsidP="0044066C">
            <w:pPr>
              <w:jc w:val="center"/>
              <w:rPr>
                <w:sz w:val="22"/>
              </w:rPr>
            </w:pPr>
            <w:r w:rsidRPr="00893AD4">
              <w:rPr>
                <w:sz w:val="22"/>
              </w:rPr>
              <w:t>0,053</w:t>
            </w:r>
          </w:p>
        </w:tc>
        <w:tc>
          <w:tcPr>
            <w:tcW w:w="1048" w:type="pct"/>
            <w:hideMark/>
          </w:tcPr>
          <w:p w:rsidR="00CE3754" w:rsidRPr="00893AD4" w:rsidRDefault="00CE3754" w:rsidP="0044066C">
            <w:pPr>
              <w:jc w:val="center"/>
              <w:rPr>
                <w:sz w:val="22"/>
              </w:rPr>
            </w:pPr>
            <w:r w:rsidRPr="00893AD4">
              <w:rPr>
                <w:sz w:val="22"/>
              </w:rPr>
              <w:t>0,033</w:t>
            </w:r>
          </w:p>
        </w:tc>
        <w:tc>
          <w:tcPr>
            <w:tcW w:w="571" w:type="pct"/>
            <w:hideMark/>
          </w:tcPr>
          <w:p w:rsidR="00CE3754" w:rsidRPr="00893AD4" w:rsidRDefault="00CE3754" w:rsidP="0044066C">
            <w:pPr>
              <w:jc w:val="center"/>
              <w:rPr>
                <w:sz w:val="22"/>
              </w:rPr>
            </w:pPr>
            <w:r w:rsidRPr="00893AD4">
              <w:rPr>
                <w:sz w:val="22"/>
              </w:rPr>
              <w:t>1,639</w:t>
            </w:r>
          </w:p>
        </w:tc>
        <w:tc>
          <w:tcPr>
            <w:tcW w:w="573" w:type="pct"/>
            <w:hideMark/>
          </w:tcPr>
          <w:p w:rsidR="00CE3754" w:rsidRPr="00893AD4" w:rsidRDefault="00CE3754" w:rsidP="0044066C">
            <w:pPr>
              <w:jc w:val="center"/>
              <w:rPr>
                <w:sz w:val="22"/>
              </w:rPr>
            </w:pPr>
            <w:r w:rsidRPr="00893AD4">
              <w:rPr>
                <w:sz w:val="22"/>
              </w:rPr>
              <w:t>0,101</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Prox. Capitais</w:t>
            </w:r>
          </w:p>
        </w:tc>
        <w:tc>
          <w:tcPr>
            <w:tcW w:w="862" w:type="pct"/>
            <w:hideMark/>
          </w:tcPr>
          <w:p w:rsidR="00CE3754" w:rsidRPr="00893AD4" w:rsidRDefault="00CE3754" w:rsidP="0044066C">
            <w:pPr>
              <w:jc w:val="center"/>
              <w:rPr>
                <w:sz w:val="22"/>
              </w:rPr>
            </w:pPr>
            <w:r w:rsidRPr="00893AD4">
              <w:rPr>
                <w:sz w:val="22"/>
              </w:rPr>
              <w:t>0,079</w:t>
            </w:r>
          </w:p>
        </w:tc>
        <w:tc>
          <w:tcPr>
            <w:tcW w:w="1048" w:type="pct"/>
            <w:hideMark/>
          </w:tcPr>
          <w:p w:rsidR="00CE3754" w:rsidRPr="00893AD4" w:rsidRDefault="00CE3754" w:rsidP="0044066C">
            <w:pPr>
              <w:jc w:val="center"/>
              <w:rPr>
                <w:sz w:val="22"/>
              </w:rPr>
            </w:pPr>
            <w:r w:rsidRPr="00893AD4">
              <w:rPr>
                <w:sz w:val="22"/>
              </w:rPr>
              <w:t>0,044</w:t>
            </w:r>
          </w:p>
        </w:tc>
        <w:tc>
          <w:tcPr>
            <w:tcW w:w="571" w:type="pct"/>
            <w:hideMark/>
          </w:tcPr>
          <w:p w:rsidR="00CE3754" w:rsidRPr="00893AD4" w:rsidRDefault="00CE3754" w:rsidP="0044066C">
            <w:pPr>
              <w:jc w:val="center"/>
              <w:rPr>
                <w:sz w:val="22"/>
              </w:rPr>
            </w:pPr>
            <w:r w:rsidRPr="00893AD4">
              <w:rPr>
                <w:sz w:val="22"/>
              </w:rPr>
              <w:t>1,813</w:t>
            </w:r>
          </w:p>
        </w:tc>
        <w:tc>
          <w:tcPr>
            <w:tcW w:w="573" w:type="pct"/>
            <w:hideMark/>
          </w:tcPr>
          <w:p w:rsidR="00CE3754" w:rsidRPr="00893AD4" w:rsidRDefault="00CE3754" w:rsidP="0044066C">
            <w:pPr>
              <w:jc w:val="center"/>
              <w:rPr>
                <w:sz w:val="22"/>
              </w:rPr>
            </w:pPr>
            <w:r w:rsidRPr="00893AD4">
              <w:rPr>
                <w:sz w:val="22"/>
              </w:rPr>
              <w:t>0,070</w:t>
            </w:r>
          </w:p>
        </w:tc>
        <w:tc>
          <w:tcPr>
            <w:tcW w:w="437" w:type="pct"/>
          </w:tcPr>
          <w:p w:rsidR="00CE3754" w:rsidRPr="00893AD4" w:rsidRDefault="00CE3754" w:rsidP="0044066C">
            <w:pPr>
              <w:rPr>
                <w:sz w:val="22"/>
              </w:rPr>
            </w:pPr>
            <w:r w:rsidRPr="00893AD4">
              <w:rPr>
                <w:sz w:val="22"/>
              </w:rPr>
              <w:t>*</w:t>
            </w:r>
          </w:p>
        </w:tc>
      </w:tr>
      <w:tr w:rsidR="00BB5942" w:rsidRPr="00893AD4" w:rsidTr="00A41402">
        <w:tc>
          <w:tcPr>
            <w:tcW w:w="1509" w:type="pct"/>
            <w:hideMark/>
          </w:tcPr>
          <w:p w:rsidR="00BB5942" w:rsidRPr="00893AD4" w:rsidRDefault="00BB5942" w:rsidP="0044066C">
            <w:pPr>
              <w:rPr>
                <w:color w:val="000000"/>
                <w:sz w:val="22"/>
                <w:szCs w:val="24"/>
                <w:lang w:eastAsia="en-CA"/>
              </w:rPr>
            </w:pPr>
            <w:r w:rsidRPr="00893AD4">
              <w:rPr>
                <w:color w:val="000000"/>
                <w:sz w:val="22"/>
                <w:szCs w:val="24"/>
                <w:lang w:eastAsia="en-CA"/>
              </w:rPr>
              <w:t xml:space="preserve">Imp. PEA urb. </w:t>
            </w:r>
            <w:r w:rsidR="00852900" w:rsidRPr="00893AD4">
              <w:rPr>
                <w:color w:val="000000"/>
                <w:sz w:val="22"/>
                <w:szCs w:val="24"/>
                <w:lang w:eastAsia="en-CA"/>
              </w:rPr>
              <w:t>E</w:t>
            </w:r>
            <w:r w:rsidRPr="00893AD4">
              <w:rPr>
                <w:color w:val="000000"/>
                <w:sz w:val="22"/>
                <w:szCs w:val="24"/>
                <w:lang w:eastAsia="en-CA"/>
              </w:rPr>
              <w:t>mprego</w:t>
            </w:r>
          </w:p>
        </w:tc>
        <w:tc>
          <w:tcPr>
            <w:tcW w:w="862" w:type="pct"/>
            <w:hideMark/>
          </w:tcPr>
          <w:p w:rsidR="00BB5942" w:rsidRPr="00893AD4" w:rsidRDefault="00BB5942" w:rsidP="0044066C">
            <w:pPr>
              <w:jc w:val="center"/>
              <w:rPr>
                <w:sz w:val="22"/>
              </w:rPr>
            </w:pPr>
            <w:r w:rsidRPr="00893AD4">
              <w:rPr>
                <w:sz w:val="22"/>
              </w:rPr>
              <w:t>0,159</w:t>
            </w:r>
          </w:p>
        </w:tc>
        <w:tc>
          <w:tcPr>
            <w:tcW w:w="1048" w:type="pct"/>
            <w:hideMark/>
          </w:tcPr>
          <w:p w:rsidR="00BB5942" w:rsidRPr="00893AD4" w:rsidRDefault="00BB5942" w:rsidP="0044066C">
            <w:pPr>
              <w:jc w:val="center"/>
              <w:rPr>
                <w:sz w:val="22"/>
              </w:rPr>
            </w:pPr>
            <w:r w:rsidRPr="00893AD4">
              <w:rPr>
                <w:sz w:val="22"/>
              </w:rPr>
              <w:t>0,042</w:t>
            </w:r>
          </w:p>
        </w:tc>
        <w:tc>
          <w:tcPr>
            <w:tcW w:w="571" w:type="pct"/>
            <w:hideMark/>
          </w:tcPr>
          <w:p w:rsidR="00BB5942" w:rsidRPr="00893AD4" w:rsidRDefault="00BB5942" w:rsidP="0044066C">
            <w:pPr>
              <w:jc w:val="center"/>
              <w:rPr>
                <w:sz w:val="22"/>
              </w:rPr>
            </w:pPr>
            <w:r w:rsidRPr="00893AD4">
              <w:rPr>
                <w:sz w:val="22"/>
              </w:rPr>
              <w:t>3,782</w:t>
            </w:r>
          </w:p>
        </w:tc>
        <w:tc>
          <w:tcPr>
            <w:tcW w:w="573" w:type="pct"/>
            <w:hideMark/>
          </w:tcPr>
          <w:p w:rsidR="00BB5942" w:rsidRPr="00893AD4" w:rsidRDefault="00BB5942" w:rsidP="0044066C">
            <w:pPr>
              <w:jc w:val="center"/>
              <w:rPr>
                <w:sz w:val="22"/>
              </w:rPr>
            </w:pPr>
            <w:r w:rsidRPr="00893AD4">
              <w:rPr>
                <w:sz w:val="22"/>
              </w:rPr>
              <w:t>0,000</w:t>
            </w:r>
          </w:p>
        </w:tc>
        <w:tc>
          <w:tcPr>
            <w:tcW w:w="437" w:type="pct"/>
          </w:tcPr>
          <w:p w:rsidR="00BB5942" w:rsidRPr="00893AD4" w:rsidRDefault="00BB5942" w:rsidP="0044066C">
            <w:pPr>
              <w:rPr>
                <w:sz w:val="22"/>
              </w:rPr>
            </w:pPr>
            <w:r w:rsidRPr="00893AD4">
              <w:rPr>
                <w:sz w:val="22"/>
              </w:rPr>
              <w:t>***</w:t>
            </w:r>
          </w:p>
        </w:tc>
      </w:tr>
      <w:tr w:rsidR="00BB5942" w:rsidRPr="00893AD4" w:rsidTr="00A41402">
        <w:tc>
          <w:tcPr>
            <w:tcW w:w="1509" w:type="pct"/>
            <w:hideMark/>
          </w:tcPr>
          <w:p w:rsidR="00BB5942" w:rsidRPr="00893AD4" w:rsidRDefault="00BB5942" w:rsidP="0044066C">
            <w:pPr>
              <w:rPr>
                <w:color w:val="000000"/>
                <w:sz w:val="22"/>
                <w:szCs w:val="24"/>
                <w:lang w:eastAsia="en-CA"/>
              </w:rPr>
            </w:pPr>
            <w:r w:rsidRPr="00893AD4">
              <w:rPr>
                <w:color w:val="000000"/>
                <w:sz w:val="22"/>
                <w:szCs w:val="24"/>
                <w:lang w:eastAsia="en-CA"/>
              </w:rPr>
              <w:t>Imp. PEA rur. Emprego</w:t>
            </w:r>
          </w:p>
        </w:tc>
        <w:tc>
          <w:tcPr>
            <w:tcW w:w="862" w:type="pct"/>
            <w:hideMark/>
          </w:tcPr>
          <w:p w:rsidR="00BB5942" w:rsidRPr="00893AD4" w:rsidRDefault="00BB5942" w:rsidP="0044066C">
            <w:pPr>
              <w:jc w:val="center"/>
              <w:rPr>
                <w:sz w:val="22"/>
              </w:rPr>
            </w:pPr>
            <w:r w:rsidRPr="00893AD4">
              <w:rPr>
                <w:sz w:val="22"/>
              </w:rPr>
              <w:t>-0,052</w:t>
            </w:r>
          </w:p>
        </w:tc>
        <w:tc>
          <w:tcPr>
            <w:tcW w:w="1048" w:type="pct"/>
            <w:hideMark/>
          </w:tcPr>
          <w:p w:rsidR="00BB5942" w:rsidRPr="00893AD4" w:rsidRDefault="00BB5942" w:rsidP="0044066C">
            <w:pPr>
              <w:jc w:val="center"/>
              <w:rPr>
                <w:sz w:val="22"/>
              </w:rPr>
            </w:pPr>
            <w:r w:rsidRPr="00893AD4">
              <w:rPr>
                <w:sz w:val="22"/>
              </w:rPr>
              <w:t>0,031</w:t>
            </w:r>
          </w:p>
        </w:tc>
        <w:tc>
          <w:tcPr>
            <w:tcW w:w="571" w:type="pct"/>
            <w:hideMark/>
          </w:tcPr>
          <w:p w:rsidR="00BB5942" w:rsidRPr="00893AD4" w:rsidRDefault="00BB5942" w:rsidP="0044066C">
            <w:pPr>
              <w:jc w:val="center"/>
              <w:rPr>
                <w:sz w:val="22"/>
              </w:rPr>
            </w:pPr>
            <w:r w:rsidRPr="00893AD4">
              <w:rPr>
                <w:sz w:val="22"/>
              </w:rPr>
              <w:t>-1,647</w:t>
            </w:r>
          </w:p>
        </w:tc>
        <w:tc>
          <w:tcPr>
            <w:tcW w:w="573" w:type="pct"/>
            <w:hideMark/>
          </w:tcPr>
          <w:p w:rsidR="00BB5942" w:rsidRPr="00893AD4" w:rsidRDefault="00BB5942" w:rsidP="0044066C">
            <w:pPr>
              <w:jc w:val="center"/>
              <w:rPr>
                <w:sz w:val="22"/>
              </w:rPr>
            </w:pPr>
            <w:r w:rsidRPr="00893AD4">
              <w:rPr>
                <w:sz w:val="22"/>
              </w:rPr>
              <w:t>0,100</w:t>
            </w:r>
          </w:p>
        </w:tc>
        <w:tc>
          <w:tcPr>
            <w:tcW w:w="437" w:type="pct"/>
          </w:tcPr>
          <w:p w:rsidR="00BB5942" w:rsidRPr="00893AD4" w:rsidRDefault="00BB5942"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IDH-Educação</w:t>
            </w:r>
          </w:p>
        </w:tc>
        <w:tc>
          <w:tcPr>
            <w:tcW w:w="862" w:type="pct"/>
            <w:hideMark/>
          </w:tcPr>
          <w:p w:rsidR="00CE3754" w:rsidRPr="00893AD4" w:rsidRDefault="00CE3754" w:rsidP="0044066C">
            <w:pPr>
              <w:jc w:val="center"/>
              <w:rPr>
                <w:sz w:val="22"/>
              </w:rPr>
            </w:pPr>
            <w:r w:rsidRPr="00893AD4">
              <w:rPr>
                <w:sz w:val="22"/>
              </w:rPr>
              <w:t>0,152</w:t>
            </w:r>
          </w:p>
        </w:tc>
        <w:tc>
          <w:tcPr>
            <w:tcW w:w="1048" w:type="pct"/>
            <w:hideMark/>
          </w:tcPr>
          <w:p w:rsidR="00CE3754" w:rsidRPr="00893AD4" w:rsidRDefault="00CE3754" w:rsidP="0044066C">
            <w:pPr>
              <w:jc w:val="center"/>
              <w:rPr>
                <w:sz w:val="22"/>
              </w:rPr>
            </w:pPr>
            <w:r w:rsidRPr="00893AD4">
              <w:rPr>
                <w:sz w:val="22"/>
              </w:rPr>
              <w:t>0,092</w:t>
            </w:r>
          </w:p>
        </w:tc>
        <w:tc>
          <w:tcPr>
            <w:tcW w:w="571" w:type="pct"/>
            <w:hideMark/>
          </w:tcPr>
          <w:p w:rsidR="00CE3754" w:rsidRPr="00893AD4" w:rsidRDefault="00CE3754" w:rsidP="0044066C">
            <w:pPr>
              <w:jc w:val="center"/>
              <w:rPr>
                <w:sz w:val="22"/>
              </w:rPr>
            </w:pPr>
            <w:r w:rsidRPr="00893AD4">
              <w:rPr>
                <w:sz w:val="22"/>
              </w:rPr>
              <w:t>1,646</w:t>
            </w:r>
          </w:p>
        </w:tc>
        <w:tc>
          <w:tcPr>
            <w:tcW w:w="573" w:type="pct"/>
            <w:hideMark/>
          </w:tcPr>
          <w:p w:rsidR="00CE3754" w:rsidRPr="00893AD4" w:rsidRDefault="00CE3754" w:rsidP="0044066C">
            <w:pPr>
              <w:jc w:val="center"/>
              <w:rPr>
                <w:sz w:val="22"/>
              </w:rPr>
            </w:pPr>
            <w:r w:rsidRPr="00893AD4">
              <w:rPr>
                <w:sz w:val="22"/>
              </w:rPr>
              <w:t>0,100</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IDH-Longevidade</w:t>
            </w:r>
          </w:p>
        </w:tc>
        <w:tc>
          <w:tcPr>
            <w:tcW w:w="862" w:type="pct"/>
            <w:hideMark/>
          </w:tcPr>
          <w:p w:rsidR="00CE3754" w:rsidRPr="00893AD4" w:rsidRDefault="00CE3754" w:rsidP="0044066C">
            <w:pPr>
              <w:jc w:val="center"/>
              <w:rPr>
                <w:sz w:val="22"/>
              </w:rPr>
            </w:pPr>
            <w:r w:rsidRPr="00893AD4">
              <w:rPr>
                <w:sz w:val="22"/>
              </w:rPr>
              <w:t>-0,290</w:t>
            </w:r>
          </w:p>
        </w:tc>
        <w:tc>
          <w:tcPr>
            <w:tcW w:w="1048" w:type="pct"/>
            <w:hideMark/>
          </w:tcPr>
          <w:p w:rsidR="00CE3754" w:rsidRPr="00893AD4" w:rsidRDefault="00CE3754" w:rsidP="0044066C">
            <w:pPr>
              <w:jc w:val="center"/>
              <w:rPr>
                <w:sz w:val="22"/>
              </w:rPr>
            </w:pPr>
            <w:r w:rsidRPr="00893AD4">
              <w:rPr>
                <w:sz w:val="22"/>
              </w:rPr>
              <w:t>0,180</w:t>
            </w:r>
          </w:p>
        </w:tc>
        <w:tc>
          <w:tcPr>
            <w:tcW w:w="571" w:type="pct"/>
            <w:hideMark/>
          </w:tcPr>
          <w:p w:rsidR="00CE3754" w:rsidRPr="00893AD4" w:rsidRDefault="00CE3754" w:rsidP="0044066C">
            <w:pPr>
              <w:jc w:val="center"/>
              <w:rPr>
                <w:sz w:val="22"/>
              </w:rPr>
            </w:pPr>
            <w:r w:rsidRPr="00893AD4">
              <w:rPr>
                <w:sz w:val="22"/>
              </w:rPr>
              <w:t>-1,614</w:t>
            </w:r>
          </w:p>
        </w:tc>
        <w:tc>
          <w:tcPr>
            <w:tcW w:w="573" w:type="pct"/>
            <w:hideMark/>
          </w:tcPr>
          <w:p w:rsidR="00CE3754" w:rsidRPr="00893AD4" w:rsidRDefault="00CE3754" w:rsidP="0044066C">
            <w:pPr>
              <w:jc w:val="center"/>
              <w:rPr>
                <w:sz w:val="22"/>
              </w:rPr>
            </w:pPr>
            <w:r w:rsidRPr="00893AD4">
              <w:rPr>
                <w:sz w:val="22"/>
              </w:rPr>
              <w:t>0,107</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IDH-Renda</w:t>
            </w:r>
          </w:p>
        </w:tc>
        <w:tc>
          <w:tcPr>
            <w:tcW w:w="862" w:type="pct"/>
            <w:hideMark/>
          </w:tcPr>
          <w:p w:rsidR="00CE3754" w:rsidRPr="00893AD4" w:rsidRDefault="00CE3754" w:rsidP="0044066C">
            <w:pPr>
              <w:jc w:val="center"/>
              <w:rPr>
                <w:sz w:val="22"/>
              </w:rPr>
            </w:pPr>
            <w:r w:rsidRPr="00893AD4">
              <w:rPr>
                <w:sz w:val="22"/>
              </w:rPr>
              <w:t>-0,398</w:t>
            </w:r>
          </w:p>
        </w:tc>
        <w:tc>
          <w:tcPr>
            <w:tcW w:w="1048" w:type="pct"/>
            <w:hideMark/>
          </w:tcPr>
          <w:p w:rsidR="00CE3754" w:rsidRPr="00893AD4" w:rsidRDefault="00CE3754" w:rsidP="0044066C">
            <w:pPr>
              <w:jc w:val="center"/>
              <w:rPr>
                <w:sz w:val="22"/>
              </w:rPr>
            </w:pPr>
            <w:r w:rsidRPr="00893AD4">
              <w:rPr>
                <w:sz w:val="22"/>
              </w:rPr>
              <w:t>0,061</w:t>
            </w:r>
          </w:p>
        </w:tc>
        <w:tc>
          <w:tcPr>
            <w:tcW w:w="571" w:type="pct"/>
            <w:hideMark/>
          </w:tcPr>
          <w:p w:rsidR="00CE3754" w:rsidRPr="00893AD4" w:rsidRDefault="00CE3754" w:rsidP="0044066C">
            <w:pPr>
              <w:jc w:val="center"/>
              <w:rPr>
                <w:sz w:val="22"/>
              </w:rPr>
            </w:pPr>
            <w:r w:rsidRPr="00893AD4">
              <w:rPr>
                <w:sz w:val="22"/>
              </w:rPr>
              <w:t>-6,496</w:t>
            </w:r>
          </w:p>
        </w:tc>
        <w:tc>
          <w:tcPr>
            <w:tcW w:w="573" w:type="pct"/>
            <w:hideMark/>
          </w:tcPr>
          <w:p w:rsidR="00CE3754" w:rsidRPr="00893AD4" w:rsidRDefault="00CE3754" w:rsidP="0044066C">
            <w:pPr>
              <w:jc w:val="center"/>
              <w:rPr>
                <w:sz w:val="22"/>
              </w:rPr>
            </w:pPr>
            <w:r w:rsidRPr="00893AD4">
              <w:rPr>
                <w:sz w:val="22"/>
              </w:rPr>
              <w:t>0,000</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Salário urbano</w:t>
            </w:r>
          </w:p>
        </w:tc>
        <w:tc>
          <w:tcPr>
            <w:tcW w:w="862" w:type="pct"/>
            <w:hideMark/>
          </w:tcPr>
          <w:p w:rsidR="00CE3754" w:rsidRPr="00893AD4" w:rsidRDefault="00CE3754" w:rsidP="0044066C">
            <w:pPr>
              <w:jc w:val="center"/>
              <w:rPr>
                <w:sz w:val="22"/>
              </w:rPr>
            </w:pPr>
            <w:r w:rsidRPr="00893AD4">
              <w:rPr>
                <w:sz w:val="22"/>
              </w:rPr>
              <w:t>0,642</w:t>
            </w:r>
          </w:p>
        </w:tc>
        <w:tc>
          <w:tcPr>
            <w:tcW w:w="1048" w:type="pct"/>
            <w:hideMark/>
          </w:tcPr>
          <w:p w:rsidR="00CE3754" w:rsidRPr="00893AD4" w:rsidRDefault="00CE3754" w:rsidP="0044066C">
            <w:pPr>
              <w:jc w:val="center"/>
              <w:rPr>
                <w:sz w:val="22"/>
              </w:rPr>
            </w:pPr>
            <w:r w:rsidRPr="00893AD4">
              <w:rPr>
                <w:sz w:val="22"/>
              </w:rPr>
              <w:t>0,030</w:t>
            </w:r>
          </w:p>
        </w:tc>
        <w:tc>
          <w:tcPr>
            <w:tcW w:w="571" w:type="pct"/>
            <w:hideMark/>
          </w:tcPr>
          <w:p w:rsidR="00CE3754" w:rsidRPr="00893AD4" w:rsidRDefault="00CE3754" w:rsidP="0044066C">
            <w:pPr>
              <w:jc w:val="center"/>
              <w:rPr>
                <w:sz w:val="22"/>
              </w:rPr>
            </w:pPr>
            <w:r w:rsidRPr="00893AD4">
              <w:rPr>
                <w:sz w:val="22"/>
              </w:rPr>
              <w:t>21,520</w:t>
            </w:r>
          </w:p>
        </w:tc>
        <w:tc>
          <w:tcPr>
            <w:tcW w:w="573" w:type="pct"/>
            <w:hideMark/>
          </w:tcPr>
          <w:p w:rsidR="00CE3754" w:rsidRPr="00893AD4" w:rsidRDefault="00CE3754" w:rsidP="0044066C">
            <w:pPr>
              <w:jc w:val="center"/>
              <w:rPr>
                <w:sz w:val="22"/>
              </w:rPr>
            </w:pPr>
            <w:r w:rsidRPr="00893AD4">
              <w:rPr>
                <w:sz w:val="22"/>
              </w:rPr>
              <w:t>0,000</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color w:val="000000"/>
                <w:sz w:val="22"/>
                <w:szCs w:val="24"/>
                <w:lang w:eastAsia="en-CA"/>
              </w:rPr>
            </w:pPr>
            <w:r w:rsidRPr="00893AD4">
              <w:rPr>
                <w:color w:val="000000"/>
                <w:sz w:val="22"/>
                <w:szCs w:val="24"/>
                <w:lang w:eastAsia="en-CA"/>
              </w:rPr>
              <w:t>PM (Acessibilidade)</w:t>
            </w:r>
          </w:p>
        </w:tc>
        <w:tc>
          <w:tcPr>
            <w:tcW w:w="862" w:type="pct"/>
            <w:hideMark/>
          </w:tcPr>
          <w:p w:rsidR="00CE3754" w:rsidRPr="00893AD4" w:rsidRDefault="00CE3754" w:rsidP="0044066C">
            <w:pPr>
              <w:jc w:val="center"/>
              <w:rPr>
                <w:sz w:val="22"/>
              </w:rPr>
            </w:pPr>
            <w:r w:rsidRPr="00893AD4">
              <w:rPr>
                <w:sz w:val="22"/>
              </w:rPr>
              <w:t>0,200</w:t>
            </w:r>
          </w:p>
        </w:tc>
        <w:tc>
          <w:tcPr>
            <w:tcW w:w="1048" w:type="pct"/>
            <w:hideMark/>
          </w:tcPr>
          <w:p w:rsidR="00CE3754" w:rsidRPr="00893AD4" w:rsidRDefault="00CE3754" w:rsidP="0044066C">
            <w:pPr>
              <w:jc w:val="center"/>
              <w:rPr>
                <w:sz w:val="22"/>
              </w:rPr>
            </w:pPr>
            <w:r w:rsidRPr="00893AD4">
              <w:rPr>
                <w:sz w:val="22"/>
              </w:rPr>
              <w:t>0,070</w:t>
            </w:r>
          </w:p>
        </w:tc>
        <w:tc>
          <w:tcPr>
            <w:tcW w:w="571" w:type="pct"/>
            <w:hideMark/>
          </w:tcPr>
          <w:p w:rsidR="00CE3754" w:rsidRPr="00893AD4" w:rsidRDefault="00CE3754" w:rsidP="0044066C">
            <w:pPr>
              <w:jc w:val="center"/>
              <w:rPr>
                <w:sz w:val="22"/>
              </w:rPr>
            </w:pPr>
            <w:r w:rsidRPr="00893AD4">
              <w:rPr>
                <w:sz w:val="22"/>
              </w:rPr>
              <w:t>2,856</w:t>
            </w:r>
          </w:p>
        </w:tc>
        <w:tc>
          <w:tcPr>
            <w:tcW w:w="573" w:type="pct"/>
            <w:hideMark/>
          </w:tcPr>
          <w:p w:rsidR="00CE3754" w:rsidRPr="00893AD4" w:rsidRDefault="00CE3754" w:rsidP="0044066C">
            <w:pPr>
              <w:jc w:val="center"/>
              <w:rPr>
                <w:sz w:val="22"/>
              </w:rPr>
            </w:pPr>
            <w:r w:rsidRPr="00893AD4">
              <w:rPr>
                <w:sz w:val="22"/>
              </w:rPr>
              <w:t>0,004</w:t>
            </w:r>
          </w:p>
        </w:tc>
        <w:tc>
          <w:tcPr>
            <w:tcW w:w="437" w:type="pct"/>
          </w:tcPr>
          <w:p w:rsidR="00CE3754" w:rsidRPr="00893AD4" w:rsidRDefault="00CE3754" w:rsidP="0044066C">
            <w:pPr>
              <w:rPr>
                <w:sz w:val="22"/>
              </w:rPr>
            </w:pPr>
            <w:r w:rsidRPr="00893AD4">
              <w:rPr>
                <w:sz w:val="22"/>
              </w:rPr>
              <w:t>***</w:t>
            </w:r>
          </w:p>
        </w:tc>
      </w:tr>
      <w:tr w:rsidR="00CE3754" w:rsidRPr="00893AD4" w:rsidTr="00A41402">
        <w:tc>
          <w:tcPr>
            <w:tcW w:w="1509" w:type="pct"/>
            <w:hideMark/>
          </w:tcPr>
          <w:p w:rsidR="00CE3754" w:rsidRPr="00893AD4" w:rsidRDefault="00CE3754" w:rsidP="0044066C">
            <w:pPr>
              <w:rPr>
                <w:rFonts w:eastAsia="Times New Roman" w:cs="Times New Roman"/>
                <w:sz w:val="22"/>
                <w:szCs w:val="24"/>
                <w:lang w:eastAsia="en-CA"/>
              </w:rPr>
            </w:pPr>
            <w:r w:rsidRPr="00893AD4">
              <w:rPr>
                <w:rFonts w:eastAsia="Times New Roman" w:cs="Times New Roman"/>
                <w:bCs/>
                <w:sz w:val="22"/>
                <w:szCs w:val="24"/>
                <w:lang w:eastAsia="en-CA"/>
              </w:rPr>
              <w:t>Iteração</w:t>
            </w:r>
          </w:p>
        </w:tc>
        <w:tc>
          <w:tcPr>
            <w:tcW w:w="862" w:type="pct"/>
            <w:hideMark/>
          </w:tcPr>
          <w:p w:rsidR="00CE3754" w:rsidRPr="00893AD4" w:rsidRDefault="00CE3754" w:rsidP="0044066C">
            <w:pPr>
              <w:jc w:val="center"/>
              <w:rPr>
                <w:sz w:val="22"/>
              </w:rPr>
            </w:pPr>
            <w:r w:rsidRPr="00893AD4">
              <w:rPr>
                <w:sz w:val="22"/>
              </w:rPr>
              <w:t>-0,073</w:t>
            </w:r>
          </w:p>
        </w:tc>
        <w:tc>
          <w:tcPr>
            <w:tcW w:w="1048" w:type="pct"/>
            <w:hideMark/>
          </w:tcPr>
          <w:p w:rsidR="00CE3754" w:rsidRPr="00893AD4" w:rsidRDefault="00CE3754" w:rsidP="0044066C">
            <w:pPr>
              <w:jc w:val="center"/>
              <w:rPr>
                <w:sz w:val="22"/>
              </w:rPr>
            </w:pPr>
            <w:r w:rsidRPr="00893AD4">
              <w:rPr>
                <w:sz w:val="22"/>
              </w:rPr>
              <w:t>0,107</w:t>
            </w:r>
          </w:p>
        </w:tc>
        <w:tc>
          <w:tcPr>
            <w:tcW w:w="571" w:type="pct"/>
            <w:hideMark/>
          </w:tcPr>
          <w:p w:rsidR="00CE3754" w:rsidRPr="00893AD4" w:rsidRDefault="00CE3754" w:rsidP="0044066C">
            <w:pPr>
              <w:jc w:val="center"/>
              <w:rPr>
                <w:sz w:val="22"/>
              </w:rPr>
            </w:pPr>
            <w:r w:rsidRPr="00893AD4">
              <w:rPr>
                <w:sz w:val="22"/>
              </w:rPr>
              <w:t>-0,681</w:t>
            </w:r>
          </w:p>
        </w:tc>
        <w:tc>
          <w:tcPr>
            <w:tcW w:w="573" w:type="pct"/>
            <w:hideMark/>
          </w:tcPr>
          <w:p w:rsidR="00CE3754" w:rsidRPr="00893AD4" w:rsidRDefault="00CE3754" w:rsidP="0044066C">
            <w:pPr>
              <w:jc w:val="center"/>
              <w:rPr>
                <w:sz w:val="22"/>
              </w:rPr>
            </w:pPr>
            <w:r w:rsidRPr="00893AD4">
              <w:rPr>
                <w:sz w:val="22"/>
              </w:rPr>
              <w:t>0,496</w:t>
            </w:r>
          </w:p>
        </w:tc>
        <w:tc>
          <w:tcPr>
            <w:tcW w:w="437" w:type="pct"/>
          </w:tcPr>
          <w:p w:rsidR="00CE3754" w:rsidRPr="00893AD4" w:rsidRDefault="00CE3754" w:rsidP="0044066C">
            <w:pPr>
              <w:rPr>
                <w:sz w:val="22"/>
              </w:rPr>
            </w:pPr>
          </w:p>
        </w:tc>
      </w:tr>
    </w:tbl>
    <w:p w:rsidR="00A41402" w:rsidRDefault="00A41402" w:rsidP="0044066C">
      <w:pPr>
        <w:pStyle w:val="TEXTO1"/>
        <w:spacing w:line="240" w:lineRule="auto"/>
        <w:rPr>
          <w:sz w:val="20"/>
          <w:szCs w:val="24"/>
        </w:rPr>
      </w:pPr>
      <w:r w:rsidRPr="006D3E59">
        <w:rPr>
          <w:sz w:val="20"/>
          <w:szCs w:val="24"/>
        </w:rPr>
        <w:t>Fonte: Elabora</w:t>
      </w:r>
      <w:r w:rsidR="00A92DE6">
        <w:rPr>
          <w:sz w:val="20"/>
          <w:szCs w:val="24"/>
        </w:rPr>
        <w:t>da</w:t>
      </w:r>
      <w:r w:rsidRPr="006D3E59">
        <w:rPr>
          <w:sz w:val="20"/>
          <w:szCs w:val="24"/>
        </w:rPr>
        <w:t xml:space="preserve"> com base nos dados da pesquisa</w:t>
      </w:r>
      <w:r>
        <w:rPr>
          <w:sz w:val="20"/>
          <w:szCs w:val="24"/>
        </w:rPr>
        <w:t xml:space="preserve"> e programa SpaceStat.</w:t>
      </w:r>
    </w:p>
    <w:p w:rsidR="00A41402" w:rsidRDefault="00A41402" w:rsidP="0044066C">
      <w:pPr>
        <w:pStyle w:val="TEXTO1"/>
        <w:spacing w:line="240" w:lineRule="auto"/>
        <w:rPr>
          <w:sz w:val="20"/>
          <w:szCs w:val="24"/>
        </w:rPr>
      </w:pPr>
      <w:r>
        <w:rPr>
          <w:sz w:val="20"/>
          <w:szCs w:val="24"/>
        </w:rPr>
        <w:t>Notas: *** significativo a 1%; ** significativo a 5%; *significativo a 10%.</w:t>
      </w:r>
    </w:p>
    <w:p w:rsidR="00835181" w:rsidRDefault="00835181" w:rsidP="0044066C">
      <w:pPr>
        <w:pStyle w:val="TEXTO1"/>
        <w:spacing w:line="240" w:lineRule="auto"/>
        <w:rPr>
          <w:sz w:val="20"/>
          <w:szCs w:val="24"/>
        </w:rPr>
      </w:pPr>
    </w:p>
    <w:p w:rsidR="00AF1DB0" w:rsidRDefault="00563DEC" w:rsidP="0044066C">
      <w:pPr>
        <w:pStyle w:val="Ttulo3"/>
        <w:numPr>
          <w:ilvl w:val="2"/>
          <w:numId w:val="1"/>
        </w:numPr>
        <w:spacing w:after="120" w:line="240" w:lineRule="auto"/>
        <w:ind w:left="567" w:hanging="567"/>
      </w:pPr>
      <w:r w:rsidRPr="00563DEC">
        <w:t>O</w:t>
      </w:r>
      <w:r>
        <w:t>s</w:t>
      </w:r>
      <w:r w:rsidRPr="00563DEC">
        <w:t xml:space="preserve"> efeito</w:t>
      </w:r>
      <w:r>
        <w:t>s</w:t>
      </w:r>
      <w:r w:rsidRPr="00563DEC">
        <w:t xml:space="preserve"> das variáveis de primeira natureza</w:t>
      </w:r>
    </w:p>
    <w:p w:rsidR="00AF1DB0" w:rsidRDefault="008B470D" w:rsidP="0044685B">
      <w:pPr>
        <w:pStyle w:val="PargrafodaLista"/>
        <w:spacing w:after="0" w:line="240" w:lineRule="auto"/>
        <w:ind w:left="0" w:firstLine="454"/>
        <w:contextualSpacing w:val="0"/>
        <w:jc w:val="both"/>
        <w:rPr>
          <w:rFonts w:ascii="Times New Roman" w:hAnsi="Times New Roman" w:cs="Times New Roman"/>
          <w:sz w:val="24"/>
          <w:szCs w:val="24"/>
        </w:rPr>
      </w:pPr>
      <w:r>
        <w:rPr>
          <w:rFonts w:ascii="Times New Roman" w:hAnsi="Times New Roman"/>
          <w:sz w:val="24"/>
          <w:szCs w:val="24"/>
        </w:rPr>
        <w:t>As variáveis de primeira natureza (pluviosidade, altitude-longitude, latitude e proximidade aos gra</w:t>
      </w:r>
      <w:r>
        <w:rPr>
          <w:rFonts w:ascii="Times New Roman" w:hAnsi="Times New Roman"/>
          <w:sz w:val="24"/>
          <w:szCs w:val="24"/>
        </w:rPr>
        <w:t>n</w:t>
      </w:r>
      <w:r>
        <w:rPr>
          <w:rFonts w:ascii="Times New Roman" w:hAnsi="Times New Roman"/>
          <w:sz w:val="24"/>
          <w:szCs w:val="24"/>
        </w:rPr>
        <w:t>des centros urbanos) não evidenciaram grande influência estatística no crescimento populacional das z</w:t>
      </w:r>
      <w:r>
        <w:rPr>
          <w:rFonts w:ascii="Times New Roman" w:hAnsi="Times New Roman"/>
          <w:sz w:val="24"/>
          <w:szCs w:val="24"/>
        </w:rPr>
        <w:t>o</w:t>
      </w:r>
      <w:r>
        <w:rPr>
          <w:rFonts w:ascii="Times New Roman" w:hAnsi="Times New Roman"/>
          <w:sz w:val="24"/>
          <w:szCs w:val="24"/>
        </w:rPr>
        <w:t>nas rurais, pelo menos até o nível de 25% de probabilidade. No entanto, não é prudente desconsiderá-las por completo. O resultado esperado era de que as variáveis climáticas, em particular a pluviosidade, fo</w:t>
      </w:r>
      <w:r>
        <w:rPr>
          <w:rFonts w:ascii="Times New Roman" w:hAnsi="Times New Roman"/>
          <w:sz w:val="24"/>
          <w:szCs w:val="24"/>
        </w:rPr>
        <w:t>s</w:t>
      </w:r>
      <w:r>
        <w:rPr>
          <w:rFonts w:ascii="Times New Roman" w:hAnsi="Times New Roman"/>
          <w:sz w:val="24"/>
          <w:szCs w:val="24"/>
        </w:rPr>
        <w:t xml:space="preserve">sem atuar como fonte </w:t>
      </w:r>
      <w:proofErr w:type="spellStart"/>
      <w:r>
        <w:rPr>
          <w:rFonts w:ascii="Times New Roman" w:hAnsi="Times New Roman"/>
          <w:sz w:val="24"/>
          <w:szCs w:val="24"/>
        </w:rPr>
        <w:t>atratora</w:t>
      </w:r>
      <w:proofErr w:type="spellEnd"/>
      <w:r>
        <w:rPr>
          <w:rFonts w:ascii="Times New Roman" w:hAnsi="Times New Roman"/>
          <w:sz w:val="24"/>
          <w:szCs w:val="24"/>
        </w:rPr>
        <w:t xml:space="preserve"> para a população rural, pois em parte do período em análise ocorreu grande emigração da Região Nordeste para o Norte e parte dessa população foi para a zona rural (BRASIL, 1997). A variável altitude-longitude, apesar de significativa a 26,6% de probabilidade, apresentou o sinal esperado, sugerindo que quanto mais distantes são os municípios da costa atlântica, maior é sua altitude, as quais aumentam o tempo de viagem. Como conseqüência, influencia negativamente no crescimento populacional dessas regiões</w:t>
      </w:r>
      <w:r w:rsidR="00AF1DB0">
        <w:rPr>
          <w:rFonts w:ascii="Times New Roman" w:hAnsi="Times New Roman" w:cs="Times New Roman"/>
          <w:sz w:val="24"/>
          <w:szCs w:val="24"/>
        </w:rPr>
        <w:t xml:space="preserve">. </w:t>
      </w:r>
    </w:p>
    <w:p w:rsidR="008B470D" w:rsidRDefault="008B470D" w:rsidP="008B470D">
      <w:pPr>
        <w:spacing w:after="120" w:line="240" w:lineRule="auto"/>
        <w:ind w:firstLine="454"/>
        <w:jc w:val="both"/>
        <w:rPr>
          <w:rFonts w:ascii="Times New Roman" w:hAnsi="Times New Roman"/>
          <w:sz w:val="24"/>
          <w:szCs w:val="24"/>
        </w:rPr>
      </w:pPr>
      <w:r>
        <w:rPr>
          <w:rFonts w:ascii="Times New Roman" w:hAnsi="Times New Roman"/>
          <w:sz w:val="24"/>
          <w:szCs w:val="24"/>
        </w:rPr>
        <w:t>A maioria das variáveis de primeira natureza também não gerou fortes influências no processo de crescimento da população urbana, ou seja, nas aglomerações populacionais. As exceções são a variável latitude - que está mais ligada à questão climática - e a variável proximidade aos grandes centros. A lat</w:t>
      </w:r>
      <w:r>
        <w:rPr>
          <w:rFonts w:ascii="Times New Roman" w:hAnsi="Times New Roman"/>
          <w:sz w:val="24"/>
          <w:szCs w:val="24"/>
        </w:rPr>
        <w:t>i</w:t>
      </w:r>
      <w:r>
        <w:rPr>
          <w:rFonts w:ascii="Times New Roman" w:hAnsi="Times New Roman"/>
          <w:sz w:val="24"/>
          <w:szCs w:val="24"/>
        </w:rPr>
        <w:t>tude pode explicar a influência da temperatura nos processos de aglomerações da Região Norte. Prov</w:t>
      </w:r>
      <w:r>
        <w:rPr>
          <w:rFonts w:ascii="Times New Roman" w:hAnsi="Times New Roman"/>
          <w:sz w:val="24"/>
          <w:szCs w:val="24"/>
        </w:rPr>
        <w:t>a</w:t>
      </w:r>
      <w:r>
        <w:rPr>
          <w:rFonts w:ascii="Times New Roman" w:hAnsi="Times New Roman"/>
          <w:sz w:val="24"/>
          <w:szCs w:val="24"/>
        </w:rPr>
        <w:t>velmente, isto pode estar ocorrendo devido à emigração oriunda da região Sul do país, cujo clima é frio, para a Região Norte, cujo clima é quente. Quanto à proximidade aos grandes centros, essa variável mo</w:t>
      </w:r>
      <w:r>
        <w:rPr>
          <w:rFonts w:ascii="Times New Roman" w:hAnsi="Times New Roman"/>
          <w:sz w:val="24"/>
          <w:szCs w:val="24"/>
        </w:rPr>
        <w:t>s</w:t>
      </w:r>
      <w:r>
        <w:rPr>
          <w:rFonts w:ascii="Times New Roman" w:hAnsi="Times New Roman"/>
          <w:sz w:val="24"/>
          <w:szCs w:val="24"/>
        </w:rPr>
        <w:t>trou-se importante para explicar as aglomerações. Esse resultado vai ao encontro da hipótese de “indut</w:t>
      </w:r>
      <w:r>
        <w:rPr>
          <w:rFonts w:ascii="Times New Roman" w:hAnsi="Times New Roman"/>
          <w:sz w:val="24"/>
          <w:szCs w:val="24"/>
        </w:rPr>
        <w:t>o</w:t>
      </w:r>
      <w:r>
        <w:rPr>
          <w:rFonts w:ascii="Times New Roman" w:hAnsi="Times New Roman"/>
          <w:sz w:val="24"/>
          <w:szCs w:val="24"/>
        </w:rPr>
        <w:t xml:space="preserve">res do crescimento”, evidenciando que aquelas cidades menores e mais próximas dos grandes centros regionais, como as capitais Manaus, Porto Velho, Belém, Rio Branco, Boa Vista, Palmas e Macapá estão crescendo mais do que as cidades mais distantes. Esse resultado reflete também as </w:t>
      </w:r>
      <w:proofErr w:type="spellStart"/>
      <w:r>
        <w:rPr>
          <w:rFonts w:ascii="Times New Roman" w:hAnsi="Times New Roman"/>
          <w:sz w:val="24"/>
          <w:szCs w:val="24"/>
        </w:rPr>
        <w:t>externalidades</w:t>
      </w:r>
      <w:proofErr w:type="spellEnd"/>
      <w:r>
        <w:rPr>
          <w:rFonts w:ascii="Times New Roman" w:hAnsi="Times New Roman"/>
          <w:sz w:val="24"/>
          <w:szCs w:val="24"/>
        </w:rPr>
        <w:t xml:space="preserve"> posit</w:t>
      </w:r>
      <w:r>
        <w:rPr>
          <w:rFonts w:ascii="Times New Roman" w:hAnsi="Times New Roman"/>
          <w:sz w:val="24"/>
          <w:szCs w:val="24"/>
        </w:rPr>
        <w:t>i</w:t>
      </w:r>
      <w:r>
        <w:rPr>
          <w:rFonts w:ascii="Times New Roman" w:hAnsi="Times New Roman"/>
          <w:sz w:val="24"/>
          <w:szCs w:val="24"/>
        </w:rPr>
        <w:t>vas com o transbordamento da informação. Nas capitais estão centralizadas as forças políticas regionais, muitas vezes responsáveis por decisões importantes para levar ao desenvolvimento local. Estar próximo a esses centros de poder representa grande vantagem para as populações de cidades vizinhas. Na regressão para mudanças na população rural (T</w:t>
      </w:r>
      <w:r w:rsidRPr="001D25FA">
        <w:rPr>
          <w:rFonts w:ascii="Times New Roman" w:hAnsi="Times New Roman"/>
          <w:noProof/>
          <w:sz w:val="24"/>
          <w:szCs w:val="24"/>
        </w:rPr>
        <w:t>abela</w:t>
      </w:r>
      <w:r w:rsidRPr="001D25FA">
        <w:rPr>
          <w:rFonts w:ascii="Times New Roman" w:hAnsi="Times New Roman"/>
          <w:sz w:val="24"/>
          <w:szCs w:val="24"/>
        </w:rPr>
        <w:t xml:space="preserve"> </w:t>
      </w:r>
      <w:r w:rsidRPr="001D25FA">
        <w:rPr>
          <w:rFonts w:ascii="Times New Roman" w:hAnsi="Times New Roman"/>
          <w:noProof/>
          <w:sz w:val="24"/>
          <w:szCs w:val="24"/>
        </w:rPr>
        <w:t>1</w:t>
      </w:r>
      <w:r>
        <w:rPr>
          <w:rFonts w:ascii="Times New Roman" w:hAnsi="Times New Roman"/>
          <w:sz w:val="24"/>
          <w:szCs w:val="24"/>
        </w:rPr>
        <w:t>), essa variável não foi significante e isto faz sentido, porque nas zonas rurais, as decisões mais importantes são tomadas nas suas respectivas sedes municipais (na área urbana adjacente à rural) (ADES; GLAESER, 1995).</w:t>
      </w:r>
    </w:p>
    <w:p w:rsidR="00563DEC" w:rsidRDefault="00563DEC" w:rsidP="00563DEC">
      <w:pPr>
        <w:pStyle w:val="Ttulo3"/>
        <w:numPr>
          <w:ilvl w:val="2"/>
          <w:numId w:val="1"/>
        </w:numPr>
        <w:spacing w:after="120" w:line="240" w:lineRule="auto"/>
        <w:ind w:left="567" w:hanging="567"/>
      </w:pPr>
      <w:r w:rsidRPr="00563DEC">
        <w:t>O</w:t>
      </w:r>
      <w:r>
        <w:t>s</w:t>
      </w:r>
      <w:r w:rsidRPr="00563DEC">
        <w:t xml:space="preserve"> efeito</w:t>
      </w:r>
      <w:r>
        <w:t>s</w:t>
      </w:r>
      <w:r w:rsidRPr="00563DEC">
        <w:t xml:space="preserve"> das variáveis de </w:t>
      </w:r>
      <w:r>
        <w:t xml:space="preserve">segunda </w:t>
      </w:r>
      <w:r w:rsidRPr="00563DEC">
        <w:t>natureza</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bookmarkStart w:id="60" w:name="_Toc278637533"/>
      <w:bookmarkStart w:id="61" w:name="_Toc280093030"/>
      <w:bookmarkStart w:id="62" w:name="_Toc282364027"/>
      <w:r w:rsidRPr="008B470D">
        <w:rPr>
          <w:rFonts w:ascii="Times New Roman" w:hAnsi="Times New Roman" w:cs="Times New Roman"/>
          <w:sz w:val="24"/>
          <w:szCs w:val="24"/>
        </w:rPr>
        <w:t>As variáveis de segunda natureza são as que mais influenciaram as aglomerações populacionais da Região Norte, tanto para as populações rurais quanto para as urbanas. Entre 1980 e 2000 houve intensa mudança na distribuição entre população rural e urbana na Região Norte, com cre</w:t>
      </w:r>
      <w:r w:rsidRPr="008B470D">
        <w:rPr>
          <w:rFonts w:ascii="Times New Roman" w:hAnsi="Times New Roman" w:cs="Times New Roman"/>
          <w:sz w:val="24"/>
          <w:szCs w:val="24"/>
        </w:rPr>
        <w:t>s</w:t>
      </w:r>
      <w:r w:rsidRPr="008B470D">
        <w:rPr>
          <w:rFonts w:ascii="Times New Roman" w:hAnsi="Times New Roman" w:cs="Times New Roman"/>
          <w:sz w:val="24"/>
          <w:szCs w:val="24"/>
        </w:rPr>
        <w:t>cimento desta última. Essa mudança é refletida nas variações positivas da participação do empr</w:t>
      </w:r>
      <w:r w:rsidRPr="008B470D">
        <w:rPr>
          <w:rFonts w:ascii="Times New Roman" w:hAnsi="Times New Roman" w:cs="Times New Roman"/>
          <w:sz w:val="24"/>
          <w:szCs w:val="24"/>
        </w:rPr>
        <w:t>e</w:t>
      </w:r>
      <w:r w:rsidRPr="008B470D">
        <w:rPr>
          <w:rFonts w:ascii="Times New Roman" w:hAnsi="Times New Roman" w:cs="Times New Roman"/>
          <w:sz w:val="24"/>
          <w:szCs w:val="24"/>
        </w:rPr>
        <w:t xml:space="preserve">go nas zonas urbanas, que </w:t>
      </w:r>
      <w:proofErr w:type="spellStart"/>
      <w:r w:rsidRPr="008B470D">
        <w:rPr>
          <w:rFonts w:ascii="Times New Roman" w:hAnsi="Times New Roman" w:cs="Times New Roman"/>
          <w:sz w:val="24"/>
          <w:szCs w:val="24"/>
        </w:rPr>
        <w:t>cau-</w:t>
      </w:r>
      <w:proofErr w:type="gramStart"/>
      <w:r w:rsidRPr="008B470D">
        <w:rPr>
          <w:rFonts w:ascii="Times New Roman" w:hAnsi="Times New Roman" w:cs="Times New Roman"/>
          <w:sz w:val="24"/>
          <w:szCs w:val="24"/>
        </w:rPr>
        <w:t>sou</w:t>
      </w:r>
      <w:proofErr w:type="spellEnd"/>
      <w:proofErr w:type="gramEnd"/>
      <w:r w:rsidRPr="008B470D">
        <w:rPr>
          <w:rFonts w:ascii="Times New Roman" w:hAnsi="Times New Roman" w:cs="Times New Roman"/>
          <w:sz w:val="24"/>
          <w:szCs w:val="24"/>
        </w:rPr>
        <w:t xml:space="preserve"> efeito negativo sobre as populações das zonas rurais. De acordo com os resultados contidos na Tabela </w:t>
      </w:r>
      <w:r w:rsidRPr="008B470D">
        <w:rPr>
          <w:rFonts w:ascii="Times New Roman" w:hAnsi="Times New Roman" w:cs="Times New Roman"/>
          <w:sz w:val="24"/>
          <w:szCs w:val="24"/>
        </w:rPr>
        <w:lastRenderedPageBreak/>
        <w:t xml:space="preserve">1, para cada aumento de 1% da importância dos empregos gerados nas zonas urbanas, implicou em </w:t>
      </w:r>
      <w:proofErr w:type="spellStart"/>
      <w:r w:rsidRPr="008B470D">
        <w:rPr>
          <w:rFonts w:ascii="Times New Roman" w:hAnsi="Times New Roman" w:cs="Times New Roman"/>
          <w:sz w:val="24"/>
          <w:szCs w:val="24"/>
        </w:rPr>
        <w:t>redu-ção</w:t>
      </w:r>
      <w:proofErr w:type="spellEnd"/>
      <w:r w:rsidRPr="008B470D">
        <w:rPr>
          <w:rFonts w:ascii="Times New Roman" w:hAnsi="Times New Roman" w:cs="Times New Roman"/>
          <w:sz w:val="24"/>
          <w:szCs w:val="24"/>
        </w:rPr>
        <w:t xml:space="preserve"> da taxa de crescimento da população rural em 0,24%. Apesar desse efeito negativo, ao longo dessas duas décadas as oportunidades de empregos criadas nas zonas rurais da Região </w:t>
      </w:r>
      <w:proofErr w:type="gramStart"/>
      <w:r w:rsidRPr="008B470D">
        <w:rPr>
          <w:rFonts w:ascii="Times New Roman" w:hAnsi="Times New Roman" w:cs="Times New Roman"/>
          <w:sz w:val="24"/>
          <w:szCs w:val="24"/>
        </w:rPr>
        <w:t>Norte foram</w:t>
      </w:r>
      <w:proofErr w:type="gramEnd"/>
      <w:r w:rsidRPr="008B470D">
        <w:rPr>
          <w:rFonts w:ascii="Times New Roman" w:hAnsi="Times New Roman" w:cs="Times New Roman"/>
          <w:sz w:val="24"/>
          <w:szCs w:val="24"/>
        </w:rPr>
        <w:t xml:space="preserve"> importantes. Os Estados de Rondônia e Pará, por exemplo, obtiveram ampla expansão das zonas rurais, estimulados pelos programas de apoio à </w:t>
      </w:r>
      <w:r w:rsidRPr="008B470D">
        <w:rPr>
          <w:rFonts w:ascii="Times New Roman" w:hAnsi="Times New Roman" w:cs="Times New Roman"/>
          <w:sz w:val="24"/>
          <w:szCs w:val="24"/>
        </w:rPr>
        <w:t>a</w:t>
      </w:r>
      <w:r w:rsidRPr="008B470D">
        <w:rPr>
          <w:rFonts w:ascii="Times New Roman" w:hAnsi="Times New Roman" w:cs="Times New Roman"/>
          <w:sz w:val="24"/>
          <w:szCs w:val="24"/>
        </w:rPr>
        <w:t>gropecuária ainda na década de 1970. As pessoas que migraram entre 1980 e 1990, por padrão, vislumbravam muitas oportunidades nos recursos naturais, em abundância na Região Norte. Pr</w:t>
      </w:r>
      <w:r w:rsidRPr="008B470D">
        <w:rPr>
          <w:rFonts w:ascii="Times New Roman" w:hAnsi="Times New Roman" w:cs="Times New Roman"/>
          <w:sz w:val="24"/>
          <w:szCs w:val="24"/>
        </w:rPr>
        <w:t>o</w:t>
      </w:r>
      <w:r w:rsidRPr="008B470D">
        <w:rPr>
          <w:rFonts w:ascii="Times New Roman" w:hAnsi="Times New Roman" w:cs="Times New Roman"/>
          <w:sz w:val="24"/>
          <w:szCs w:val="24"/>
        </w:rPr>
        <w:t xml:space="preserve">vavelmente, o coeficiente positivo da variável participação de emprego rural (afetando o </w:t>
      </w:r>
      <w:proofErr w:type="spellStart"/>
      <w:r w:rsidRPr="008B470D">
        <w:rPr>
          <w:rFonts w:ascii="Times New Roman" w:hAnsi="Times New Roman" w:cs="Times New Roman"/>
          <w:sz w:val="24"/>
          <w:szCs w:val="24"/>
        </w:rPr>
        <w:t>cres-cimento</w:t>
      </w:r>
      <w:proofErr w:type="spellEnd"/>
      <w:r w:rsidRPr="008B470D">
        <w:rPr>
          <w:rFonts w:ascii="Times New Roman" w:hAnsi="Times New Roman" w:cs="Times New Roman"/>
          <w:sz w:val="24"/>
          <w:szCs w:val="24"/>
        </w:rPr>
        <w:t xml:space="preserve"> da população rural) reflete essa política de estímulo dos anos 70 - que tem efeitos dur</w:t>
      </w:r>
      <w:r w:rsidRPr="008B470D">
        <w:rPr>
          <w:rFonts w:ascii="Times New Roman" w:hAnsi="Times New Roman" w:cs="Times New Roman"/>
          <w:sz w:val="24"/>
          <w:szCs w:val="24"/>
        </w:rPr>
        <w:t>a</w:t>
      </w:r>
      <w:r w:rsidRPr="008B470D">
        <w:rPr>
          <w:rFonts w:ascii="Times New Roman" w:hAnsi="Times New Roman" w:cs="Times New Roman"/>
          <w:sz w:val="24"/>
          <w:szCs w:val="24"/>
        </w:rPr>
        <w:t>douros, sobretudo no processo migratório - tanto que para cada 1% de aumento da participação do emprego rural, a taxa de crescimento da população rural aumentou 0,48%, ou seja, os recursos n</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turais demonstraram força de atração nesse sentido.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Todavia, enquanto a oferta de emprego nas cidades teve grande impacto negativo no cresc</w:t>
      </w:r>
      <w:r w:rsidRPr="008B470D">
        <w:rPr>
          <w:rFonts w:ascii="Times New Roman" w:hAnsi="Times New Roman" w:cs="Times New Roman"/>
          <w:sz w:val="24"/>
          <w:szCs w:val="24"/>
        </w:rPr>
        <w:t>i</w:t>
      </w:r>
      <w:r w:rsidRPr="008B470D">
        <w:rPr>
          <w:rFonts w:ascii="Times New Roman" w:hAnsi="Times New Roman" w:cs="Times New Roman"/>
          <w:sz w:val="24"/>
          <w:szCs w:val="24"/>
        </w:rPr>
        <w:t>mento da população rural, esse mesmo efeito teve menor força positiva nas aglomerações urbanas. É interessante observar que a oferta de emprego nas zonas rurais é mais sensível a mudanças que nas zonas urbanas, ou seja, é mais elástica. Isso denota que, se há aumento do emprego nas zonas urbanas, seu efeito é maior na zona rural (-</w:t>
      </w:r>
      <w:proofErr w:type="gramStart"/>
      <w:r w:rsidRPr="008B470D">
        <w:rPr>
          <w:rFonts w:ascii="Times New Roman" w:hAnsi="Times New Roman" w:cs="Times New Roman"/>
          <w:sz w:val="24"/>
          <w:szCs w:val="24"/>
        </w:rPr>
        <w:t>0,</w:t>
      </w:r>
      <w:proofErr w:type="gramEnd"/>
      <w:r w:rsidRPr="008B470D">
        <w:rPr>
          <w:rFonts w:ascii="Times New Roman" w:hAnsi="Times New Roman" w:cs="Times New Roman"/>
          <w:sz w:val="24"/>
          <w:szCs w:val="24"/>
        </w:rPr>
        <w:t>242%, Tabela 1) do que na própria zona urbana (0,159%, Tabela 2). Além disso, o aumento do emprego na zona rural tem efeito expressivo na própria zona rural (0,48%, Tabela 1) e pouco efeito na zona urbana (-0,05%, Tabela 2). Esse resu</w:t>
      </w:r>
      <w:r w:rsidRPr="008B470D">
        <w:rPr>
          <w:rFonts w:ascii="Times New Roman" w:hAnsi="Times New Roman" w:cs="Times New Roman"/>
          <w:sz w:val="24"/>
          <w:szCs w:val="24"/>
        </w:rPr>
        <w:t>l</w:t>
      </w:r>
      <w:r w:rsidRPr="008B470D">
        <w:rPr>
          <w:rFonts w:ascii="Times New Roman" w:hAnsi="Times New Roman" w:cs="Times New Roman"/>
          <w:sz w:val="24"/>
          <w:szCs w:val="24"/>
        </w:rPr>
        <w:t xml:space="preserve">tado permite deduzir que é mais fácil manter o homem </w:t>
      </w:r>
      <w:proofErr w:type="spellStart"/>
      <w:r w:rsidRPr="008B470D">
        <w:rPr>
          <w:rFonts w:ascii="Times New Roman" w:hAnsi="Times New Roman" w:cs="Times New Roman"/>
          <w:sz w:val="24"/>
          <w:szCs w:val="24"/>
        </w:rPr>
        <w:t>empre-gado</w:t>
      </w:r>
      <w:proofErr w:type="spellEnd"/>
      <w:r w:rsidRPr="008B470D">
        <w:rPr>
          <w:rFonts w:ascii="Times New Roman" w:hAnsi="Times New Roman" w:cs="Times New Roman"/>
          <w:sz w:val="24"/>
          <w:szCs w:val="24"/>
        </w:rPr>
        <w:t xml:space="preserve"> no campo que tirá-lo da cid</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de. Então, políticas públicas de estímulo à geração de emprego nas </w:t>
      </w:r>
      <w:proofErr w:type="spellStart"/>
      <w:r w:rsidRPr="008B470D">
        <w:rPr>
          <w:rFonts w:ascii="Times New Roman" w:hAnsi="Times New Roman" w:cs="Times New Roman"/>
          <w:sz w:val="24"/>
          <w:szCs w:val="24"/>
        </w:rPr>
        <w:t>zo-nas</w:t>
      </w:r>
      <w:proofErr w:type="spellEnd"/>
      <w:r w:rsidRPr="008B470D">
        <w:rPr>
          <w:rFonts w:ascii="Times New Roman" w:hAnsi="Times New Roman" w:cs="Times New Roman"/>
          <w:sz w:val="24"/>
          <w:szCs w:val="24"/>
        </w:rPr>
        <w:t xml:space="preserve"> rurais têm mais efeitos no crescimento populacional rural que políticas aplicadas nas zonas urbanas, por exemplo. Diante desses resultados, parece claro que ainda há alguma força econômica que mantém o homem no campo. Provavelmente, essa força é oriunda da demanda por produtos agrícolas das maiores cid</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des, que indiretamente dão suporte aos salários rurais. Além disso, não há sinais de exaustão dos re-cursos naturais que possam ocasionar redução de salários rurais. Caso houvesse proeminência dessa </w:t>
      </w:r>
      <w:proofErr w:type="spellStart"/>
      <w:r w:rsidRPr="008B470D">
        <w:rPr>
          <w:rFonts w:ascii="Times New Roman" w:hAnsi="Times New Roman" w:cs="Times New Roman"/>
          <w:sz w:val="24"/>
          <w:szCs w:val="24"/>
        </w:rPr>
        <w:t>e-xaustão</w:t>
      </w:r>
      <w:proofErr w:type="spellEnd"/>
      <w:r w:rsidRPr="008B470D">
        <w:rPr>
          <w:rFonts w:ascii="Times New Roman" w:hAnsi="Times New Roman" w:cs="Times New Roman"/>
          <w:sz w:val="24"/>
          <w:szCs w:val="24"/>
        </w:rPr>
        <w:t>, provavelmente a variável salário teria sinal negativo, que representaria a migr</w:t>
      </w:r>
      <w:r w:rsidRPr="008B470D">
        <w:rPr>
          <w:rFonts w:ascii="Times New Roman" w:hAnsi="Times New Roman" w:cs="Times New Roman"/>
          <w:sz w:val="24"/>
          <w:szCs w:val="24"/>
        </w:rPr>
        <w:t>a</w:t>
      </w:r>
      <w:r w:rsidRPr="008B470D">
        <w:rPr>
          <w:rFonts w:ascii="Times New Roman" w:hAnsi="Times New Roman" w:cs="Times New Roman"/>
          <w:sz w:val="24"/>
          <w:szCs w:val="24"/>
        </w:rPr>
        <w:t>ção expressiva das zonas rurais para as urbanas. De todo modo, os resultados sugerem que as ma</w:t>
      </w:r>
      <w:r w:rsidRPr="008B470D">
        <w:rPr>
          <w:rFonts w:ascii="Times New Roman" w:hAnsi="Times New Roman" w:cs="Times New Roman"/>
          <w:sz w:val="24"/>
          <w:szCs w:val="24"/>
        </w:rPr>
        <w:t>i</w:t>
      </w:r>
      <w:r w:rsidRPr="008B470D">
        <w:rPr>
          <w:rFonts w:ascii="Times New Roman" w:hAnsi="Times New Roman" w:cs="Times New Roman"/>
          <w:sz w:val="24"/>
          <w:szCs w:val="24"/>
        </w:rPr>
        <w:t xml:space="preserve">ores cidades estão atuando como “indutores do crescimento”. Os indícios dessa hipótese podem ser observados no índice de </w:t>
      </w:r>
      <w:proofErr w:type="spellStart"/>
      <w:r w:rsidRPr="008B470D">
        <w:rPr>
          <w:rFonts w:ascii="Times New Roman" w:hAnsi="Times New Roman" w:cs="Times New Roman"/>
          <w:sz w:val="24"/>
          <w:szCs w:val="24"/>
        </w:rPr>
        <w:t>acessibi-lidade</w:t>
      </w:r>
      <w:proofErr w:type="spellEnd"/>
      <w:r w:rsidRPr="008B470D">
        <w:rPr>
          <w:rFonts w:ascii="Times New Roman" w:hAnsi="Times New Roman" w:cs="Times New Roman"/>
          <w:sz w:val="24"/>
          <w:szCs w:val="24"/>
        </w:rPr>
        <w:t>, por exemplo, com forte impacto negativo no cresc</w:t>
      </w:r>
      <w:r w:rsidRPr="008B470D">
        <w:rPr>
          <w:rFonts w:ascii="Times New Roman" w:hAnsi="Times New Roman" w:cs="Times New Roman"/>
          <w:sz w:val="24"/>
          <w:szCs w:val="24"/>
        </w:rPr>
        <w:t>i</w:t>
      </w:r>
      <w:r w:rsidRPr="008B470D">
        <w:rPr>
          <w:rFonts w:ascii="Times New Roman" w:hAnsi="Times New Roman" w:cs="Times New Roman"/>
          <w:sz w:val="24"/>
          <w:szCs w:val="24"/>
        </w:rPr>
        <w:t>mento da população rural e positivo no urbano. A participação do emprego na zona urbana ta</w:t>
      </w:r>
      <w:r w:rsidRPr="008B470D">
        <w:rPr>
          <w:rFonts w:ascii="Times New Roman" w:hAnsi="Times New Roman" w:cs="Times New Roman"/>
          <w:sz w:val="24"/>
          <w:szCs w:val="24"/>
        </w:rPr>
        <w:t>m</w:t>
      </w:r>
      <w:r w:rsidRPr="008B470D">
        <w:rPr>
          <w:rFonts w:ascii="Times New Roman" w:hAnsi="Times New Roman" w:cs="Times New Roman"/>
          <w:sz w:val="24"/>
          <w:szCs w:val="24"/>
        </w:rPr>
        <w:t xml:space="preserve">bém dá indícios das cidades atuando como indutores do crescimento. Outra variável importante dessa evidência é a proximidade de capitais, que embora </w:t>
      </w:r>
      <w:proofErr w:type="spellStart"/>
      <w:r w:rsidRPr="008B470D">
        <w:rPr>
          <w:rFonts w:ascii="Times New Roman" w:hAnsi="Times New Roman" w:cs="Times New Roman"/>
          <w:sz w:val="24"/>
          <w:szCs w:val="24"/>
        </w:rPr>
        <w:t>signifi-cativa</w:t>
      </w:r>
      <w:proofErr w:type="spellEnd"/>
      <w:r w:rsidRPr="008B470D">
        <w:rPr>
          <w:rFonts w:ascii="Times New Roman" w:hAnsi="Times New Roman" w:cs="Times New Roman"/>
          <w:sz w:val="24"/>
          <w:szCs w:val="24"/>
        </w:rPr>
        <w:t xml:space="preserve">, seus efeitos parecem ser mais fortes sobre as cidades mais próximas às grandes aglomerações </w:t>
      </w:r>
      <w:proofErr w:type="spellStart"/>
      <w:r w:rsidRPr="008B470D">
        <w:rPr>
          <w:rFonts w:ascii="Times New Roman" w:hAnsi="Times New Roman" w:cs="Times New Roman"/>
          <w:sz w:val="24"/>
          <w:szCs w:val="24"/>
        </w:rPr>
        <w:t>ur-banas</w:t>
      </w:r>
      <w:proofErr w:type="spellEnd"/>
      <w:r w:rsidRPr="008B470D">
        <w:rPr>
          <w:rFonts w:ascii="Times New Roman" w:hAnsi="Times New Roman" w:cs="Times New Roman"/>
          <w:sz w:val="24"/>
          <w:szCs w:val="24"/>
        </w:rPr>
        <w:t xml:space="preserve"> da Região Norte.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O aumento do emprego rural tem pouca influência na atração de pessoas das zonas urbanas. Esse </w:t>
      </w:r>
      <w:proofErr w:type="spellStart"/>
      <w:r w:rsidRPr="008B470D">
        <w:rPr>
          <w:rFonts w:ascii="Times New Roman" w:hAnsi="Times New Roman" w:cs="Times New Roman"/>
          <w:sz w:val="24"/>
          <w:szCs w:val="24"/>
        </w:rPr>
        <w:t>re-sultado</w:t>
      </w:r>
      <w:proofErr w:type="spellEnd"/>
      <w:r w:rsidRPr="008B470D">
        <w:rPr>
          <w:rFonts w:ascii="Times New Roman" w:hAnsi="Times New Roman" w:cs="Times New Roman"/>
          <w:sz w:val="24"/>
          <w:szCs w:val="24"/>
        </w:rPr>
        <w:t xml:space="preserve"> reflete, em menor intensidade, as forças </w:t>
      </w:r>
      <w:proofErr w:type="spellStart"/>
      <w:r w:rsidRPr="008B470D">
        <w:rPr>
          <w:rFonts w:ascii="Times New Roman" w:hAnsi="Times New Roman" w:cs="Times New Roman"/>
          <w:sz w:val="24"/>
          <w:szCs w:val="24"/>
        </w:rPr>
        <w:t>desaglomerativas</w:t>
      </w:r>
      <w:proofErr w:type="spellEnd"/>
      <w:r w:rsidRPr="008B470D">
        <w:rPr>
          <w:rFonts w:ascii="Times New Roman" w:hAnsi="Times New Roman" w:cs="Times New Roman"/>
          <w:sz w:val="24"/>
          <w:szCs w:val="24"/>
        </w:rPr>
        <w:t>, isto é, efeitos de co</w:t>
      </w:r>
      <w:r w:rsidRPr="008B470D">
        <w:rPr>
          <w:rFonts w:ascii="Times New Roman" w:hAnsi="Times New Roman" w:cs="Times New Roman"/>
          <w:sz w:val="24"/>
          <w:szCs w:val="24"/>
        </w:rPr>
        <w:t>n</w:t>
      </w:r>
      <w:r w:rsidRPr="008B470D">
        <w:rPr>
          <w:rFonts w:ascii="Times New Roman" w:hAnsi="Times New Roman" w:cs="Times New Roman"/>
          <w:sz w:val="24"/>
          <w:szCs w:val="24"/>
        </w:rPr>
        <w:t xml:space="preserve">gestão ou a </w:t>
      </w:r>
      <w:proofErr w:type="spellStart"/>
      <w:r w:rsidRPr="008B470D">
        <w:rPr>
          <w:rFonts w:ascii="Times New Roman" w:hAnsi="Times New Roman" w:cs="Times New Roman"/>
          <w:sz w:val="24"/>
          <w:szCs w:val="24"/>
        </w:rPr>
        <w:t>atua-ção</w:t>
      </w:r>
      <w:proofErr w:type="spellEnd"/>
      <w:r w:rsidRPr="008B470D">
        <w:rPr>
          <w:rFonts w:ascii="Times New Roman" w:hAnsi="Times New Roman" w:cs="Times New Roman"/>
          <w:sz w:val="24"/>
          <w:szCs w:val="24"/>
        </w:rPr>
        <w:t xml:space="preserve"> das forças centrífugas. Os efeitos de congestão estão ligados a fatores dive</w:t>
      </w:r>
      <w:r w:rsidRPr="008B470D">
        <w:rPr>
          <w:rFonts w:ascii="Times New Roman" w:hAnsi="Times New Roman" w:cs="Times New Roman"/>
          <w:sz w:val="24"/>
          <w:szCs w:val="24"/>
        </w:rPr>
        <w:t>r</w:t>
      </w:r>
      <w:r w:rsidRPr="008B470D">
        <w:rPr>
          <w:rFonts w:ascii="Times New Roman" w:hAnsi="Times New Roman" w:cs="Times New Roman"/>
          <w:sz w:val="24"/>
          <w:szCs w:val="24"/>
        </w:rPr>
        <w:t xml:space="preserve">sos, como poluição nas zonas urbanas, alto custo de vida, criminalidade, entre outros (GLAESER, 1998; HERZOG; SCHLOTT-MANN, 1993). A variável </w:t>
      </w:r>
      <w:proofErr w:type="spellStart"/>
      <w:r w:rsidRPr="008B470D">
        <w:rPr>
          <w:rFonts w:ascii="Times New Roman" w:hAnsi="Times New Roman" w:cs="Times New Roman"/>
          <w:sz w:val="24"/>
          <w:szCs w:val="24"/>
        </w:rPr>
        <w:t>IDH-Renda</w:t>
      </w:r>
      <w:proofErr w:type="spellEnd"/>
      <w:r w:rsidRPr="008B470D">
        <w:rPr>
          <w:rFonts w:ascii="Times New Roman" w:hAnsi="Times New Roman" w:cs="Times New Roman"/>
          <w:sz w:val="24"/>
          <w:szCs w:val="24"/>
        </w:rPr>
        <w:t xml:space="preserve"> é uma boa representante das forças centrífugas, pois pode ser </w:t>
      </w:r>
      <w:proofErr w:type="spellStart"/>
      <w:r w:rsidRPr="008B470D">
        <w:rPr>
          <w:rFonts w:ascii="Times New Roman" w:hAnsi="Times New Roman" w:cs="Times New Roman"/>
          <w:sz w:val="24"/>
          <w:szCs w:val="24"/>
        </w:rPr>
        <w:t>usa-da</w:t>
      </w:r>
      <w:proofErr w:type="spellEnd"/>
      <w:r w:rsidRPr="008B470D">
        <w:rPr>
          <w:rFonts w:ascii="Times New Roman" w:hAnsi="Times New Roman" w:cs="Times New Roman"/>
          <w:sz w:val="24"/>
          <w:szCs w:val="24"/>
        </w:rPr>
        <w:t xml:space="preserve"> como </w:t>
      </w:r>
      <w:proofErr w:type="spellStart"/>
      <w:proofErr w:type="gramStart"/>
      <w:r w:rsidRPr="008B470D">
        <w:rPr>
          <w:rFonts w:ascii="Times New Roman" w:hAnsi="Times New Roman" w:cs="Times New Roman"/>
          <w:sz w:val="24"/>
          <w:szCs w:val="24"/>
        </w:rPr>
        <w:t>proxy</w:t>
      </w:r>
      <w:proofErr w:type="spellEnd"/>
      <w:proofErr w:type="gramEnd"/>
      <w:r w:rsidRPr="008B470D">
        <w:rPr>
          <w:rFonts w:ascii="Times New Roman" w:hAnsi="Times New Roman" w:cs="Times New Roman"/>
          <w:sz w:val="24"/>
          <w:szCs w:val="24"/>
        </w:rPr>
        <w:t xml:space="preserve"> para o alto custo de vida no caso das cidades ou, para o baixo nível de renda, no caso das zonas rurais. Por essas razões, seu efeito foi negativo nas equações para explicarem o crescimento das populações rurais e urbanas. No caso das zonas rurais, o nível de renda geralmente está no limite inferior do </w:t>
      </w:r>
      <w:proofErr w:type="spellStart"/>
      <w:r w:rsidRPr="008B470D">
        <w:rPr>
          <w:rFonts w:ascii="Times New Roman" w:hAnsi="Times New Roman" w:cs="Times New Roman"/>
          <w:sz w:val="24"/>
          <w:szCs w:val="24"/>
        </w:rPr>
        <w:t>IDH-Renda</w:t>
      </w:r>
      <w:proofErr w:type="spellEnd"/>
      <w:r w:rsidRPr="008B470D">
        <w:rPr>
          <w:rFonts w:ascii="Times New Roman" w:hAnsi="Times New Roman" w:cs="Times New Roman"/>
          <w:sz w:val="24"/>
          <w:szCs w:val="24"/>
        </w:rPr>
        <w:t>. Isso leva as pessoas a migrarem para outras localidades em busca de melhores condições de vida. No caso das zonas u</w:t>
      </w:r>
      <w:r w:rsidRPr="008B470D">
        <w:rPr>
          <w:rFonts w:ascii="Times New Roman" w:hAnsi="Times New Roman" w:cs="Times New Roman"/>
          <w:sz w:val="24"/>
          <w:szCs w:val="24"/>
        </w:rPr>
        <w:t>r</w:t>
      </w:r>
      <w:r w:rsidRPr="008B470D">
        <w:rPr>
          <w:rFonts w:ascii="Times New Roman" w:hAnsi="Times New Roman" w:cs="Times New Roman"/>
          <w:sz w:val="24"/>
          <w:szCs w:val="24"/>
        </w:rPr>
        <w:t>banas, esse indicador sugere efeitos de congestão ou a atuação das forças centrífugas. Inicialme</w:t>
      </w:r>
      <w:r w:rsidRPr="008B470D">
        <w:rPr>
          <w:rFonts w:ascii="Times New Roman" w:hAnsi="Times New Roman" w:cs="Times New Roman"/>
          <w:sz w:val="24"/>
          <w:szCs w:val="24"/>
        </w:rPr>
        <w:t>n</w:t>
      </w:r>
      <w:r w:rsidRPr="008B470D">
        <w:rPr>
          <w:rFonts w:ascii="Times New Roman" w:hAnsi="Times New Roman" w:cs="Times New Roman"/>
          <w:sz w:val="24"/>
          <w:szCs w:val="24"/>
        </w:rPr>
        <w:t>te, as pessoas são atraídas por salários maiores, porém, nas áreas urbanas o custo de vida é mais elevado e isso é decorrente do aumento da densidade populacional, que aumenta o preço da hab</w:t>
      </w:r>
      <w:r w:rsidRPr="008B470D">
        <w:rPr>
          <w:rFonts w:ascii="Times New Roman" w:hAnsi="Times New Roman" w:cs="Times New Roman"/>
          <w:sz w:val="24"/>
          <w:szCs w:val="24"/>
        </w:rPr>
        <w:t>i</w:t>
      </w:r>
      <w:r w:rsidRPr="008B470D">
        <w:rPr>
          <w:rFonts w:ascii="Times New Roman" w:hAnsi="Times New Roman" w:cs="Times New Roman"/>
          <w:sz w:val="24"/>
          <w:szCs w:val="24"/>
        </w:rPr>
        <w:t xml:space="preserve">tação (GLAESER </w:t>
      </w:r>
      <w:proofErr w:type="spellStart"/>
      <w:proofErr w:type="gramStart"/>
      <w:r w:rsidRPr="008B470D">
        <w:rPr>
          <w:rFonts w:ascii="Times New Roman" w:hAnsi="Times New Roman" w:cs="Times New Roman"/>
          <w:sz w:val="24"/>
          <w:szCs w:val="24"/>
        </w:rPr>
        <w:t>et</w:t>
      </w:r>
      <w:proofErr w:type="spellEnd"/>
      <w:proofErr w:type="gramEnd"/>
      <w:r w:rsidRPr="008B470D">
        <w:rPr>
          <w:rFonts w:ascii="Times New Roman" w:hAnsi="Times New Roman" w:cs="Times New Roman"/>
          <w:sz w:val="24"/>
          <w:szCs w:val="24"/>
        </w:rPr>
        <w:t xml:space="preserve"> al., 1995; 2001). Dessa forma, a permanência dos migrantes das zonas rurais nas zonas urbanas aumenta as estatísticas de pessoas com renda abaixo da linha de pobreza.  Provave</w:t>
      </w:r>
      <w:r w:rsidRPr="008B470D">
        <w:rPr>
          <w:rFonts w:ascii="Times New Roman" w:hAnsi="Times New Roman" w:cs="Times New Roman"/>
          <w:sz w:val="24"/>
          <w:szCs w:val="24"/>
        </w:rPr>
        <w:t>l</w:t>
      </w:r>
      <w:r w:rsidRPr="008B470D">
        <w:rPr>
          <w:rFonts w:ascii="Times New Roman" w:hAnsi="Times New Roman" w:cs="Times New Roman"/>
          <w:sz w:val="24"/>
          <w:szCs w:val="24"/>
        </w:rPr>
        <w:t xml:space="preserve">mente, são essas as razões que levaram à queda do </w:t>
      </w:r>
      <w:proofErr w:type="spellStart"/>
      <w:r w:rsidRPr="008B470D">
        <w:rPr>
          <w:rFonts w:ascii="Times New Roman" w:hAnsi="Times New Roman" w:cs="Times New Roman"/>
          <w:sz w:val="24"/>
          <w:szCs w:val="24"/>
        </w:rPr>
        <w:t>IDH-Renda</w:t>
      </w:r>
      <w:proofErr w:type="spellEnd"/>
      <w:r w:rsidRPr="008B470D">
        <w:rPr>
          <w:rFonts w:ascii="Times New Roman" w:hAnsi="Times New Roman" w:cs="Times New Roman"/>
          <w:sz w:val="24"/>
          <w:szCs w:val="24"/>
        </w:rPr>
        <w:t xml:space="preserve"> em diversos municípios da Região Norte, entre os anos de 1980 a 2000. Daí seus efeitos negativos no crescimento populaci</w:t>
      </w:r>
      <w:r w:rsidRPr="008B470D">
        <w:rPr>
          <w:rFonts w:ascii="Times New Roman" w:hAnsi="Times New Roman" w:cs="Times New Roman"/>
          <w:sz w:val="24"/>
          <w:szCs w:val="24"/>
        </w:rPr>
        <w:t>o</w:t>
      </w:r>
      <w:r w:rsidRPr="008B470D">
        <w:rPr>
          <w:rFonts w:ascii="Times New Roman" w:hAnsi="Times New Roman" w:cs="Times New Roman"/>
          <w:sz w:val="24"/>
          <w:szCs w:val="24"/>
        </w:rPr>
        <w:t xml:space="preserve">nal.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O </w:t>
      </w:r>
      <w:proofErr w:type="spellStart"/>
      <w:r w:rsidRPr="008B470D">
        <w:rPr>
          <w:rFonts w:ascii="Times New Roman" w:hAnsi="Times New Roman" w:cs="Times New Roman"/>
          <w:sz w:val="24"/>
          <w:szCs w:val="24"/>
        </w:rPr>
        <w:t>IDH-longevidade</w:t>
      </w:r>
      <w:proofErr w:type="spellEnd"/>
      <w:r w:rsidRPr="008B470D">
        <w:rPr>
          <w:rFonts w:ascii="Times New Roman" w:hAnsi="Times New Roman" w:cs="Times New Roman"/>
          <w:sz w:val="24"/>
          <w:szCs w:val="24"/>
        </w:rPr>
        <w:t xml:space="preserve">, apesar de negativo, não necessariamente reflete efeitos de congestão. O </w:t>
      </w:r>
      <w:proofErr w:type="spellStart"/>
      <w:r w:rsidRPr="008B470D">
        <w:rPr>
          <w:rFonts w:ascii="Times New Roman" w:hAnsi="Times New Roman" w:cs="Times New Roman"/>
          <w:sz w:val="24"/>
          <w:szCs w:val="24"/>
        </w:rPr>
        <w:t>aumen-to</w:t>
      </w:r>
      <w:proofErr w:type="spellEnd"/>
      <w:r w:rsidRPr="008B470D">
        <w:rPr>
          <w:rFonts w:ascii="Times New Roman" w:hAnsi="Times New Roman" w:cs="Times New Roman"/>
          <w:sz w:val="24"/>
          <w:szCs w:val="24"/>
        </w:rPr>
        <w:t xml:space="preserve"> da qualidade de vida, medido pelo </w:t>
      </w:r>
      <w:proofErr w:type="spellStart"/>
      <w:r w:rsidRPr="008B470D">
        <w:rPr>
          <w:rFonts w:ascii="Times New Roman" w:hAnsi="Times New Roman" w:cs="Times New Roman"/>
          <w:sz w:val="24"/>
          <w:szCs w:val="24"/>
        </w:rPr>
        <w:t>IDH-Longevidade</w:t>
      </w:r>
      <w:proofErr w:type="spellEnd"/>
      <w:r w:rsidRPr="008B470D">
        <w:rPr>
          <w:rFonts w:ascii="Times New Roman" w:hAnsi="Times New Roman" w:cs="Times New Roman"/>
          <w:sz w:val="24"/>
          <w:szCs w:val="24"/>
        </w:rPr>
        <w:t>, implica em redução da taxa de f</w:t>
      </w:r>
      <w:r w:rsidRPr="008B470D">
        <w:rPr>
          <w:rFonts w:ascii="Times New Roman" w:hAnsi="Times New Roman" w:cs="Times New Roman"/>
          <w:sz w:val="24"/>
          <w:szCs w:val="24"/>
        </w:rPr>
        <w:t>e</w:t>
      </w:r>
      <w:r w:rsidRPr="008B470D">
        <w:rPr>
          <w:rFonts w:ascii="Times New Roman" w:hAnsi="Times New Roman" w:cs="Times New Roman"/>
          <w:sz w:val="24"/>
          <w:szCs w:val="24"/>
        </w:rPr>
        <w:t>cundidade, que por sua vez reduz a participação dos jovens na distribuição etária da população, ocasionando também a redução populacional (WONG, 2001). Na medida em que as pessoas s</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bem que vão viver mais, aliado à </w:t>
      </w:r>
      <w:r w:rsidRPr="008B470D">
        <w:rPr>
          <w:rFonts w:ascii="Times New Roman" w:hAnsi="Times New Roman" w:cs="Times New Roman"/>
          <w:sz w:val="24"/>
          <w:szCs w:val="24"/>
        </w:rPr>
        <w:lastRenderedPageBreak/>
        <w:t xml:space="preserve">melhoria do nível educacional e à baixa renda, estas tendem a ter menos filhos e aumentar a taxa de </w:t>
      </w:r>
      <w:proofErr w:type="spellStart"/>
      <w:r w:rsidRPr="008B470D">
        <w:rPr>
          <w:rFonts w:ascii="Times New Roman" w:hAnsi="Times New Roman" w:cs="Times New Roman"/>
          <w:sz w:val="24"/>
          <w:szCs w:val="24"/>
        </w:rPr>
        <w:t>pou-pança</w:t>
      </w:r>
      <w:proofErr w:type="spellEnd"/>
      <w:r w:rsidRPr="008B470D">
        <w:rPr>
          <w:rFonts w:ascii="Times New Roman" w:hAnsi="Times New Roman" w:cs="Times New Roman"/>
          <w:sz w:val="24"/>
          <w:szCs w:val="24"/>
        </w:rPr>
        <w:t xml:space="preserve"> para o futuro. Os resultados sugerem que isso está ocorrendo tanto nas zonas urbanas quanto rurais. Vale destacar que o aumento da expectativa de vida não está diretamente relacionado a maiores níveis de renda. Portanto, é possível ter aumento da expectativa de vida sem, necessariamente, ter aumento de </w:t>
      </w:r>
      <w:proofErr w:type="spellStart"/>
      <w:r w:rsidRPr="008B470D">
        <w:rPr>
          <w:rFonts w:ascii="Times New Roman" w:hAnsi="Times New Roman" w:cs="Times New Roman"/>
          <w:sz w:val="24"/>
          <w:szCs w:val="24"/>
        </w:rPr>
        <w:t>ren-da</w:t>
      </w:r>
      <w:proofErr w:type="spellEnd"/>
      <w:r w:rsidRPr="008B470D">
        <w:rPr>
          <w:rFonts w:ascii="Times New Roman" w:hAnsi="Times New Roman" w:cs="Times New Roman"/>
          <w:sz w:val="24"/>
          <w:szCs w:val="24"/>
        </w:rPr>
        <w:t xml:space="preserve">. O </w:t>
      </w:r>
      <w:proofErr w:type="spellStart"/>
      <w:r w:rsidRPr="008B470D">
        <w:rPr>
          <w:rFonts w:ascii="Times New Roman" w:hAnsi="Times New Roman" w:cs="Times New Roman"/>
          <w:sz w:val="24"/>
          <w:szCs w:val="24"/>
        </w:rPr>
        <w:t>IDH-Renda</w:t>
      </w:r>
      <w:proofErr w:type="spellEnd"/>
      <w:r w:rsidRPr="008B470D">
        <w:rPr>
          <w:rFonts w:ascii="Times New Roman" w:hAnsi="Times New Roman" w:cs="Times New Roman"/>
          <w:sz w:val="24"/>
          <w:szCs w:val="24"/>
        </w:rPr>
        <w:t xml:space="preserve"> tem efeitos negativos sobre o crescimento das populações das zonas rurais e urbanas.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As evidências observadas na literatura da NGE indicam que </w:t>
      </w:r>
      <w:proofErr w:type="gramStart"/>
      <w:r w:rsidRPr="008B470D">
        <w:rPr>
          <w:rFonts w:ascii="Times New Roman" w:hAnsi="Times New Roman" w:cs="Times New Roman"/>
          <w:sz w:val="24"/>
          <w:szCs w:val="24"/>
        </w:rPr>
        <w:t>há ganhos</w:t>
      </w:r>
      <w:proofErr w:type="gramEnd"/>
      <w:r w:rsidRPr="008B470D">
        <w:rPr>
          <w:rFonts w:ascii="Times New Roman" w:hAnsi="Times New Roman" w:cs="Times New Roman"/>
          <w:sz w:val="24"/>
          <w:szCs w:val="24"/>
        </w:rPr>
        <w:t xml:space="preserve"> substanciais de prod</w:t>
      </w:r>
      <w:r w:rsidRPr="008B470D">
        <w:rPr>
          <w:rFonts w:ascii="Times New Roman" w:hAnsi="Times New Roman" w:cs="Times New Roman"/>
          <w:sz w:val="24"/>
          <w:szCs w:val="24"/>
        </w:rPr>
        <w:t>u</w:t>
      </w:r>
      <w:r w:rsidRPr="008B470D">
        <w:rPr>
          <w:rFonts w:ascii="Times New Roman" w:hAnsi="Times New Roman" w:cs="Times New Roman"/>
          <w:sz w:val="24"/>
          <w:szCs w:val="24"/>
        </w:rPr>
        <w:t>tividade com transbordamento da informação (</w:t>
      </w:r>
      <w:proofErr w:type="spellStart"/>
      <w:r w:rsidRPr="008B470D">
        <w:rPr>
          <w:rFonts w:ascii="Times New Roman" w:hAnsi="Times New Roman" w:cs="Times New Roman"/>
          <w:sz w:val="24"/>
          <w:szCs w:val="24"/>
        </w:rPr>
        <w:t>spillovers</w:t>
      </w:r>
      <w:proofErr w:type="spellEnd"/>
      <w:r w:rsidRPr="008B470D">
        <w:rPr>
          <w:rFonts w:ascii="Times New Roman" w:hAnsi="Times New Roman" w:cs="Times New Roman"/>
          <w:sz w:val="24"/>
          <w:szCs w:val="24"/>
        </w:rPr>
        <w:t>) e isso é decorrente da melhor qualific</w:t>
      </w:r>
      <w:r w:rsidRPr="008B470D">
        <w:rPr>
          <w:rFonts w:ascii="Times New Roman" w:hAnsi="Times New Roman" w:cs="Times New Roman"/>
          <w:sz w:val="24"/>
          <w:szCs w:val="24"/>
        </w:rPr>
        <w:t>a</w:t>
      </w:r>
      <w:r w:rsidRPr="008B470D">
        <w:rPr>
          <w:rFonts w:ascii="Times New Roman" w:hAnsi="Times New Roman" w:cs="Times New Roman"/>
          <w:sz w:val="24"/>
          <w:szCs w:val="24"/>
        </w:rPr>
        <w:t>ção da mão de obra (HENDERSON; THISSE, 2004). Pessoas com melhor qualificação recebem maiores salários, da mesma forma que as empresas se instalam onde a mão de obra é mais qualif</w:t>
      </w:r>
      <w:r w:rsidRPr="008B470D">
        <w:rPr>
          <w:rFonts w:ascii="Times New Roman" w:hAnsi="Times New Roman" w:cs="Times New Roman"/>
          <w:sz w:val="24"/>
          <w:szCs w:val="24"/>
        </w:rPr>
        <w:t>i</w:t>
      </w:r>
      <w:r w:rsidRPr="008B470D">
        <w:rPr>
          <w:rFonts w:ascii="Times New Roman" w:hAnsi="Times New Roman" w:cs="Times New Roman"/>
          <w:sz w:val="24"/>
          <w:szCs w:val="24"/>
        </w:rPr>
        <w:t>cada (KRUGMAN, 1991a). Os resultados obtidos demonstram essas implicações por meio das v</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riáveis </w:t>
      </w:r>
      <w:proofErr w:type="spellStart"/>
      <w:r w:rsidRPr="008B470D">
        <w:rPr>
          <w:rFonts w:ascii="Times New Roman" w:hAnsi="Times New Roman" w:cs="Times New Roman"/>
          <w:sz w:val="24"/>
          <w:szCs w:val="24"/>
        </w:rPr>
        <w:t>IDH-Educação</w:t>
      </w:r>
      <w:proofErr w:type="spellEnd"/>
      <w:r w:rsidRPr="008B470D">
        <w:rPr>
          <w:rFonts w:ascii="Times New Roman" w:hAnsi="Times New Roman" w:cs="Times New Roman"/>
          <w:sz w:val="24"/>
          <w:szCs w:val="24"/>
        </w:rPr>
        <w:t xml:space="preserve"> e Salário. Teoricamente, era de se esperar que o sinal do coeficiente da v</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riável </w:t>
      </w:r>
      <w:proofErr w:type="spellStart"/>
      <w:r w:rsidRPr="008B470D">
        <w:rPr>
          <w:rFonts w:ascii="Times New Roman" w:hAnsi="Times New Roman" w:cs="Times New Roman"/>
          <w:sz w:val="24"/>
          <w:szCs w:val="24"/>
        </w:rPr>
        <w:t>IDH-Educação</w:t>
      </w:r>
      <w:proofErr w:type="spellEnd"/>
      <w:r w:rsidRPr="008B470D">
        <w:rPr>
          <w:rFonts w:ascii="Times New Roman" w:hAnsi="Times New Roman" w:cs="Times New Roman"/>
          <w:sz w:val="24"/>
          <w:szCs w:val="24"/>
        </w:rPr>
        <w:t xml:space="preserve"> fosse negativo para zonas rurais e positivo para zonas urbanas. No entanto, em ambos os modelos essa variável sugere que há aumentos populacionais decorrentes das melh</w:t>
      </w:r>
      <w:r w:rsidRPr="008B470D">
        <w:rPr>
          <w:rFonts w:ascii="Times New Roman" w:hAnsi="Times New Roman" w:cs="Times New Roman"/>
          <w:sz w:val="24"/>
          <w:szCs w:val="24"/>
        </w:rPr>
        <w:t>o</w:t>
      </w:r>
      <w:r w:rsidRPr="008B470D">
        <w:rPr>
          <w:rFonts w:ascii="Times New Roman" w:hAnsi="Times New Roman" w:cs="Times New Roman"/>
          <w:sz w:val="24"/>
          <w:szCs w:val="24"/>
        </w:rPr>
        <w:t xml:space="preserve">rias nesse indicador. Quanto à variável salário, esta parece ser a melhor representante de efeitos </w:t>
      </w:r>
      <w:proofErr w:type="spellStart"/>
      <w:r w:rsidRPr="008B470D">
        <w:rPr>
          <w:rFonts w:ascii="Times New Roman" w:hAnsi="Times New Roman" w:cs="Times New Roman"/>
          <w:sz w:val="24"/>
          <w:szCs w:val="24"/>
        </w:rPr>
        <w:t>encadeadores</w:t>
      </w:r>
      <w:proofErr w:type="spellEnd"/>
      <w:r w:rsidRPr="008B470D">
        <w:rPr>
          <w:rFonts w:ascii="Times New Roman" w:hAnsi="Times New Roman" w:cs="Times New Roman"/>
          <w:sz w:val="24"/>
          <w:szCs w:val="24"/>
        </w:rPr>
        <w:t xml:space="preserve"> para frente, que fortalecem os efeitos das forças </w:t>
      </w:r>
      <w:proofErr w:type="spellStart"/>
      <w:r w:rsidRPr="008B470D">
        <w:rPr>
          <w:rFonts w:ascii="Times New Roman" w:hAnsi="Times New Roman" w:cs="Times New Roman"/>
          <w:sz w:val="24"/>
          <w:szCs w:val="24"/>
        </w:rPr>
        <w:t>cen-trípetas</w:t>
      </w:r>
      <w:proofErr w:type="spellEnd"/>
      <w:r w:rsidRPr="008B470D">
        <w:rPr>
          <w:rFonts w:ascii="Times New Roman" w:hAnsi="Times New Roman" w:cs="Times New Roman"/>
          <w:sz w:val="24"/>
          <w:szCs w:val="24"/>
        </w:rPr>
        <w:t xml:space="preserve"> de aumentos popul</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cionais. Nas regressões para populações urbanas e rurais, essa variável </w:t>
      </w:r>
      <w:proofErr w:type="spellStart"/>
      <w:r w:rsidRPr="008B470D">
        <w:rPr>
          <w:rFonts w:ascii="Times New Roman" w:hAnsi="Times New Roman" w:cs="Times New Roman"/>
          <w:sz w:val="24"/>
          <w:szCs w:val="24"/>
        </w:rPr>
        <w:t>mos-trou-se</w:t>
      </w:r>
      <w:proofErr w:type="spellEnd"/>
      <w:r w:rsidRPr="008B470D">
        <w:rPr>
          <w:rFonts w:ascii="Times New Roman" w:hAnsi="Times New Roman" w:cs="Times New Roman"/>
          <w:sz w:val="24"/>
          <w:szCs w:val="24"/>
        </w:rPr>
        <w:t xml:space="preserve"> de grande i</w:t>
      </w:r>
      <w:r w:rsidRPr="008B470D">
        <w:rPr>
          <w:rFonts w:ascii="Times New Roman" w:hAnsi="Times New Roman" w:cs="Times New Roman"/>
          <w:sz w:val="24"/>
          <w:szCs w:val="24"/>
        </w:rPr>
        <w:t>m</w:t>
      </w:r>
      <w:r w:rsidRPr="008B470D">
        <w:rPr>
          <w:rFonts w:ascii="Times New Roman" w:hAnsi="Times New Roman" w:cs="Times New Roman"/>
          <w:sz w:val="24"/>
          <w:szCs w:val="24"/>
        </w:rPr>
        <w:t>portância, especialmente no caso da população urbana, para a qual o coeficiente da variável sal</w:t>
      </w:r>
      <w:r w:rsidRPr="008B470D">
        <w:rPr>
          <w:rFonts w:ascii="Times New Roman" w:hAnsi="Times New Roman" w:cs="Times New Roman"/>
          <w:sz w:val="24"/>
          <w:szCs w:val="24"/>
        </w:rPr>
        <w:t>á</w:t>
      </w:r>
      <w:r w:rsidRPr="008B470D">
        <w:rPr>
          <w:rFonts w:ascii="Times New Roman" w:hAnsi="Times New Roman" w:cs="Times New Roman"/>
          <w:sz w:val="24"/>
          <w:szCs w:val="24"/>
        </w:rPr>
        <w:t xml:space="preserve">rio é 49,7% maior que no caso da regressão para população rural. Este é mais um resultado que reitera a superação das forças centrípetas em relação às centrífugas.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Grande parte dos efeitos das mudanças populacionais observadas e discutidas acima pode ser </w:t>
      </w:r>
      <w:proofErr w:type="spellStart"/>
      <w:r w:rsidRPr="008B470D">
        <w:rPr>
          <w:rFonts w:ascii="Times New Roman" w:hAnsi="Times New Roman" w:cs="Times New Roman"/>
          <w:sz w:val="24"/>
          <w:szCs w:val="24"/>
        </w:rPr>
        <w:t>atribu-ída</w:t>
      </w:r>
      <w:proofErr w:type="spellEnd"/>
      <w:r w:rsidRPr="008B470D">
        <w:rPr>
          <w:rFonts w:ascii="Times New Roman" w:hAnsi="Times New Roman" w:cs="Times New Roman"/>
          <w:sz w:val="24"/>
          <w:szCs w:val="24"/>
        </w:rPr>
        <w:t xml:space="preserve"> às mudanças nos custos de transportes. O índice de acessibilidade, também chamado de potencial de mercado, capta esse efeito e vários outros, todos em consonância com os pressupo</w:t>
      </w:r>
      <w:r w:rsidRPr="008B470D">
        <w:rPr>
          <w:rFonts w:ascii="Times New Roman" w:hAnsi="Times New Roman" w:cs="Times New Roman"/>
          <w:sz w:val="24"/>
          <w:szCs w:val="24"/>
        </w:rPr>
        <w:t>s</w:t>
      </w:r>
      <w:r w:rsidRPr="008B470D">
        <w:rPr>
          <w:rFonts w:ascii="Times New Roman" w:hAnsi="Times New Roman" w:cs="Times New Roman"/>
          <w:sz w:val="24"/>
          <w:szCs w:val="24"/>
        </w:rPr>
        <w:t xml:space="preserve">tos da NGE, </w:t>
      </w:r>
      <w:proofErr w:type="spellStart"/>
      <w:r w:rsidRPr="008B470D">
        <w:rPr>
          <w:rFonts w:ascii="Times New Roman" w:hAnsi="Times New Roman" w:cs="Times New Roman"/>
          <w:sz w:val="24"/>
          <w:szCs w:val="24"/>
        </w:rPr>
        <w:t>aborda-dos</w:t>
      </w:r>
      <w:proofErr w:type="spellEnd"/>
      <w:r w:rsidRPr="008B470D">
        <w:rPr>
          <w:rFonts w:ascii="Times New Roman" w:hAnsi="Times New Roman" w:cs="Times New Roman"/>
          <w:sz w:val="24"/>
          <w:szCs w:val="24"/>
        </w:rPr>
        <w:t xml:space="preserve"> nos capítulos prévios. Na avaliação das mudanças populacionais nas z</w:t>
      </w:r>
      <w:r w:rsidRPr="008B470D">
        <w:rPr>
          <w:rFonts w:ascii="Times New Roman" w:hAnsi="Times New Roman" w:cs="Times New Roman"/>
          <w:sz w:val="24"/>
          <w:szCs w:val="24"/>
        </w:rPr>
        <w:t>o</w:t>
      </w:r>
      <w:r w:rsidRPr="008B470D">
        <w:rPr>
          <w:rFonts w:ascii="Times New Roman" w:hAnsi="Times New Roman" w:cs="Times New Roman"/>
          <w:sz w:val="24"/>
          <w:szCs w:val="24"/>
        </w:rPr>
        <w:t xml:space="preserve">nas rurais, o índice de </w:t>
      </w:r>
      <w:proofErr w:type="spellStart"/>
      <w:r w:rsidRPr="008B470D">
        <w:rPr>
          <w:rFonts w:ascii="Times New Roman" w:hAnsi="Times New Roman" w:cs="Times New Roman"/>
          <w:sz w:val="24"/>
          <w:szCs w:val="24"/>
        </w:rPr>
        <w:t>acessi-bilidade</w:t>
      </w:r>
      <w:proofErr w:type="spellEnd"/>
      <w:r w:rsidRPr="008B470D">
        <w:rPr>
          <w:rFonts w:ascii="Times New Roman" w:hAnsi="Times New Roman" w:cs="Times New Roman"/>
          <w:sz w:val="24"/>
          <w:szCs w:val="24"/>
        </w:rPr>
        <w:t xml:space="preserve"> surtiu efeitos negativos, implicando que sua melhoria em 1% diminui a taxa de crescimento da população rural em 0,75%. É a variável de maior impacto na regressão para a população rural. Na regre</w:t>
      </w:r>
      <w:r w:rsidRPr="008B470D">
        <w:rPr>
          <w:rFonts w:ascii="Times New Roman" w:hAnsi="Times New Roman" w:cs="Times New Roman"/>
          <w:sz w:val="24"/>
          <w:szCs w:val="24"/>
        </w:rPr>
        <w:t>s</w:t>
      </w:r>
      <w:r w:rsidRPr="008B470D">
        <w:rPr>
          <w:rFonts w:ascii="Times New Roman" w:hAnsi="Times New Roman" w:cs="Times New Roman"/>
          <w:sz w:val="24"/>
          <w:szCs w:val="24"/>
        </w:rPr>
        <w:t>são para a população urbana seu efeito é positivo, o qual implica em aumento de 0,20% na taxa de cre</w:t>
      </w:r>
      <w:r w:rsidRPr="008B470D">
        <w:rPr>
          <w:rFonts w:ascii="Times New Roman" w:hAnsi="Times New Roman" w:cs="Times New Roman"/>
          <w:sz w:val="24"/>
          <w:szCs w:val="24"/>
        </w:rPr>
        <w:t>s</w:t>
      </w:r>
      <w:r w:rsidRPr="008B470D">
        <w:rPr>
          <w:rFonts w:ascii="Times New Roman" w:hAnsi="Times New Roman" w:cs="Times New Roman"/>
          <w:sz w:val="24"/>
          <w:szCs w:val="24"/>
        </w:rPr>
        <w:t>cimento da população urbana para cada melh</w:t>
      </w:r>
      <w:r w:rsidRPr="008B470D">
        <w:rPr>
          <w:rFonts w:ascii="Times New Roman" w:hAnsi="Times New Roman" w:cs="Times New Roman"/>
          <w:sz w:val="24"/>
          <w:szCs w:val="24"/>
        </w:rPr>
        <w:t>o</w:t>
      </w:r>
      <w:r w:rsidRPr="008B470D">
        <w:rPr>
          <w:rFonts w:ascii="Times New Roman" w:hAnsi="Times New Roman" w:cs="Times New Roman"/>
          <w:sz w:val="24"/>
          <w:szCs w:val="24"/>
        </w:rPr>
        <w:t>ria de 1% no índice. Nota-se, portanto, que esse indicador pode explicar movimentos de pessoas, assim como a localização das firmas (HEAD; MAYER, 2004b). O forte efeito do índice de ace</w:t>
      </w:r>
      <w:r w:rsidRPr="008B470D">
        <w:rPr>
          <w:rFonts w:ascii="Times New Roman" w:hAnsi="Times New Roman" w:cs="Times New Roman"/>
          <w:sz w:val="24"/>
          <w:szCs w:val="24"/>
        </w:rPr>
        <w:t>s</w:t>
      </w:r>
      <w:r w:rsidRPr="008B470D">
        <w:rPr>
          <w:rFonts w:ascii="Times New Roman" w:hAnsi="Times New Roman" w:cs="Times New Roman"/>
          <w:sz w:val="24"/>
          <w:szCs w:val="24"/>
        </w:rPr>
        <w:t xml:space="preserve">sibilidade sobre o crescimento da população rural e urbana está relacionado aos seguintes fatores: a) </w:t>
      </w:r>
      <w:proofErr w:type="gramStart"/>
      <w:r w:rsidRPr="008B470D">
        <w:rPr>
          <w:rFonts w:ascii="Times New Roman" w:hAnsi="Times New Roman" w:cs="Times New Roman"/>
          <w:sz w:val="24"/>
          <w:szCs w:val="24"/>
        </w:rPr>
        <w:t>proximidade aos maiores centros urbanos</w:t>
      </w:r>
      <w:proofErr w:type="gramEnd"/>
      <w:r w:rsidRPr="008B470D">
        <w:rPr>
          <w:rFonts w:ascii="Times New Roman" w:hAnsi="Times New Roman" w:cs="Times New Roman"/>
          <w:sz w:val="24"/>
          <w:szCs w:val="24"/>
        </w:rPr>
        <w:t xml:space="preserve">; b) redução dos custos de transportes; c) acesso a mercados e a bens e serviços. </w:t>
      </w:r>
    </w:p>
    <w:p w:rsidR="008B470D" w:rsidRPr="008B470D" w:rsidRDefault="008B470D" w:rsidP="0006206E">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Melhor acessibilidade representa mais facilidade de acesso à oferta de negócios e serviços de alta </w:t>
      </w:r>
      <w:proofErr w:type="spellStart"/>
      <w:r w:rsidRPr="008B470D">
        <w:rPr>
          <w:rFonts w:ascii="Times New Roman" w:hAnsi="Times New Roman" w:cs="Times New Roman"/>
          <w:sz w:val="24"/>
          <w:szCs w:val="24"/>
        </w:rPr>
        <w:t>or-dem</w:t>
      </w:r>
      <w:proofErr w:type="spellEnd"/>
      <w:r w:rsidRPr="008B470D">
        <w:rPr>
          <w:rFonts w:ascii="Times New Roman" w:hAnsi="Times New Roman" w:cs="Times New Roman"/>
          <w:sz w:val="24"/>
          <w:szCs w:val="24"/>
        </w:rPr>
        <w:t xml:space="preserve">, como shoppings </w:t>
      </w:r>
      <w:proofErr w:type="spellStart"/>
      <w:r w:rsidRPr="008B470D">
        <w:rPr>
          <w:rFonts w:ascii="Times New Roman" w:hAnsi="Times New Roman" w:cs="Times New Roman"/>
          <w:sz w:val="24"/>
          <w:szCs w:val="24"/>
        </w:rPr>
        <w:t>centers</w:t>
      </w:r>
      <w:proofErr w:type="spellEnd"/>
      <w:r w:rsidRPr="008B470D">
        <w:rPr>
          <w:rFonts w:ascii="Times New Roman" w:hAnsi="Times New Roman" w:cs="Times New Roman"/>
          <w:sz w:val="24"/>
          <w:szCs w:val="24"/>
        </w:rPr>
        <w:t xml:space="preserve">, por exemplo. As cidades mais próximas tendem a ter taxa de crescimento superior, pois passam a ser mais atrativas do ponto de vista econômico e social. As mais distantes tendem a perder população ou crescer a taxas muito inferiores. A partir de então, as pessoas das zonas rurais </w:t>
      </w:r>
      <w:proofErr w:type="spellStart"/>
      <w:r w:rsidRPr="008B470D">
        <w:rPr>
          <w:rFonts w:ascii="Times New Roman" w:hAnsi="Times New Roman" w:cs="Times New Roman"/>
          <w:sz w:val="24"/>
          <w:szCs w:val="24"/>
        </w:rPr>
        <w:t>mi-gram</w:t>
      </w:r>
      <w:proofErr w:type="spellEnd"/>
      <w:r w:rsidRPr="008B470D">
        <w:rPr>
          <w:rFonts w:ascii="Times New Roman" w:hAnsi="Times New Roman" w:cs="Times New Roman"/>
          <w:sz w:val="24"/>
          <w:szCs w:val="24"/>
        </w:rPr>
        <w:t xml:space="preserve"> para as cidades, sejam elas grandes ou apenas próximas às </w:t>
      </w:r>
      <w:r w:rsidRPr="008B470D">
        <w:rPr>
          <w:rFonts w:ascii="Times New Roman" w:hAnsi="Times New Roman" w:cs="Times New Roman"/>
          <w:sz w:val="24"/>
          <w:szCs w:val="24"/>
        </w:rPr>
        <w:t>a</w:t>
      </w:r>
      <w:r w:rsidRPr="008B470D">
        <w:rPr>
          <w:rFonts w:ascii="Times New Roman" w:hAnsi="Times New Roman" w:cs="Times New Roman"/>
          <w:sz w:val="24"/>
          <w:szCs w:val="24"/>
        </w:rPr>
        <w:t xml:space="preserve">glomerações. De fato, o coeficiente </w:t>
      </w:r>
      <w:proofErr w:type="spellStart"/>
      <w:r w:rsidRPr="008B470D">
        <w:rPr>
          <w:rFonts w:ascii="Times New Roman" w:hAnsi="Times New Roman" w:cs="Times New Roman"/>
          <w:sz w:val="24"/>
          <w:szCs w:val="24"/>
        </w:rPr>
        <w:t>po-sitivo</w:t>
      </w:r>
      <w:proofErr w:type="spellEnd"/>
      <w:r w:rsidRPr="008B470D">
        <w:rPr>
          <w:rFonts w:ascii="Times New Roman" w:hAnsi="Times New Roman" w:cs="Times New Roman"/>
          <w:sz w:val="24"/>
          <w:szCs w:val="24"/>
        </w:rPr>
        <w:t xml:space="preserve"> do índice de acessibilidade para o crescimento da população urbana e negativo para a população rural, juntamente com a variável que capta os efe</w:t>
      </w:r>
      <w:r w:rsidRPr="008B470D">
        <w:rPr>
          <w:rFonts w:ascii="Times New Roman" w:hAnsi="Times New Roman" w:cs="Times New Roman"/>
          <w:sz w:val="24"/>
          <w:szCs w:val="24"/>
        </w:rPr>
        <w:t>i</w:t>
      </w:r>
      <w:r w:rsidRPr="008B470D">
        <w:rPr>
          <w:rFonts w:ascii="Times New Roman" w:hAnsi="Times New Roman" w:cs="Times New Roman"/>
          <w:sz w:val="24"/>
          <w:szCs w:val="24"/>
        </w:rPr>
        <w:t>tos de proximidade às aglomerações (grandes cidades da Região Norte), sugerem que esse fen</w:t>
      </w:r>
      <w:r w:rsidRPr="008B470D">
        <w:rPr>
          <w:rFonts w:ascii="Times New Roman" w:hAnsi="Times New Roman" w:cs="Times New Roman"/>
          <w:sz w:val="24"/>
          <w:szCs w:val="24"/>
        </w:rPr>
        <w:t>ô</w:t>
      </w:r>
      <w:r w:rsidRPr="008B470D">
        <w:rPr>
          <w:rFonts w:ascii="Times New Roman" w:hAnsi="Times New Roman" w:cs="Times New Roman"/>
          <w:sz w:val="24"/>
          <w:szCs w:val="24"/>
        </w:rPr>
        <w:t>meno está ocorrendo naquela região. Assim sendo, a diminuição da população rural e a formação das aglomerações em muitas partes da Região Norte devem-se, entre outras razões, à procura por amenidades urbanas, à redução da importância relativa da atividade agrop</w:t>
      </w:r>
      <w:r w:rsidRPr="008B470D">
        <w:rPr>
          <w:rFonts w:ascii="Times New Roman" w:hAnsi="Times New Roman" w:cs="Times New Roman"/>
          <w:sz w:val="24"/>
          <w:szCs w:val="24"/>
        </w:rPr>
        <w:t>e</w:t>
      </w:r>
      <w:r w:rsidRPr="008B470D">
        <w:rPr>
          <w:rFonts w:ascii="Times New Roman" w:hAnsi="Times New Roman" w:cs="Times New Roman"/>
          <w:sz w:val="24"/>
          <w:szCs w:val="24"/>
        </w:rPr>
        <w:t>cuária na composição do PIB, ao baixo nível de renda e à redução nos custos de transportes. Conseqüe</w:t>
      </w:r>
      <w:r w:rsidRPr="008B470D">
        <w:rPr>
          <w:rFonts w:ascii="Times New Roman" w:hAnsi="Times New Roman" w:cs="Times New Roman"/>
          <w:sz w:val="24"/>
          <w:szCs w:val="24"/>
        </w:rPr>
        <w:t>n</w:t>
      </w:r>
      <w:r w:rsidRPr="008B470D">
        <w:rPr>
          <w:rFonts w:ascii="Times New Roman" w:hAnsi="Times New Roman" w:cs="Times New Roman"/>
          <w:sz w:val="24"/>
          <w:szCs w:val="24"/>
        </w:rPr>
        <w:t>temente, agl</w:t>
      </w:r>
      <w:r w:rsidRPr="008B470D">
        <w:rPr>
          <w:rFonts w:ascii="Times New Roman" w:hAnsi="Times New Roman" w:cs="Times New Roman"/>
          <w:sz w:val="24"/>
          <w:szCs w:val="24"/>
        </w:rPr>
        <w:t>o</w:t>
      </w:r>
      <w:r w:rsidRPr="008B470D">
        <w:rPr>
          <w:rFonts w:ascii="Times New Roman" w:hAnsi="Times New Roman" w:cs="Times New Roman"/>
          <w:sz w:val="24"/>
          <w:szCs w:val="24"/>
        </w:rPr>
        <w:t>merações em algumas regiões podem ser bem explicadas por acessibilidade, seja porque houve redução do custo de transporte ou porque o tempo de viagem diminuiu. De acordo com o precon</w:t>
      </w:r>
      <w:r w:rsidRPr="008B470D">
        <w:rPr>
          <w:rFonts w:ascii="Times New Roman" w:hAnsi="Times New Roman" w:cs="Times New Roman"/>
          <w:sz w:val="24"/>
          <w:szCs w:val="24"/>
        </w:rPr>
        <w:t>i</w:t>
      </w:r>
      <w:r w:rsidRPr="008B470D">
        <w:rPr>
          <w:rFonts w:ascii="Times New Roman" w:hAnsi="Times New Roman" w:cs="Times New Roman"/>
          <w:sz w:val="24"/>
          <w:szCs w:val="24"/>
        </w:rPr>
        <w:t xml:space="preserve">zado pela teoria, a variável acessibilidade está atuando como força centrípeta. </w:t>
      </w:r>
    </w:p>
    <w:p w:rsidR="00EB31AE" w:rsidRPr="00553F85" w:rsidRDefault="008B470D" w:rsidP="008B470D">
      <w:pPr>
        <w:pStyle w:val="PargrafodaLista"/>
        <w:spacing w:after="120" w:line="240" w:lineRule="auto"/>
        <w:ind w:left="0" w:firstLine="454"/>
        <w:jc w:val="both"/>
        <w:rPr>
          <w:rFonts w:ascii="Times New Roman" w:hAnsi="Times New Roman" w:cs="Times New Roman"/>
          <w:sz w:val="24"/>
          <w:szCs w:val="24"/>
        </w:rPr>
      </w:pPr>
      <w:r w:rsidRPr="008B470D">
        <w:rPr>
          <w:rFonts w:ascii="Times New Roman" w:hAnsi="Times New Roman" w:cs="Times New Roman"/>
          <w:sz w:val="24"/>
          <w:szCs w:val="24"/>
        </w:rPr>
        <w:t xml:space="preserve">De acordo com os resultados, os efeitos das forças centrífugas nos centros urbanos ainda não são </w:t>
      </w:r>
      <w:proofErr w:type="spellStart"/>
      <w:r w:rsidRPr="008B470D">
        <w:rPr>
          <w:rFonts w:ascii="Times New Roman" w:hAnsi="Times New Roman" w:cs="Times New Roman"/>
          <w:sz w:val="24"/>
          <w:szCs w:val="24"/>
        </w:rPr>
        <w:t>ex-pressivos</w:t>
      </w:r>
      <w:proofErr w:type="spellEnd"/>
      <w:r w:rsidRPr="008B470D">
        <w:rPr>
          <w:rFonts w:ascii="Times New Roman" w:hAnsi="Times New Roman" w:cs="Times New Roman"/>
          <w:sz w:val="24"/>
          <w:szCs w:val="24"/>
        </w:rPr>
        <w:t xml:space="preserve">, prevalecendo ainda </w:t>
      </w:r>
      <w:proofErr w:type="gramStart"/>
      <w:r w:rsidRPr="008B470D">
        <w:rPr>
          <w:rFonts w:ascii="Times New Roman" w:hAnsi="Times New Roman" w:cs="Times New Roman"/>
          <w:sz w:val="24"/>
          <w:szCs w:val="24"/>
        </w:rPr>
        <w:t>a</w:t>
      </w:r>
      <w:proofErr w:type="gramEnd"/>
      <w:r w:rsidRPr="008B470D">
        <w:rPr>
          <w:rFonts w:ascii="Times New Roman" w:hAnsi="Times New Roman" w:cs="Times New Roman"/>
          <w:sz w:val="24"/>
          <w:szCs w:val="24"/>
        </w:rPr>
        <w:t xml:space="preserve"> supremacia das forças centrípetas, ou de atração. Quando isso ocorre, tem-se a formação de um modelo centro-periferia, fundamentado pela NGE. Os efeitos encadeados para frente são notáveis, com forte atração da população rural em direção às zonas urbanas, assim como efeitos encadeados para trás, atraindo grandes empresas para a Região Norte. É uma combinação de resultados que oferecem evidências às hipóteses formuladas nesse trabalho, de que as principais cidades da Região Norte estão atuando como “indutores do crescimento”. Entretanto, essa força motriz se restringe àquelas cidades que estão localizadas no entorno dos maiores centros urbanos. Tal assertiva sugere que as cidades </w:t>
      </w:r>
      <w:r w:rsidRPr="008B470D">
        <w:rPr>
          <w:rFonts w:ascii="Times New Roman" w:hAnsi="Times New Roman" w:cs="Times New Roman"/>
          <w:sz w:val="24"/>
          <w:szCs w:val="24"/>
        </w:rPr>
        <w:lastRenderedPageBreak/>
        <w:t xml:space="preserve">mais distantes carecem de políticas públicas específicas, no sentido de evitar o declínio de sua população, que tende a migrar para as grandes cidades. Como conseqüência do exposto, pode-se cometer o erro de investir grandes quantias nas maiores cidades em detrimento das cidades mais distantes. Se isso ocorrer, tão somente se está contribuindo para fortalecer ainda mais o modelo centro-periferia. Por conseguinte, as políticas públicas direcionadas às cidades com mais baixo índice de acessibilidade, para serem mais </w:t>
      </w:r>
      <w:proofErr w:type="spellStart"/>
      <w:r w:rsidRPr="008B470D">
        <w:rPr>
          <w:rFonts w:ascii="Times New Roman" w:hAnsi="Times New Roman" w:cs="Times New Roman"/>
          <w:sz w:val="24"/>
          <w:szCs w:val="24"/>
        </w:rPr>
        <w:t>efeti-vas</w:t>
      </w:r>
      <w:proofErr w:type="spellEnd"/>
      <w:r w:rsidRPr="008B470D">
        <w:rPr>
          <w:rFonts w:ascii="Times New Roman" w:hAnsi="Times New Roman" w:cs="Times New Roman"/>
          <w:sz w:val="24"/>
          <w:szCs w:val="24"/>
        </w:rPr>
        <w:t xml:space="preserve">, devem ser aplicadas isoladamente, isto é, em cada município. A consolidação de um modelo centro-periferia, tal como o que está ocorrendo na Região Norte, é prejudicial ao seu desenvolvimento </w:t>
      </w:r>
      <w:proofErr w:type="spellStart"/>
      <w:r w:rsidRPr="008B470D">
        <w:rPr>
          <w:rFonts w:ascii="Times New Roman" w:hAnsi="Times New Roman" w:cs="Times New Roman"/>
          <w:sz w:val="24"/>
          <w:szCs w:val="24"/>
        </w:rPr>
        <w:t>econômi-co</w:t>
      </w:r>
      <w:proofErr w:type="spellEnd"/>
      <w:r w:rsidRPr="008B470D">
        <w:rPr>
          <w:rFonts w:ascii="Times New Roman" w:hAnsi="Times New Roman" w:cs="Times New Roman"/>
          <w:sz w:val="24"/>
          <w:szCs w:val="24"/>
        </w:rPr>
        <w:t xml:space="preserve">. Sua extensa área geográfica, os baixos índices de acessibilidade e as questões ambientais inerentes dificultam o processo de difusão das riquezas concentradas nas maiores cidades, ou seja, sua força de </w:t>
      </w:r>
      <w:proofErr w:type="spellStart"/>
      <w:r w:rsidRPr="008B470D">
        <w:rPr>
          <w:rFonts w:ascii="Times New Roman" w:hAnsi="Times New Roman" w:cs="Times New Roman"/>
          <w:sz w:val="24"/>
          <w:szCs w:val="24"/>
        </w:rPr>
        <w:t>spillovers</w:t>
      </w:r>
      <w:proofErr w:type="spellEnd"/>
      <w:r w:rsidRPr="008B470D">
        <w:rPr>
          <w:rFonts w:ascii="Times New Roman" w:hAnsi="Times New Roman" w:cs="Times New Roman"/>
          <w:sz w:val="24"/>
          <w:szCs w:val="24"/>
        </w:rPr>
        <w:t xml:space="preserve"> é reduzida. Possivelmente, são estas as razões que levam a tamanha desigualdade </w:t>
      </w:r>
      <w:proofErr w:type="spellStart"/>
      <w:r w:rsidRPr="008B470D">
        <w:rPr>
          <w:rFonts w:ascii="Times New Roman" w:hAnsi="Times New Roman" w:cs="Times New Roman"/>
          <w:sz w:val="24"/>
          <w:szCs w:val="24"/>
        </w:rPr>
        <w:t>socioeconô-mica</w:t>
      </w:r>
      <w:proofErr w:type="spellEnd"/>
      <w:r w:rsidRPr="008B470D">
        <w:rPr>
          <w:rFonts w:ascii="Times New Roman" w:hAnsi="Times New Roman" w:cs="Times New Roman"/>
          <w:sz w:val="24"/>
          <w:szCs w:val="24"/>
        </w:rPr>
        <w:t xml:space="preserve"> existente na Região Norte. O baixo nível de acessibilidade parece ser o gargalo do isolamento das cidades do Norte, tornando as forças centrípetas cada vez mais fortes</w:t>
      </w:r>
      <w:r w:rsidR="004975A0" w:rsidRPr="00553F85">
        <w:rPr>
          <w:rFonts w:ascii="Times New Roman" w:hAnsi="Times New Roman" w:cs="Times New Roman"/>
          <w:sz w:val="24"/>
          <w:szCs w:val="24"/>
        </w:rPr>
        <w:t>.</w:t>
      </w:r>
      <w:bookmarkEnd w:id="60"/>
      <w:bookmarkEnd w:id="61"/>
      <w:bookmarkEnd w:id="62"/>
      <w:r w:rsidR="004975A0" w:rsidRPr="00553F85">
        <w:rPr>
          <w:rFonts w:ascii="Times New Roman" w:hAnsi="Times New Roman" w:cs="Times New Roman"/>
          <w:sz w:val="24"/>
          <w:szCs w:val="24"/>
        </w:rPr>
        <w:t xml:space="preserve"> </w:t>
      </w:r>
    </w:p>
    <w:p w:rsidR="00212729" w:rsidRDefault="00212729" w:rsidP="00212729">
      <w:pPr>
        <w:pStyle w:val="Ttulo3"/>
        <w:spacing w:line="240" w:lineRule="auto"/>
        <w:ind w:left="360"/>
      </w:pPr>
      <w:bookmarkStart w:id="63" w:name="_Toc282364028"/>
    </w:p>
    <w:p w:rsidR="00E57BBC" w:rsidRDefault="00E57BBC" w:rsidP="0044066C">
      <w:pPr>
        <w:pStyle w:val="Ttulo3"/>
        <w:numPr>
          <w:ilvl w:val="0"/>
          <w:numId w:val="1"/>
        </w:numPr>
        <w:spacing w:line="240" w:lineRule="auto"/>
      </w:pPr>
      <w:r>
        <w:t>CONCLUSÕES</w:t>
      </w:r>
      <w:bookmarkEnd w:id="63"/>
    </w:p>
    <w:p w:rsidR="008B470D" w:rsidRPr="008B470D" w:rsidRDefault="008B470D" w:rsidP="008B470D">
      <w:pPr>
        <w:pStyle w:val="Ttulo3"/>
        <w:spacing w:after="120" w:line="240" w:lineRule="auto"/>
        <w:ind w:firstLine="425"/>
        <w:rPr>
          <w:b w:val="0"/>
        </w:rPr>
      </w:pPr>
      <w:bookmarkStart w:id="64" w:name="_Toc268497794"/>
      <w:bookmarkStart w:id="65" w:name="_Toc268668269"/>
      <w:bookmarkStart w:id="66" w:name="_Toc272591789"/>
      <w:r w:rsidRPr="008B470D">
        <w:rPr>
          <w:b w:val="0"/>
        </w:rPr>
        <w:t xml:space="preserve">A Região Norte do Brasil apresenta acentuada heterogeneidade, que compreende desde cidades </w:t>
      </w:r>
      <w:proofErr w:type="spellStart"/>
      <w:r w:rsidRPr="008B470D">
        <w:rPr>
          <w:b w:val="0"/>
        </w:rPr>
        <w:t>pra-ticamente</w:t>
      </w:r>
      <w:proofErr w:type="spellEnd"/>
      <w:r w:rsidRPr="008B470D">
        <w:rPr>
          <w:b w:val="0"/>
        </w:rPr>
        <w:t xml:space="preserve"> isoladas a modernos centros urbanos e indicadores socioeconômicos do melhor ao pior do </w:t>
      </w:r>
      <w:proofErr w:type="spellStart"/>
      <w:r w:rsidRPr="008B470D">
        <w:rPr>
          <w:b w:val="0"/>
        </w:rPr>
        <w:t>Bra-sil</w:t>
      </w:r>
      <w:proofErr w:type="spellEnd"/>
      <w:r w:rsidRPr="008B470D">
        <w:rPr>
          <w:b w:val="0"/>
        </w:rPr>
        <w:t xml:space="preserve">. Diante desse contexto, o objetivo desse trabalho foi de avaliar essa dinâmica à luz da Nova Geografia Econômica (NGE), que se dedica a analisar os processos de aglomerações, que pode ser compreendido via taxas de crescimento populacional. Os resultados sugeriram que grande parte da desigualdade de </w:t>
      </w:r>
      <w:proofErr w:type="spellStart"/>
      <w:r w:rsidRPr="008B470D">
        <w:rPr>
          <w:b w:val="0"/>
        </w:rPr>
        <w:t>cres-cimento</w:t>
      </w:r>
      <w:proofErr w:type="spellEnd"/>
      <w:r w:rsidRPr="008B470D">
        <w:rPr>
          <w:b w:val="0"/>
        </w:rPr>
        <w:t xml:space="preserve"> populacional dentro da Região Norte seja causada, entre outros fatores, pelas dificuldades de acesso. Desse modo, a compreensão do processo </w:t>
      </w:r>
      <w:proofErr w:type="spellStart"/>
      <w:r w:rsidRPr="008B470D">
        <w:rPr>
          <w:b w:val="0"/>
        </w:rPr>
        <w:t>aglomerativo</w:t>
      </w:r>
      <w:proofErr w:type="spellEnd"/>
      <w:r w:rsidRPr="008B470D">
        <w:rPr>
          <w:b w:val="0"/>
        </w:rPr>
        <w:t xml:space="preserve"> dessa região, por meio do qual se supôs que as maiores cidades estão atuando como “indutores de crescimento”, é essencial. Essas formulações provêem instrumentos que auxiliam os tomadores de decisão no direcionamento de políticas públicas de melhoria da qualidade de vida.</w:t>
      </w:r>
    </w:p>
    <w:p w:rsidR="008B470D" w:rsidRPr="008B470D" w:rsidRDefault="008B470D" w:rsidP="008B470D">
      <w:pPr>
        <w:pStyle w:val="Ttulo3"/>
        <w:spacing w:after="120" w:line="240" w:lineRule="auto"/>
        <w:ind w:firstLine="425"/>
        <w:rPr>
          <w:b w:val="0"/>
        </w:rPr>
      </w:pPr>
      <w:r w:rsidRPr="008B470D">
        <w:rPr>
          <w:b w:val="0"/>
        </w:rPr>
        <w:t>O índice de acessibilidade mostrou-se como importante elemento para explicar o crescimento des</w:t>
      </w:r>
      <w:r w:rsidRPr="008B470D">
        <w:rPr>
          <w:b w:val="0"/>
        </w:rPr>
        <w:t>i</w:t>
      </w:r>
      <w:r w:rsidRPr="008B470D">
        <w:rPr>
          <w:b w:val="0"/>
        </w:rPr>
        <w:t xml:space="preserve">gual dos municípios da Região Norte. Os municípios mais distantes apresentaram os mais baixos índices e, justamente nessas áreas, foram identificados também os piores indicadores econômicos e sociais, como demonstra a literatura. De modo geral, houve aumento da acessibilidade, suficiente para estimular a </w:t>
      </w:r>
      <w:proofErr w:type="spellStart"/>
      <w:r w:rsidRPr="008B470D">
        <w:rPr>
          <w:b w:val="0"/>
        </w:rPr>
        <w:t>mi-gração</w:t>
      </w:r>
      <w:proofErr w:type="spellEnd"/>
      <w:r w:rsidRPr="008B470D">
        <w:rPr>
          <w:b w:val="0"/>
        </w:rPr>
        <w:t xml:space="preserve"> intensa das zonas rurais para urbanas, mas não o suficiente para estimular a produção e aumentar a renda nesses locais. Não obstante, resultados esclarecedores foram obtidos nas regressões estimadas. Os resultados </w:t>
      </w:r>
      <w:proofErr w:type="spellStart"/>
      <w:r w:rsidRPr="008B470D">
        <w:rPr>
          <w:b w:val="0"/>
        </w:rPr>
        <w:t>econométricos</w:t>
      </w:r>
      <w:proofErr w:type="spellEnd"/>
      <w:r w:rsidRPr="008B470D">
        <w:rPr>
          <w:b w:val="0"/>
        </w:rPr>
        <w:t xml:space="preserve"> produziram evidências que confirmam as hipóteses formuladas. Em primeiro lugar, os municípios mais pobres têm no fator isolamento geográfico um dos determinantes da sua </w:t>
      </w:r>
      <w:proofErr w:type="spellStart"/>
      <w:r w:rsidRPr="008B470D">
        <w:rPr>
          <w:b w:val="0"/>
        </w:rPr>
        <w:t>condi-ção</w:t>
      </w:r>
      <w:proofErr w:type="spellEnd"/>
      <w:r w:rsidRPr="008B470D">
        <w:rPr>
          <w:b w:val="0"/>
        </w:rPr>
        <w:t xml:space="preserve"> econômica. As dificuldades de acesso impedem esses municípios de escoar sua produção, que na maioria dos casos é agropecuária, aos mercados potenciais. Em segundo, houve redução nos custos de transportes, que culminou na melhoria da acessibilidade, formando as aglomerações. As forças centrípetas superaram as forças centrífugas, formando um modelo centro-periferia. Consequentemente, as grandes aglomerações passaram a demandar produtos da própria região, gerando crescimento e melhorando as condições socioeconômicas de seus vizinhos, portanto, atuando como “indutores de crescimento”. </w:t>
      </w:r>
      <w:proofErr w:type="spellStart"/>
      <w:r w:rsidRPr="008B470D">
        <w:rPr>
          <w:b w:val="0"/>
        </w:rPr>
        <w:t>Toda-</w:t>
      </w:r>
      <w:proofErr w:type="gramStart"/>
      <w:r w:rsidRPr="008B470D">
        <w:rPr>
          <w:b w:val="0"/>
        </w:rPr>
        <w:t>via</w:t>
      </w:r>
      <w:proofErr w:type="spellEnd"/>
      <w:r w:rsidRPr="008B470D">
        <w:rPr>
          <w:b w:val="0"/>
        </w:rPr>
        <w:t>,</w:t>
      </w:r>
      <w:proofErr w:type="gramEnd"/>
      <w:r w:rsidRPr="008B470D">
        <w:rPr>
          <w:b w:val="0"/>
        </w:rPr>
        <w:t xml:space="preserve"> esses efeitos difusão de </w:t>
      </w:r>
      <w:proofErr w:type="spellStart"/>
      <w:r w:rsidRPr="008B470D">
        <w:rPr>
          <w:b w:val="0"/>
        </w:rPr>
        <w:t>externalidades</w:t>
      </w:r>
      <w:proofErr w:type="spellEnd"/>
      <w:r w:rsidRPr="008B470D">
        <w:rPr>
          <w:b w:val="0"/>
        </w:rPr>
        <w:t xml:space="preserve"> positivas apresentaram-se muito reduzidos, implicando que políticas públicas direcionadas aos grandes centros não seriam as mais adequadas. </w:t>
      </w:r>
    </w:p>
    <w:p w:rsidR="008B470D" w:rsidRPr="008B470D" w:rsidRDefault="008B470D" w:rsidP="008B470D">
      <w:pPr>
        <w:pStyle w:val="Ttulo3"/>
        <w:spacing w:after="120" w:line="240" w:lineRule="auto"/>
        <w:ind w:firstLine="425"/>
        <w:rPr>
          <w:b w:val="0"/>
        </w:rPr>
      </w:pPr>
      <w:r w:rsidRPr="008B470D">
        <w:rPr>
          <w:b w:val="0"/>
        </w:rPr>
        <w:t xml:space="preserve">De acordo com os resultados, para melhorar a acessibilidade das cidades mais isoladas e a </w:t>
      </w:r>
      <w:proofErr w:type="spellStart"/>
      <w:r w:rsidRPr="008B470D">
        <w:rPr>
          <w:b w:val="0"/>
        </w:rPr>
        <w:t>conse-qüente</w:t>
      </w:r>
      <w:proofErr w:type="spellEnd"/>
      <w:r w:rsidRPr="008B470D">
        <w:rPr>
          <w:b w:val="0"/>
        </w:rPr>
        <w:t xml:space="preserve"> melhoria das condições de vida de suas populações, seriam necessários investimentos isolados, isto é, em cada município. Entretanto, esse tipo de política é </w:t>
      </w:r>
      <w:proofErr w:type="gramStart"/>
      <w:r w:rsidRPr="008B470D">
        <w:rPr>
          <w:b w:val="0"/>
        </w:rPr>
        <w:t>dispendiosa</w:t>
      </w:r>
      <w:proofErr w:type="gramEnd"/>
      <w:r w:rsidRPr="008B470D">
        <w:rPr>
          <w:b w:val="0"/>
        </w:rPr>
        <w:t xml:space="preserve">. Deste modo, uma alternativa plausível de aumento da acessibilidade seriam investimentos em pontos centrais da Região Norte, de tal forma que o tempo de viagem da cidade mais isolada a uma cidade de maior porte pudesse ser reduzido substancialmente. Como exemplo, a construção de um hospital dotado de completa infraestrutura no </w:t>
      </w:r>
      <w:proofErr w:type="spellStart"/>
      <w:r w:rsidRPr="008B470D">
        <w:rPr>
          <w:b w:val="0"/>
        </w:rPr>
        <w:t>mu-nicípio</w:t>
      </w:r>
      <w:proofErr w:type="spellEnd"/>
      <w:r w:rsidRPr="008B470D">
        <w:rPr>
          <w:b w:val="0"/>
        </w:rPr>
        <w:t xml:space="preserve"> de Tefé, que fica a 49 horas de Manaus, poderia reduzir o tempo de viagem de Atalaia do Norte (a cidade mais isolada, distante de Manaus por 104 horas de viagem) pela metade, além de beneficiar toda a população no alto do Rio Solimões. Ademais, o município de Tefé está mais próximo de Coari, que cre</w:t>
      </w:r>
      <w:r w:rsidRPr="008B470D">
        <w:rPr>
          <w:b w:val="0"/>
        </w:rPr>
        <w:t>s</w:t>
      </w:r>
      <w:r w:rsidRPr="008B470D">
        <w:rPr>
          <w:b w:val="0"/>
        </w:rPr>
        <w:t xml:space="preserve">ce devido à exploração do gás natural. </w:t>
      </w:r>
    </w:p>
    <w:p w:rsidR="00D43E07" w:rsidRDefault="008B470D" w:rsidP="008B470D">
      <w:pPr>
        <w:pStyle w:val="Ttulo3"/>
        <w:spacing w:after="120" w:line="240" w:lineRule="auto"/>
        <w:ind w:firstLine="425"/>
        <w:contextualSpacing w:val="0"/>
        <w:rPr>
          <w:b w:val="0"/>
        </w:rPr>
      </w:pPr>
      <w:r w:rsidRPr="008B470D">
        <w:rPr>
          <w:b w:val="0"/>
        </w:rPr>
        <w:t xml:space="preserve">Visto que os resultados mostraram evidências de que a demanda por produtos agrícolas advindos das maiores cidades podem crescer, possivelmente investimentos em pólos regionais como Coari e Tefé </w:t>
      </w:r>
      <w:proofErr w:type="spellStart"/>
      <w:r w:rsidRPr="008B470D">
        <w:rPr>
          <w:b w:val="0"/>
        </w:rPr>
        <w:t>po-</w:t>
      </w:r>
      <w:r w:rsidRPr="008B470D">
        <w:rPr>
          <w:b w:val="0"/>
        </w:rPr>
        <w:lastRenderedPageBreak/>
        <w:t>deriam</w:t>
      </w:r>
      <w:proofErr w:type="spellEnd"/>
      <w:r w:rsidRPr="008B470D">
        <w:rPr>
          <w:b w:val="0"/>
        </w:rPr>
        <w:t xml:space="preserve"> atuar como “indutores do crescimento”, aumentando a acessibilidade daquelas cidades que </w:t>
      </w:r>
      <w:proofErr w:type="spellStart"/>
      <w:r w:rsidRPr="008B470D">
        <w:rPr>
          <w:b w:val="0"/>
        </w:rPr>
        <w:t>fica-ram</w:t>
      </w:r>
      <w:proofErr w:type="spellEnd"/>
      <w:r w:rsidRPr="008B470D">
        <w:rPr>
          <w:b w:val="0"/>
        </w:rPr>
        <w:t xml:space="preserve"> isoladas. Além disso, estimular a produção local das potencialidades econômicas sustentáveis de cada município, que diminui também os efeitos das forças centrífugas. Para tanto, deveriam ser feitos </w:t>
      </w:r>
      <w:proofErr w:type="spellStart"/>
      <w:r w:rsidRPr="008B470D">
        <w:rPr>
          <w:b w:val="0"/>
        </w:rPr>
        <w:t>investi-mentos</w:t>
      </w:r>
      <w:proofErr w:type="spellEnd"/>
      <w:r w:rsidRPr="008B470D">
        <w:rPr>
          <w:b w:val="0"/>
        </w:rPr>
        <w:t xml:space="preserve"> em infraestrutura de transporte, de modo que o escoamento da produção agrícola fosse facilitado. Este é um ponto importante, pois, apesar da intensa mudança da população rural para urbana, a zona rural ainda tem poder de atração via salários, dado o coeficiente positivo dessa variável no modelo </w:t>
      </w:r>
      <w:proofErr w:type="spellStart"/>
      <w:r w:rsidRPr="008B470D">
        <w:rPr>
          <w:b w:val="0"/>
        </w:rPr>
        <w:t>econométri-co</w:t>
      </w:r>
      <w:proofErr w:type="spellEnd"/>
      <w:r w:rsidRPr="008B470D">
        <w:rPr>
          <w:b w:val="0"/>
        </w:rPr>
        <w:t xml:space="preserve">. Adicionalmente, caberiam as alternativas de aumentar o mercado potencial para a Região Norte. A primeira solução seria criar os </w:t>
      </w:r>
      <w:proofErr w:type="spellStart"/>
      <w:r w:rsidRPr="008B470D">
        <w:rPr>
          <w:b w:val="0"/>
        </w:rPr>
        <w:t>subpolos</w:t>
      </w:r>
      <w:proofErr w:type="spellEnd"/>
      <w:r w:rsidRPr="008B470D">
        <w:rPr>
          <w:b w:val="0"/>
        </w:rPr>
        <w:t xml:space="preserve"> regionais, onde os Governos investiriam em infraestrutura de modo que facilitassem o escoamento e o deslocamento da produção das cidades vizinhas. A solução </w:t>
      </w:r>
      <w:proofErr w:type="spellStart"/>
      <w:r w:rsidRPr="008B470D">
        <w:rPr>
          <w:b w:val="0"/>
        </w:rPr>
        <w:t>com-plementar</w:t>
      </w:r>
      <w:proofErr w:type="spellEnd"/>
      <w:r w:rsidRPr="008B470D">
        <w:rPr>
          <w:b w:val="0"/>
        </w:rPr>
        <w:t xml:space="preserve"> é o aumento do mercado potencial via expansão das fronteiras. As ligações comerciais dever</w:t>
      </w:r>
      <w:r w:rsidRPr="008B470D">
        <w:rPr>
          <w:b w:val="0"/>
        </w:rPr>
        <w:t>i</w:t>
      </w:r>
      <w:r w:rsidRPr="008B470D">
        <w:rPr>
          <w:b w:val="0"/>
        </w:rPr>
        <w:t xml:space="preserve">am ser intensificadas junto aos países vizinhos como Colômbia e Equador que estão mais próximos das cidades mais isoladas da Região Norte. A Venezuela, as Guianas e o Suriname têm ligação direta com os Estados de Roraima, Amazonas, Amapá e Pará. Estes dois últimos têm ligação direta com o oceano </w:t>
      </w:r>
      <w:proofErr w:type="spellStart"/>
      <w:r w:rsidRPr="008B470D">
        <w:rPr>
          <w:b w:val="0"/>
        </w:rPr>
        <w:t>atlân-tico</w:t>
      </w:r>
      <w:proofErr w:type="spellEnd"/>
      <w:r w:rsidRPr="008B470D">
        <w:rPr>
          <w:b w:val="0"/>
        </w:rPr>
        <w:t xml:space="preserve">, o qual viabilizaria o transporte da produção da economia, via porto de Belém, por exemplo, para a Europa. Além desses países, a Região Norte tem ainda a vantagem de estar mais próxima do maior </w:t>
      </w:r>
      <w:proofErr w:type="spellStart"/>
      <w:r w:rsidRPr="008B470D">
        <w:rPr>
          <w:b w:val="0"/>
        </w:rPr>
        <w:t>mer-cado</w:t>
      </w:r>
      <w:proofErr w:type="spellEnd"/>
      <w:r w:rsidRPr="008B470D">
        <w:rPr>
          <w:b w:val="0"/>
        </w:rPr>
        <w:t xml:space="preserve"> consumidor do mundo, os Estados Unidos. Havendo essa expansão das fronteiras comerciais, seu mercado potencial não ficaria tão limitado ao mercado de São Paulo, por exemplo. Enfim, estes são a</w:t>
      </w:r>
      <w:r w:rsidRPr="008B470D">
        <w:rPr>
          <w:b w:val="0"/>
        </w:rPr>
        <w:t>l</w:t>
      </w:r>
      <w:r w:rsidRPr="008B470D">
        <w:rPr>
          <w:b w:val="0"/>
        </w:rPr>
        <w:t>guns exemplos de políticas que podem ser pensadas a partir dos resultados aqui apresentados.</w:t>
      </w:r>
    </w:p>
    <w:p w:rsidR="008B470D" w:rsidRDefault="008B470D" w:rsidP="008B470D">
      <w:pPr>
        <w:pStyle w:val="Ttulo3"/>
        <w:spacing w:after="120" w:line="240" w:lineRule="auto"/>
        <w:ind w:firstLine="425"/>
        <w:contextualSpacing w:val="0"/>
        <w:rPr>
          <w:b w:val="0"/>
        </w:rPr>
      </w:pPr>
    </w:p>
    <w:p w:rsidR="00527D46" w:rsidRPr="00743C9A" w:rsidRDefault="00527D46" w:rsidP="009F7A16">
      <w:pPr>
        <w:pStyle w:val="Ttulo3"/>
        <w:spacing w:after="120"/>
        <w:rPr>
          <w:lang w:val="en-CA"/>
        </w:rPr>
      </w:pPr>
      <w:bookmarkStart w:id="67" w:name="_Toc282364038"/>
      <w:bookmarkEnd w:id="64"/>
      <w:bookmarkEnd w:id="65"/>
      <w:bookmarkEnd w:id="66"/>
      <w:r w:rsidRPr="00743C9A">
        <w:rPr>
          <w:lang w:val="en-CA"/>
        </w:rPr>
        <w:t>REFERÊNCIAS</w:t>
      </w:r>
      <w:bookmarkEnd w:id="67"/>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CA"/>
        </w:rPr>
      </w:pPr>
      <w:r w:rsidRPr="00743C9A">
        <w:rPr>
          <w:rFonts w:ascii="Times New Roman" w:hAnsi="Times New Roman"/>
          <w:sz w:val="24"/>
          <w:szCs w:val="24"/>
          <w:lang w:val="en-CA"/>
        </w:rPr>
        <w:t xml:space="preserve">ADES, A. F.; GLAESER Ed. L. Trade and circuses: explaining urban giants. </w:t>
      </w:r>
      <w:r w:rsidRPr="00346678">
        <w:rPr>
          <w:rFonts w:ascii="Times New Roman" w:hAnsi="Times New Roman"/>
          <w:b/>
          <w:sz w:val="24"/>
          <w:szCs w:val="24"/>
          <w:lang w:val="en-CA"/>
        </w:rPr>
        <w:t>The</w:t>
      </w:r>
      <w:r w:rsidRPr="00346678">
        <w:rPr>
          <w:rFonts w:ascii="Times New Roman" w:hAnsi="Times New Roman"/>
          <w:sz w:val="24"/>
          <w:szCs w:val="24"/>
          <w:lang w:val="en-CA"/>
        </w:rPr>
        <w:t xml:space="preserve"> </w:t>
      </w:r>
      <w:r w:rsidRPr="00346678">
        <w:rPr>
          <w:rFonts w:ascii="Times New Roman" w:hAnsi="Times New Roman"/>
          <w:b/>
          <w:sz w:val="24"/>
          <w:szCs w:val="24"/>
          <w:lang w:val="en-CA"/>
        </w:rPr>
        <w:t>Quarterly Journal of Economics</w:t>
      </w:r>
      <w:r w:rsidRPr="00346678">
        <w:rPr>
          <w:rFonts w:ascii="Times New Roman" w:hAnsi="Times New Roman"/>
          <w:sz w:val="24"/>
          <w:szCs w:val="24"/>
          <w:lang w:val="en-CA"/>
        </w:rPr>
        <w:t>,</w:t>
      </w:r>
      <w:r w:rsidRPr="00346678">
        <w:rPr>
          <w:rFonts w:ascii="Times New Roman" w:hAnsi="Times New Roman"/>
          <w:b/>
          <w:sz w:val="24"/>
          <w:szCs w:val="24"/>
          <w:lang w:val="en-CA"/>
        </w:rPr>
        <w:t xml:space="preserve"> </w:t>
      </w:r>
      <w:r w:rsidRPr="00346678">
        <w:rPr>
          <w:rFonts w:ascii="Times New Roman" w:hAnsi="Times New Roman"/>
          <w:sz w:val="24"/>
          <w:szCs w:val="24"/>
          <w:lang w:val="en-CA"/>
        </w:rPr>
        <w:t>Cambridge, v.</w:t>
      </w:r>
      <w:r w:rsidRPr="00346678">
        <w:rPr>
          <w:rFonts w:ascii="Times New Roman" w:hAnsi="Times New Roman"/>
          <w:b/>
          <w:sz w:val="24"/>
          <w:szCs w:val="24"/>
          <w:lang w:val="en-CA"/>
        </w:rPr>
        <w:t xml:space="preserve"> </w:t>
      </w:r>
      <w:r w:rsidRPr="00346678">
        <w:rPr>
          <w:rFonts w:ascii="Times New Roman" w:hAnsi="Times New Roman"/>
          <w:sz w:val="24"/>
          <w:szCs w:val="24"/>
          <w:lang w:val="en-CA"/>
        </w:rPr>
        <w:t xml:space="preserve">110, n.1, p. 195-227, Jan. 1995. </w:t>
      </w:r>
    </w:p>
    <w:p w:rsidR="007B02CF" w:rsidRPr="00F32A5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24"/>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CA"/>
        </w:rPr>
        <w:t>AMARAL, P.V.</w:t>
      </w:r>
      <w:proofErr w:type="gramStart"/>
      <w:r w:rsidRPr="00346678">
        <w:rPr>
          <w:rFonts w:ascii="Times New Roman" w:hAnsi="Times New Roman"/>
          <w:sz w:val="24"/>
          <w:szCs w:val="24"/>
          <w:lang w:val="en-CA"/>
        </w:rPr>
        <w:t>;LEMOS</w:t>
      </w:r>
      <w:proofErr w:type="gramEnd"/>
      <w:r w:rsidRPr="00346678">
        <w:rPr>
          <w:rFonts w:ascii="Times New Roman" w:hAnsi="Times New Roman"/>
          <w:sz w:val="24"/>
          <w:szCs w:val="24"/>
          <w:lang w:val="en-CA"/>
        </w:rPr>
        <w:t xml:space="preserve">, M.B.; SIMÕES, R.F.; FERES, F.C. </w:t>
      </w:r>
      <w:r w:rsidRPr="00346678">
        <w:rPr>
          <w:rFonts w:ascii="Times New Roman" w:hAnsi="Times New Roman"/>
          <w:b/>
          <w:sz w:val="24"/>
          <w:szCs w:val="24"/>
          <w:lang w:val="en-CA"/>
        </w:rPr>
        <w:t>Regional imbalances and market pote</w:t>
      </w:r>
      <w:r w:rsidRPr="00346678">
        <w:rPr>
          <w:rFonts w:ascii="Times New Roman" w:hAnsi="Times New Roman"/>
          <w:b/>
          <w:sz w:val="24"/>
          <w:szCs w:val="24"/>
          <w:lang w:val="en-CA"/>
        </w:rPr>
        <w:t>n</w:t>
      </w:r>
      <w:r w:rsidRPr="00346678">
        <w:rPr>
          <w:rFonts w:ascii="Times New Roman" w:hAnsi="Times New Roman"/>
          <w:b/>
          <w:sz w:val="24"/>
          <w:szCs w:val="24"/>
          <w:lang w:val="en-CA"/>
        </w:rPr>
        <w:t>tial in Brazil</w:t>
      </w:r>
      <w:r w:rsidRPr="00346678">
        <w:rPr>
          <w:rFonts w:ascii="Times New Roman" w:hAnsi="Times New Roman"/>
          <w:sz w:val="24"/>
          <w:szCs w:val="24"/>
          <w:lang w:val="en-CA"/>
        </w:rPr>
        <w:t>. Belo Horizonte: UFMG/CEDEPLAR, 2007. 24 p. (Texto para Discussão 324).</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24"/>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rPr>
        <w:t xml:space="preserve">ANDERSEN, L.C.; GRANGER, C.W.J.; REIS, J.E.; WEINHOLD, D.; WUNDER, S. </w:t>
      </w:r>
      <w:r w:rsidRPr="00346678">
        <w:rPr>
          <w:rFonts w:ascii="Times New Roman" w:hAnsi="Times New Roman"/>
          <w:b/>
          <w:sz w:val="24"/>
          <w:szCs w:val="24"/>
          <w:lang w:val="en-US"/>
        </w:rPr>
        <w:t>The dynamics of deforestation and economic growth in the Brazilian Amazon</w:t>
      </w:r>
      <w:r w:rsidRPr="00346678">
        <w:rPr>
          <w:rFonts w:ascii="Times New Roman" w:hAnsi="Times New Roman"/>
          <w:sz w:val="24"/>
          <w:szCs w:val="24"/>
          <w:lang w:val="en-US"/>
        </w:rPr>
        <w:t xml:space="preserve">. Cambridge: Cambridge University Press, 2002. 395 p. </w:t>
      </w:r>
    </w:p>
    <w:p w:rsidR="007B02CF" w:rsidRPr="00346678" w:rsidRDefault="007B02CF" w:rsidP="007B02CF">
      <w:pPr>
        <w:autoSpaceDE w:val="0"/>
        <w:autoSpaceDN w:val="0"/>
        <w:adjustRightInd w:val="0"/>
        <w:spacing w:after="0" w:line="240" w:lineRule="auto"/>
        <w:jc w:val="both"/>
        <w:rPr>
          <w:rFonts w:ascii="Times New Roman" w:hAnsi="Times New Roman"/>
          <w:sz w:val="8"/>
          <w:szCs w:val="24"/>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rPr>
        <w:t xml:space="preserve">ANSELIN, L. </w:t>
      </w:r>
      <w:r w:rsidRPr="00346678">
        <w:rPr>
          <w:rFonts w:ascii="Times New Roman" w:hAnsi="Times New Roman"/>
          <w:b/>
          <w:sz w:val="24"/>
          <w:szCs w:val="24"/>
          <w:lang w:val="en-US"/>
        </w:rPr>
        <w:t xml:space="preserve">Spatial econometrics: </w:t>
      </w:r>
      <w:r w:rsidRPr="00346678">
        <w:rPr>
          <w:rFonts w:ascii="Times New Roman" w:hAnsi="Times New Roman"/>
          <w:sz w:val="24"/>
          <w:szCs w:val="24"/>
          <w:lang w:val="en-US"/>
        </w:rPr>
        <w:t>methods and models. Boston: Kluwer Academic, 1988, 304 p.</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spacing w:after="0"/>
        <w:ind w:left="567" w:hanging="567"/>
        <w:rPr>
          <w:rFonts w:ascii="Times New Roman" w:hAnsi="Times New Roman"/>
          <w:sz w:val="24"/>
          <w:szCs w:val="24"/>
        </w:rPr>
      </w:pPr>
      <w:r w:rsidRPr="00346678">
        <w:rPr>
          <w:rFonts w:ascii="Times New Roman" w:hAnsi="Times New Roman"/>
          <w:sz w:val="24"/>
          <w:szCs w:val="24"/>
          <w:lang w:val="en-US"/>
        </w:rPr>
        <w:t xml:space="preserve">______. Spatial externalities, spatial multipliers, and spatial econometrics. </w:t>
      </w:r>
      <w:r w:rsidRPr="00346678">
        <w:rPr>
          <w:rFonts w:ascii="Times New Roman" w:hAnsi="Times New Roman"/>
          <w:b/>
          <w:sz w:val="24"/>
          <w:szCs w:val="24"/>
        </w:rPr>
        <w:t>International Regional Sc</w:t>
      </w:r>
      <w:r w:rsidRPr="00346678">
        <w:rPr>
          <w:rFonts w:ascii="Times New Roman" w:hAnsi="Times New Roman"/>
          <w:b/>
          <w:sz w:val="24"/>
          <w:szCs w:val="24"/>
        </w:rPr>
        <w:t>i</w:t>
      </w:r>
      <w:r w:rsidRPr="00346678">
        <w:rPr>
          <w:rFonts w:ascii="Times New Roman" w:hAnsi="Times New Roman"/>
          <w:b/>
          <w:sz w:val="24"/>
          <w:szCs w:val="24"/>
        </w:rPr>
        <w:t>ence Review</w:t>
      </w:r>
      <w:r w:rsidRPr="00346678">
        <w:rPr>
          <w:rFonts w:ascii="Times New Roman" w:hAnsi="Times New Roman"/>
          <w:sz w:val="24"/>
          <w:szCs w:val="24"/>
        </w:rPr>
        <w:t>, Tempe, v. 26, n.2, p.153-166, 2003.</w:t>
      </w:r>
    </w:p>
    <w:p w:rsidR="00B43E65" w:rsidRPr="00346678" w:rsidRDefault="00B43E65" w:rsidP="008B470D">
      <w:pPr>
        <w:spacing w:after="0"/>
        <w:ind w:left="567" w:hanging="567"/>
        <w:rPr>
          <w:rFonts w:ascii="Times New Roman" w:hAnsi="Times New Roman"/>
          <w:sz w:val="8"/>
          <w:szCs w:val="24"/>
        </w:rPr>
      </w:pPr>
    </w:p>
    <w:p w:rsidR="007B02CF" w:rsidRPr="00346678" w:rsidRDefault="007B02CF" w:rsidP="008B470D">
      <w:pPr>
        <w:pStyle w:val="refbibliog"/>
        <w:spacing w:after="0"/>
        <w:ind w:left="567" w:hanging="567"/>
        <w:rPr>
          <w:sz w:val="24"/>
          <w:szCs w:val="24"/>
        </w:rPr>
      </w:pPr>
      <w:r w:rsidRPr="00346678">
        <w:rPr>
          <w:sz w:val="24"/>
          <w:szCs w:val="24"/>
        </w:rPr>
        <w:t xml:space="preserve">BATISTA, D.. </w:t>
      </w:r>
      <w:r w:rsidRPr="00346678">
        <w:rPr>
          <w:b/>
          <w:sz w:val="24"/>
          <w:szCs w:val="24"/>
        </w:rPr>
        <w:t>O complexo da Amazônia</w:t>
      </w:r>
      <w:r w:rsidRPr="00346678">
        <w:rPr>
          <w:sz w:val="24"/>
          <w:szCs w:val="24"/>
        </w:rPr>
        <w:t>: análise do processo de desenvolvimento.</w:t>
      </w:r>
      <w:r w:rsidRPr="00346678">
        <w:rPr>
          <w:b/>
          <w:sz w:val="24"/>
          <w:szCs w:val="24"/>
        </w:rPr>
        <w:t xml:space="preserve"> </w:t>
      </w:r>
      <w:r w:rsidRPr="00346678">
        <w:rPr>
          <w:sz w:val="24"/>
          <w:szCs w:val="24"/>
        </w:rPr>
        <w:t>Manaus:</w:t>
      </w:r>
      <w:r w:rsidRPr="00346678">
        <w:rPr>
          <w:b/>
          <w:sz w:val="24"/>
          <w:szCs w:val="24"/>
        </w:rPr>
        <w:t xml:space="preserve"> </w:t>
      </w:r>
      <w:r w:rsidRPr="00346678">
        <w:rPr>
          <w:sz w:val="24"/>
          <w:szCs w:val="24"/>
        </w:rPr>
        <w:t>Valer,</w:t>
      </w:r>
      <w:r w:rsidRPr="00346678">
        <w:rPr>
          <w:b/>
          <w:sz w:val="24"/>
          <w:szCs w:val="24"/>
        </w:rPr>
        <w:t xml:space="preserve"> </w:t>
      </w:r>
      <w:r w:rsidRPr="00346678">
        <w:rPr>
          <w:sz w:val="24"/>
          <w:szCs w:val="24"/>
        </w:rPr>
        <w:t>2007.</w:t>
      </w:r>
      <w:r w:rsidRPr="00346678">
        <w:rPr>
          <w:b/>
          <w:sz w:val="24"/>
          <w:szCs w:val="24"/>
        </w:rPr>
        <w:t xml:space="preserve"> </w:t>
      </w:r>
      <w:r w:rsidRPr="00346678">
        <w:rPr>
          <w:sz w:val="24"/>
          <w:szCs w:val="24"/>
        </w:rPr>
        <w:t>408 p.</w:t>
      </w:r>
    </w:p>
    <w:p w:rsidR="00B43E65" w:rsidRPr="00346678" w:rsidRDefault="00B43E65" w:rsidP="008B470D">
      <w:pPr>
        <w:autoSpaceDE w:val="0"/>
        <w:autoSpaceDN w:val="0"/>
        <w:adjustRightInd w:val="0"/>
        <w:spacing w:after="0" w:line="240" w:lineRule="auto"/>
        <w:ind w:left="567" w:hanging="567"/>
        <w:jc w:val="both"/>
        <w:rPr>
          <w:rFonts w:ascii="Times New Roman" w:hAnsi="Times New Roman"/>
          <w:sz w:val="8"/>
          <w:szCs w:val="24"/>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i/>
          <w:sz w:val="24"/>
          <w:szCs w:val="24"/>
        </w:rPr>
      </w:pPr>
      <w:r w:rsidRPr="00346678">
        <w:rPr>
          <w:rFonts w:ascii="Times New Roman" w:hAnsi="Times New Roman"/>
          <w:sz w:val="24"/>
          <w:szCs w:val="24"/>
        </w:rPr>
        <w:t>BECKER, B. K</w:t>
      </w:r>
      <w:r w:rsidRPr="00346678">
        <w:rPr>
          <w:rFonts w:ascii="Times New Roman" w:hAnsi="Times New Roman"/>
          <w:i/>
          <w:sz w:val="24"/>
          <w:szCs w:val="24"/>
        </w:rPr>
        <w:t xml:space="preserve">. </w:t>
      </w:r>
      <w:r w:rsidRPr="00346678">
        <w:rPr>
          <w:rFonts w:ascii="Times New Roman" w:hAnsi="Times New Roman"/>
          <w:b/>
          <w:sz w:val="24"/>
          <w:szCs w:val="24"/>
        </w:rPr>
        <w:t>Geopolítica da Amazônia</w:t>
      </w:r>
      <w:r w:rsidRPr="00346678">
        <w:rPr>
          <w:rFonts w:ascii="Times New Roman" w:hAnsi="Times New Roman"/>
          <w:sz w:val="24"/>
          <w:szCs w:val="24"/>
        </w:rPr>
        <w:t>: a nova fronteira de recursos</w:t>
      </w:r>
      <w:r w:rsidRPr="00346678">
        <w:rPr>
          <w:rFonts w:ascii="Times New Roman" w:hAnsi="Times New Roman"/>
          <w:i/>
          <w:sz w:val="24"/>
          <w:szCs w:val="24"/>
        </w:rPr>
        <w:t xml:space="preserve">. </w:t>
      </w:r>
      <w:r w:rsidRPr="00346678">
        <w:rPr>
          <w:rFonts w:ascii="Times New Roman" w:hAnsi="Times New Roman"/>
          <w:sz w:val="24"/>
          <w:szCs w:val="24"/>
        </w:rPr>
        <w:t>Rio de Janeiro: Zahar, 1982. 233 p</w:t>
      </w:r>
      <w:r w:rsidRPr="00346678">
        <w:rPr>
          <w:rFonts w:ascii="Times New Roman" w:hAnsi="Times New Roman"/>
          <w:i/>
          <w:sz w:val="24"/>
          <w:szCs w:val="24"/>
        </w:rPr>
        <w:t>.</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BENCHIMOL, S.. </w:t>
      </w:r>
      <w:r w:rsidRPr="00346678">
        <w:rPr>
          <w:rFonts w:ascii="Times New Roman" w:hAnsi="Times New Roman"/>
          <w:b/>
          <w:sz w:val="24"/>
          <w:szCs w:val="24"/>
        </w:rPr>
        <w:t>Problemas de desenvolvimento econômico</w:t>
      </w:r>
      <w:r w:rsidRPr="00346678">
        <w:rPr>
          <w:rFonts w:ascii="Times New Roman" w:hAnsi="Times New Roman"/>
          <w:sz w:val="24"/>
          <w:szCs w:val="24"/>
        </w:rPr>
        <w:t>: com especial referência ao caso amaz</w:t>
      </w:r>
      <w:r w:rsidRPr="00346678">
        <w:rPr>
          <w:rFonts w:ascii="Times New Roman" w:hAnsi="Times New Roman"/>
          <w:sz w:val="24"/>
          <w:szCs w:val="24"/>
        </w:rPr>
        <w:t>ô</w:t>
      </w:r>
      <w:r w:rsidRPr="00346678">
        <w:rPr>
          <w:rFonts w:ascii="Times New Roman" w:hAnsi="Times New Roman"/>
          <w:sz w:val="24"/>
          <w:szCs w:val="24"/>
        </w:rPr>
        <w:t>nico. Manaus: Sergio Cardoso, 1957. 480 p.</w:t>
      </w:r>
    </w:p>
    <w:p w:rsidR="007B02CF" w:rsidRPr="00346678" w:rsidRDefault="007B02CF" w:rsidP="008B470D">
      <w:pPr>
        <w:spacing w:after="0" w:line="240" w:lineRule="auto"/>
        <w:ind w:left="567" w:hanging="567"/>
        <w:outlineLvl w:val="2"/>
        <w:rPr>
          <w:rFonts w:ascii="Times New Roman" w:hAnsi="Times New Roman"/>
          <w:bCs/>
          <w:sz w:val="8"/>
          <w:szCs w:val="8"/>
          <w:lang w:eastAsia="pt-BR"/>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______. </w:t>
      </w:r>
      <w:r w:rsidRPr="00346678">
        <w:rPr>
          <w:rFonts w:ascii="Times New Roman" w:hAnsi="Times New Roman"/>
          <w:b/>
          <w:sz w:val="24"/>
          <w:szCs w:val="24"/>
        </w:rPr>
        <w:t>Estrutura geo-social e econômica da Amazônia</w:t>
      </w:r>
      <w:r w:rsidRPr="00346678">
        <w:rPr>
          <w:rFonts w:ascii="Times New Roman" w:hAnsi="Times New Roman"/>
          <w:sz w:val="24"/>
          <w:szCs w:val="24"/>
        </w:rPr>
        <w:t>. Manaus: Governo do Estado do Amazonas, 1966. 186p.</w:t>
      </w:r>
    </w:p>
    <w:p w:rsidR="007B02CF" w:rsidRPr="00346678" w:rsidRDefault="007B02CF" w:rsidP="008B470D">
      <w:pPr>
        <w:spacing w:after="0" w:line="240" w:lineRule="auto"/>
        <w:ind w:left="567" w:hanging="567"/>
        <w:outlineLvl w:val="2"/>
        <w:rPr>
          <w:rFonts w:ascii="Times New Roman" w:hAnsi="Times New Roman"/>
          <w:bCs/>
          <w:sz w:val="8"/>
          <w:szCs w:val="8"/>
          <w:lang w:eastAsia="pt-BR"/>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______. </w:t>
      </w:r>
      <w:r w:rsidRPr="00346678">
        <w:rPr>
          <w:rFonts w:ascii="Times New Roman" w:hAnsi="Times New Roman"/>
          <w:b/>
          <w:sz w:val="24"/>
          <w:szCs w:val="24"/>
        </w:rPr>
        <w:t xml:space="preserve">Amazônia: </w:t>
      </w:r>
      <w:r w:rsidRPr="00346678">
        <w:rPr>
          <w:rFonts w:ascii="Times New Roman" w:hAnsi="Times New Roman"/>
          <w:sz w:val="24"/>
          <w:szCs w:val="24"/>
        </w:rPr>
        <w:t>um pouco antes e além depois. Manaus: Umberto Calderaro, 1977. 841p.</w:t>
      </w:r>
    </w:p>
    <w:p w:rsidR="007B02CF" w:rsidRPr="00346678" w:rsidRDefault="007B02CF" w:rsidP="008B470D">
      <w:pPr>
        <w:spacing w:after="0" w:line="240" w:lineRule="auto"/>
        <w:ind w:left="567" w:hanging="567"/>
        <w:outlineLvl w:val="2"/>
        <w:rPr>
          <w:rFonts w:ascii="Times New Roman" w:hAnsi="Times New Roman"/>
          <w:bCs/>
          <w:sz w:val="8"/>
          <w:szCs w:val="8"/>
          <w:lang w:eastAsia="pt-BR"/>
        </w:rPr>
      </w:pPr>
    </w:p>
    <w:p w:rsidR="007B02CF" w:rsidRPr="00F32A58" w:rsidRDefault="007B02CF" w:rsidP="008B470D">
      <w:pPr>
        <w:autoSpaceDE w:val="0"/>
        <w:autoSpaceDN w:val="0"/>
        <w:adjustRightInd w:val="0"/>
        <w:spacing w:after="0" w:line="240" w:lineRule="auto"/>
        <w:ind w:left="567" w:hanging="567"/>
        <w:jc w:val="both"/>
        <w:rPr>
          <w:rFonts w:ascii="Times New Roman" w:hAnsi="Times New Roman"/>
          <w:sz w:val="24"/>
          <w:szCs w:val="24"/>
          <w:lang w:val="en-CA"/>
        </w:rPr>
      </w:pPr>
      <w:r w:rsidRPr="00346678">
        <w:rPr>
          <w:rFonts w:ascii="Times New Roman" w:hAnsi="Times New Roman"/>
          <w:sz w:val="24"/>
          <w:szCs w:val="24"/>
        </w:rPr>
        <w:t xml:space="preserve">______. </w:t>
      </w:r>
      <w:r w:rsidRPr="00346678">
        <w:rPr>
          <w:rFonts w:ascii="Times New Roman" w:hAnsi="Times New Roman"/>
          <w:b/>
          <w:sz w:val="24"/>
          <w:szCs w:val="24"/>
        </w:rPr>
        <w:t>A duodécada 80/90</w:t>
      </w:r>
      <w:r w:rsidRPr="00346678">
        <w:rPr>
          <w:rFonts w:ascii="Times New Roman" w:hAnsi="Times New Roman"/>
          <w:sz w:val="24"/>
          <w:szCs w:val="24"/>
        </w:rPr>
        <w:t xml:space="preserve">: reflexões e cenários amazônicos. Manaus: Universidade do Amazonas, 1979. </w:t>
      </w:r>
      <w:r w:rsidRPr="00F32A58">
        <w:rPr>
          <w:rFonts w:ascii="Times New Roman" w:hAnsi="Times New Roman"/>
          <w:sz w:val="24"/>
          <w:szCs w:val="24"/>
          <w:lang w:val="en-CA"/>
        </w:rPr>
        <w:t>103p</w:t>
      </w:r>
    </w:p>
    <w:p w:rsidR="007B02CF" w:rsidRPr="00F32A58" w:rsidRDefault="007B02CF" w:rsidP="008B470D">
      <w:pPr>
        <w:spacing w:after="0" w:line="240" w:lineRule="auto"/>
        <w:ind w:left="567" w:hanging="567"/>
        <w:outlineLvl w:val="2"/>
        <w:rPr>
          <w:rFonts w:ascii="Times New Roman" w:hAnsi="Times New Roman"/>
          <w:bCs/>
          <w:sz w:val="8"/>
          <w:szCs w:val="8"/>
          <w:lang w:val="en-CA" w:eastAsia="pt-BR"/>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proofErr w:type="gramStart"/>
      <w:r w:rsidRPr="00346678">
        <w:rPr>
          <w:rFonts w:ascii="Times New Roman" w:hAnsi="Times New Roman"/>
          <w:sz w:val="24"/>
          <w:szCs w:val="24"/>
          <w:lang w:val="en-CA"/>
        </w:rPr>
        <w:t xml:space="preserve">BERTINELLI, L.; BLACK, </w:t>
      </w:r>
      <w:r w:rsidR="008C6AFC" w:rsidRPr="00346678">
        <w:rPr>
          <w:rFonts w:ascii="Times New Roman" w:hAnsi="Times New Roman"/>
          <w:sz w:val="24"/>
          <w:szCs w:val="24"/>
          <w:lang w:val="en-CA"/>
        </w:rPr>
        <w:t xml:space="preserve">D. </w:t>
      </w:r>
      <w:r w:rsidRPr="00346678">
        <w:rPr>
          <w:rFonts w:ascii="Times New Roman" w:hAnsi="Times New Roman"/>
          <w:sz w:val="24"/>
          <w:szCs w:val="24"/>
          <w:lang w:val="en-US"/>
        </w:rPr>
        <w:t>Urbanization and growth.</w:t>
      </w:r>
      <w:proofErr w:type="gramEnd"/>
      <w:r w:rsidRPr="00346678">
        <w:rPr>
          <w:rFonts w:ascii="Times New Roman" w:hAnsi="Times New Roman"/>
          <w:sz w:val="24"/>
          <w:szCs w:val="24"/>
          <w:lang w:val="en-US"/>
        </w:rPr>
        <w:t xml:space="preserve"> </w:t>
      </w:r>
      <w:r w:rsidRPr="00346678">
        <w:rPr>
          <w:rFonts w:ascii="Times New Roman" w:hAnsi="Times New Roman"/>
          <w:b/>
          <w:sz w:val="24"/>
          <w:szCs w:val="24"/>
          <w:lang w:val="en-US"/>
        </w:rPr>
        <w:t>Journal of Urban Economics</w:t>
      </w:r>
      <w:r w:rsidRPr="00346678">
        <w:rPr>
          <w:rFonts w:ascii="Times New Roman" w:hAnsi="Times New Roman"/>
          <w:sz w:val="24"/>
          <w:szCs w:val="24"/>
          <w:lang w:val="en-US"/>
        </w:rPr>
        <w:t>, Maryland, v. 56, p.80–96, Jan. 200</w:t>
      </w:r>
      <w:r w:rsidR="00533B34" w:rsidRPr="00346678">
        <w:rPr>
          <w:rFonts w:ascii="Times New Roman" w:hAnsi="Times New Roman"/>
          <w:sz w:val="24"/>
          <w:szCs w:val="24"/>
          <w:lang w:val="en-US"/>
        </w:rPr>
        <w:t>4</w:t>
      </w:r>
      <w:r w:rsidRPr="00346678">
        <w:rPr>
          <w:rFonts w:ascii="Times New Roman" w:hAnsi="Times New Roman"/>
          <w:sz w:val="24"/>
          <w:szCs w:val="24"/>
          <w:lang w:val="en-US"/>
        </w:rPr>
        <w:t>.</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rPr>
        <w:t xml:space="preserve">BLACK, D.; HENDERSON, J.V. A theory of urban growth. </w:t>
      </w:r>
      <w:r w:rsidRPr="00346678">
        <w:rPr>
          <w:rFonts w:ascii="Times New Roman" w:hAnsi="Times New Roman"/>
          <w:b/>
          <w:sz w:val="24"/>
          <w:szCs w:val="24"/>
          <w:lang w:val="en-US"/>
        </w:rPr>
        <w:t>Journal of Political Economy</w:t>
      </w:r>
      <w:r w:rsidRPr="00346678">
        <w:rPr>
          <w:rFonts w:ascii="Times New Roman" w:hAnsi="Times New Roman"/>
          <w:sz w:val="24"/>
          <w:szCs w:val="24"/>
          <w:lang w:val="en-US"/>
        </w:rPr>
        <w:t>, Chicago, v. 107, p. 252–284, Feb. 1999.</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lastRenderedPageBreak/>
        <w:t xml:space="preserve">BRASIL, M. C. </w:t>
      </w:r>
      <w:r w:rsidRPr="00346678">
        <w:rPr>
          <w:rFonts w:ascii="Times New Roman" w:hAnsi="Times New Roman"/>
          <w:b/>
          <w:sz w:val="24"/>
          <w:szCs w:val="24"/>
        </w:rPr>
        <w:t>Os fluxos migratórios na região norte nas décadas de 70 e 80</w:t>
      </w:r>
      <w:r w:rsidRPr="00346678">
        <w:rPr>
          <w:rFonts w:ascii="Times New Roman" w:hAnsi="Times New Roman"/>
          <w:sz w:val="24"/>
          <w:szCs w:val="24"/>
        </w:rPr>
        <w:t>: uma análise explorat</w:t>
      </w:r>
      <w:r w:rsidRPr="00346678">
        <w:rPr>
          <w:rFonts w:ascii="Times New Roman" w:hAnsi="Times New Roman"/>
          <w:sz w:val="24"/>
          <w:szCs w:val="24"/>
        </w:rPr>
        <w:t>ó</w:t>
      </w:r>
      <w:r w:rsidRPr="00346678">
        <w:rPr>
          <w:rFonts w:ascii="Times New Roman" w:hAnsi="Times New Roman"/>
          <w:sz w:val="24"/>
          <w:szCs w:val="24"/>
        </w:rPr>
        <w:t>ria. Cadernos de Estudos Sociais, Recife, v. 13, p. 51-70, 1997.</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F32A5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rPr>
        <w:t xml:space="preserve">BRASIL. Ministério da Integração Nacional; Ministério do Meio Ambiente. </w:t>
      </w:r>
      <w:r w:rsidRPr="00346678">
        <w:rPr>
          <w:rFonts w:ascii="Times New Roman" w:eastAsia="Dutch811BT" w:hAnsi="Times New Roman"/>
          <w:b/>
          <w:sz w:val="24"/>
          <w:szCs w:val="24"/>
        </w:rPr>
        <w:t>Plano da Amazônia Suste</w:t>
      </w:r>
      <w:r w:rsidRPr="00346678">
        <w:rPr>
          <w:rFonts w:ascii="Times New Roman" w:eastAsia="Dutch811BT" w:hAnsi="Times New Roman"/>
          <w:b/>
          <w:sz w:val="24"/>
          <w:szCs w:val="24"/>
        </w:rPr>
        <w:t>n</w:t>
      </w:r>
      <w:r w:rsidRPr="00346678">
        <w:rPr>
          <w:rFonts w:ascii="Times New Roman" w:eastAsia="Dutch811BT" w:hAnsi="Times New Roman"/>
          <w:b/>
          <w:sz w:val="24"/>
          <w:szCs w:val="24"/>
        </w:rPr>
        <w:t>tável</w:t>
      </w:r>
      <w:r w:rsidRPr="00346678">
        <w:rPr>
          <w:rFonts w:ascii="Times New Roman" w:eastAsia="Dutch811BT" w:hAnsi="Times New Roman"/>
          <w:sz w:val="24"/>
          <w:szCs w:val="24"/>
        </w:rPr>
        <w:t xml:space="preserve"> </w:t>
      </w:r>
      <w:r w:rsidRPr="00346678">
        <w:rPr>
          <w:rFonts w:ascii="Times New Roman" w:eastAsia="Dutch811BT" w:hAnsi="Times New Roman"/>
          <w:b/>
          <w:sz w:val="24"/>
          <w:szCs w:val="24"/>
        </w:rPr>
        <w:t>-PAS</w:t>
      </w:r>
      <w:r w:rsidRPr="00346678">
        <w:rPr>
          <w:rFonts w:ascii="Times New Roman" w:eastAsia="Dutch811BT" w:hAnsi="Times New Roman"/>
          <w:sz w:val="24"/>
          <w:szCs w:val="24"/>
        </w:rPr>
        <w:t>. Brasília: 2008. 114 p. Disponível em: &lt;</w:t>
      </w:r>
      <w:hyperlink r:id="rId8" w:history="1">
        <w:r w:rsidRPr="00346678">
          <w:rPr>
            <w:rFonts w:ascii="Times New Roman" w:eastAsia="Dutch811BT" w:hAnsi="Times New Roman"/>
            <w:sz w:val="24"/>
            <w:szCs w:val="24"/>
          </w:rPr>
          <w:t>http://www.mma.gov.br/</w:t>
        </w:r>
      </w:hyperlink>
      <w:r w:rsidRPr="00346678">
        <w:rPr>
          <w:rFonts w:ascii="Times New Roman" w:eastAsia="Dutch811BT" w:hAnsi="Times New Roman"/>
          <w:sz w:val="24"/>
          <w:szCs w:val="24"/>
        </w:rPr>
        <w:t xml:space="preserve">&gt;. </w:t>
      </w:r>
      <w:proofErr w:type="spellStart"/>
      <w:r w:rsidRPr="00F32A58">
        <w:rPr>
          <w:rFonts w:ascii="Times New Roman" w:eastAsia="Dutch811BT" w:hAnsi="Times New Roman"/>
          <w:sz w:val="24"/>
          <w:szCs w:val="24"/>
          <w:lang w:val="en-CA"/>
        </w:rPr>
        <w:t>Acesso</w:t>
      </w:r>
      <w:proofErr w:type="spellEnd"/>
      <w:r w:rsidRPr="00F32A58">
        <w:rPr>
          <w:rFonts w:ascii="Times New Roman" w:eastAsia="Dutch811BT" w:hAnsi="Times New Roman"/>
          <w:sz w:val="24"/>
          <w:szCs w:val="24"/>
          <w:lang w:val="en-CA"/>
        </w:rPr>
        <w:t xml:space="preserve"> </w:t>
      </w:r>
      <w:proofErr w:type="spellStart"/>
      <w:r w:rsidRPr="00F32A58">
        <w:rPr>
          <w:rFonts w:ascii="Times New Roman" w:eastAsia="Dutch811BT" w:hAnsi="Times New Roman"/>
          <w:sz w:val="24"/>
          <w:szCs w:val="24"/>
          <w:lang w:val="en-CA"/>
        </w:rPr>
        <w:t>em</w:t>
      </w:r>
      <w:proofErr w:type="spellEnd"/>
      <w:r w:rsidRPr="00F32A58">
        <w:rPr>
          <w:rFonts w:ascii="Times New Roman" w:eastAsia="Dutch811BT" w:hAnsi="Times New Roman"/>
          <w:sz w:val="24"/>
          <w:szCs w:val="24"/>
          <w:lang w:val="en-CA"/>
        </w:rPr>
        <w:t>: 01 jun. 2009.</w:t>
      </w:r>
    </w:p>
    <w:p w:rsidR="007B02CF" w:rsidRPr="00F32A58" w:rsidRDefault="007B02CF" w:rsidP="008B470D">
      <w:pPr>
        <w:autoSpaceDE w:val="0"/>
        <w:autoSpaceDN w:val="0"/>
        <w:adjustRightInd w:val="0"/>
        <w:spacing w:after="0" w:line="240" w:lineRule="auto"/>
        <w:ind w:left="567" w:hanging="567"/>
        <w:jc w:val="both"/>
        <w:rPr>
          <w:rFonts w:ascii="Times New Roman"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proofErr w:type="gramStart"/>
      <w:r w:rsidRPr="00346678">
        <w:rPr>
          <w:rFonts w:ascii="Times New Roman" w:hAnsi="Times New Roman"/>
          <w:sz w:val="24"/>
          <w:szCs w:val="24"/>
          <w:lang w:val="en-CA"/>
        </w:rPr>
        <w:t>BÜLHART, M.; KOENIG, P.</w:t>
      </w:r>
      <w:proofErr w:type="gramEnd"/>
      <w:r w:rsidRPr="00346678">
        <w:rPr>
          <w:rFonts w:ascii="Times New Roman" w:hAnsi="Times New Roman"/>
          <w:sz w:val="24"/>
          <w:szCs w:val="24"/>
          <w:lang w:val="en-CA"/>
        </w:rPr>
        <w:t xml:space="preserve"> New economic geography meets Comecon, </w:t>
      </w:r>
      <w:r w:rsidRPr="00346678">
        <w:rPr>
          <w:rFonts w:ascii="Times New Roman" w:hAnsi="Times New Roman"/>
          <w:b/>
          <w:sz w:val="24"/>
          <w:szCs w:val="24"/>
          <w:lang w:val="en-CA"/>
        </w:rPr>
        <w:t xml:space="preserve">Economics of Transition, </w:t>
      </w:r>
      <w:r w:rsidRPr="00346678">
        <w:rPr>
          <w:rFonts w:ascii="Times New Roman" w:hAnsi="Times New Roman"/>
          <w:sz w:val="24"/>
          <w:szCs w:val="24"/>
          <w:lang w:val="en-CA"/>
        </w:rPr>
        <w:t xml:space="preserve">San Francisco, v.14, p. </w:t>
      </w:r>
      <w:r w:rsidRPr="00346678">
        <w:rPr>
          <w:rFonts w:ascii="Times New Roman" w:hAnsi="Times New Roman"/>
          <w:sz w:val="24"/>
          <w:szCs w:val="24"/>
          <w:lang w:val="en-US"/>
        </w:rPr>
        <w:t>245-267, Feb. 2006.</w:t>
      </w:r>
    </w:p>
    <w:p w:rsidR="00B43E65" w:rsidRPr="00346678" w:rsidRDefault="00B43E65" w:rsidP="008B470D">
      <w:pPr>
        <w:autoSpaceDE w:val="0"/>
        <w:autoSpaceDN w:val="0"/>
        <w:adjustRightInd w:val="0"/>
        <w:spacing w:after="0" w:line="240" w:lineRule="auto"/>
        <w:ind w:left="567" w:hanging="567"/>
        <w:jc w:val="both"/>
        <w:rPr>
          <w:rFonts w:ascii="Times New Roman" w:hAnsi="Times New Roman"/>
          <w:sz w:val="8"/>
          <w:szCs w:val="24"/>
          <w:lang w:val="en-US"/>
        </w:rPr>
      </w:pPr>
    </w:p>
    <w:p w:rsidR="007B02CF" w:rsidRPr="00346678" w:rsidRDefault="007B02CF" w:rsidP="008B470D">
      <w:pPr>
        <w:spacing w:after="0" w:line="240" w:lineRule="auto"/>
        <w:ind w:left="567" w:hanging="567"/>
        <w:jc w:val="both"/>
        <w:rPr>
          <w:rFonts w:ascii="Times New Roman" w:hAnsi="Times New Roman"/>
          <w:sz w:val="24"/>
          <w:szCs w:val="24"/>
          <w:lang w:val="en-US" w:eastAsia="pt-BR"/>
        </w:rPr>
      </w:pPr>
      <w:r w:rsidRPr="00346678">
        <w:rPr>
          <w:rFonts w:ascii="Times New Roman" w:hAnsi="Times New Roman"/>
          <w:sz w:val="24"/>
          <w:szCs w:val="24"/>
          <w:lang w:val="en-US" w:eastAsia="pt-BR"/>
        </w:rPr>
        <w:t xml:space="preserve">DA MATA, D.; DEICHMANN, U.; HENDERSON, J. V.; LALL, S.V.; HYONG, W., H.G. </w:t>
      </w:r>
      <w:r w:rsidRPr="00346678">
        <w:rPr>
          <w:rFonts w:ascii="Times New Roman" w:hAnsi="Times New Roman"/>
          <w:b/>
          <w:sz w:val="24"/>
          <w:szCs w:val="24"/>
          <w:lang w:val="en-US" w:eastAsia="pt-BR"/>
        </w:rPr>
        <w:t>Examining the growth patterns of Brazilian cities</w:t>
      </w:r>
      <w:r w:rsidRPr="00346678">
        <w:rPr>
          <w:rFonts w:ascii="Times New Roman" w:hAnsi="Times New Roman"/>
          <w:sz w:val="24"/>
          <w:szCs w:val="24"/>
          <w:lang w:val="en-US" w:eastAsia="pt-BR"/>
        </w:rPr>
        <w:t>.  Washington: World Bank, 2005a. (Policy Research Working Paper 3724)</w:t>
      </w:r>
    </w:p>
    <w:p w:rsidR="00B43E65" w:rsidRPr="00346678" w:rsidRDefault="00B43E65" w:rsidP="008B470D">
      <w:pPr>
        <w:spacing w:after="0" w:line="240" w:lineRule="auto"/>
        <w:ind w:left="567" w:hanging="567"/>
        <w:jc w:val="both"/>
        <w:rPr>
          <w:rFonts w:ascii="Times New Roman" w:hAnsi="Times New Roman"/>
          <w:sz w:val="8"/>
          <w:szCs w:val="24"/>
          <w:lang w:val="en-US" w:eastAsia="pt-BR"/>
        </w:rPr>
      </w:pPr>
    </w:p>
    <w:p w:rsidR="007B02CF" w:rsidRPr="00346678" w:rsidRDefault="007B02CF" w:rsidP="008B470D">
      <w:pPr>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eastAsia="pt-BR"/>
        </w:rPr>
        <w:t xml:space="preserve">DA MATA. </w:t>
      </w:r>
      <w:r w:rsidRPr="00346678">
        <w:rPr>
          <w:rFonts w:ascii="Times New Roman" w:hAnsi="Times New Roman"/>
          <w:b/>
          <w:sz w:val="24"/>
          <w:szCs w:val="24"/>
          <w:lang w:val="en-US" w:eastAsia="pt-BR"/>
        </w:rPr>
        <w:t>Determinants of city growth in Brazil</w:t>
      </w:r>
      <w:r w:rsidRPr="00346678">
        <w:rPr>
          <w:rFonts w:ascii="Times New Roman" w:hAnsi="Times New Roman"/>
          <w:sz w:val="24"/>
          <w:szCs w:val="24"/>
          <w:lang w:val="en-US" w:eastAsia="pt-BR"/>
        </w:rPr>
        <w:t>.  Washington: The World Bank, 2005b. (Policy R</w:t>
      </w:r>
      <w:r w:rsidRPr="00346678">
        <w:rPr>
          <w:rFonts w:ascii="Times New Roman" w:hAnsi="Times New Roman"/>
          <w:sz w:val="24"/>
          <w:szCs w:val="24"/>
          <w:lang w:val="en-US" w:eastAsia="pt-BR"/>
        </w:rPr>
        <w:t>e</w:t>
      </w:r>
      <w:r w:rsidRPr="00346678">
        <w:rPr>
          <w:rFonts w:ascii="Times New Roman" w:hAnsi="Times New Roman"/>
          <w:sz w:val="24"/>
          <w:szCs w:val="24"/>
          <w:lang w:val="en-US" w:eastAsia="pt-BR"/>
        </w:rPr>
        <w:t>search Working Paper 3724)</w:t>
      </w:r>
    </w:p>
    <w:p w:rsidR="00417F38" w:rsidRPr="00346678" w:rsidRDefault="00417F38"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CA"/>
        </w:rPr>
      </w:pPr>
      <w:r w:rsidRPr="00346678">
        <w:rPr>
          <w:rFonts w:ascii="Times New Roman" w:hAnsi="Times New Roman"/>
          <w:sz w:val="24"/>
          <w:szCs w:val="24"/>
          <w:lang w:val="en-US"/>
        </w:rPr>
        <w:t xml:space="preserve">DURANTON, G. </w:t>
      </w:r>
      <w:r w:rsidRPr="00346678">
        <w:rPr>
          <w:rFonts w:ascii="Times New Roman" w:hAnsi="Times New Roman"/>
          <w:b/>
          <w:sz w:val="24"/>
          <w:szCs w:val="24"/>
          <w:lang w:val="en-US"/>
        </w:rPr>
        <w:t xml:space="preserve">Cities: </w:t>
      </w:r>
      <w:r w:rsidRPr="00346678">
        <w:rPr>
          <w:rFonts w:ascii="Times New Roman" w:hAnsi="Times New Roman"/>
          <w:sz w:val="24"/>
          <w:szCs w:val="24"/>
          <w:lang w:val="en-US"/>
        </w:rPr>
        <w:t>engines of growth and prosperity for developing countries</w:t>
      </w:r>
      <w:r w:rsidRPr="00346678">
        <w:rPr>
          <w:rFonts w:ascii="Times New Roman" w:hAnsi="Times New Roman"/>
          <w:b/>
          <w:sz w:val="24"/>
          <w:szCs w:val="24"/>
          <w:lang w:val="en-US"/>
        </w:rPr>
        <w:t>?</w:t>
      </w:r>
      <w:r w:rsidRPr="00346678">
        <w:rPr>
          <w:rFonts w:ascii="Times New Roman" w:hAnsi="Times New Roman"/>
          <w:sz w:val="24"/>
          <w:szCs w:val="24"/>
          <w:lang w:val="en-US"/>
        </w:rPr>
        <w:t xml:space="preserve"> Commission on Growth and Development, working paper n.12, 2008.</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rPr>
        <w:t xml:space="preserve">EATON, J.; ECKSTEIN, Z. Cities and growth: theory and evidence from France and Japan, </w:t>
      </w:r>
      <w:r w:rsidRPr="00346678">
        <w:rPr>
          <w:rFonts w:ascii="Times New Roman" w:hAnsi="Times New Roman"/>
          <w:b/>
          <w:sz w:val="24"/>
          <w:szCs w:val="24"/>
          <w:lang w:val="en-US"/>
        </w:rPr>
        <w:t>Regional Science and Urban Economics</w:t>
      </w:r>
      <w:r w:rsidRPr="00346678">
        <w:rPr>
          <w:rFonts w:ascii="Times New Roman" w:hAnsi="Times New Roman"/>
          <w:sz w:val="24"/>
          <w:szCs w:val="24"/>
          <w:lang w:val="en-US"/>
        </w:rPr>
        <w:t>, Maryland, v. 27, n.4, p. 443-74, Aug. 1997.</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lang w:val="en-US"/>
        </w:rPr>
        <w:t xml:space="preserve">ELLISON, G.; GLAESER E. The Geographic concentration of Industry: does natural advantage explain agglomeration? </w:t>
      </w:r>
      <w:r w:rsidRPr="00346678">
        <w:rPr>
          <w:rFonts w:ascii="Times New Roman" w:hAnsi="Times New Roman"/>
          <w:b/>
          <w:sz w:val="24"/>
          <w:szCs w:val="24"/>
        </w:rPr>
        <w:t>American Economic Review,</w:t>
      </w:r>
      <w:r w:rsidRPr="00346678">
        <w:rPr>
          <w:rFonts w:ascii="Times New Roman" w:hAnsi="Times New Roman"/>
          <w:sz w:val="24"/>
          <w:szCs w:val="24"/>
        </w:rPr>
        <w:t xml:space="preserve"> Pittsburgh v. 89, n.2, p.311–316, 1999.</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pStyle w:val="refbibliog"/>
        <w:spacing w:after="0"/>
        <w:ind w:left="567" w:hanging="567"/>
        <w:rPr>
          <w:i/>
          <w:sz w:val="24"/>
        </w:rPr>
      </w:pPr>
      <w:r w:rsidRPr="00346678">
        <w:rPr>
          <w:sz w:val="24"/>
        </w:rPr>
        <w:t xml:space="preserve">FERREIRA FILHO, C. </w:t>
      </w:r>
      <w:r w:rsidRPr="00346678">
        <w:rPr>
          <w:b/>
          <w:sz w:val="24"/>
        </w:rPr>
        <w:t>Economia da produção.</w:t>
      </w:r>
      <w:r w:rsidRPr="00346678">
        <w:rPr>
          <w:i/>
          <w:sz w:val="24"/>
        </w:rPr>
        <w:t xml:space="preserve"> </w:t>
      </w:r>
      <w:r w:rsidRPr="00346678">
        <w:rPr>
          <w:sz w:val="24"/>
        </w:rPr>
        <w:t xml:space="preserve"> Rio de Janeiro: SPVEA, 1956. 130p.v.1 (Coleção Ar</w:t>
      </w:r>
      <w:r w:rsidRPr="00346678">
        <w:rPr>
          <w:sz w:val="24"/>
        </w:rPr>
        <w:t>a</w:t>
      </w:r>
      <w:r w:rsidRPr="00346678">
        <w:rPr>
          <w:sz w:val="24"/>
        </w:rPr>
        <w:t>újo Lima)</w:t>
      </w:r>
      <w:r w:rsidRPr="00346678">
        <w:rPr>
          <w:i/>
          <w:sz w:val="24"/>
        </w:rPr>
        <w:t>.</w:t>
      </w:r>
    </w:p>
    <w:p w:rsidR="005E29EB" w:rsidRPr="00346678" w:rsidRDefault="005E29EB" w:rsidP="008B470D">
      <w:pPr>
        <w:pStyle w:val="refbibliog"/>
        <w:spacing w:after="0"/>
        <w:ind w:left="567" w:hanging="567"/>
        <w:rPr>
          <w:i/>
          <w:sz w:val="8"/>
          <w:vertAlign w:val="subscript"/>
          <w:lang w:val="en-CA"/>
        </w:rPr>
      </w:pPr>
      <w:r w:rsidRPr="00346678">
        <w:rPr>
          <w:i/>
          <w:sz w:val="20"/>
          <w:lang w:val="en-CA"/>
        </w:rPr>
        <w:softHyphen/>
      </w:r>
      <w:r w:rsidRPr="00346678">
        <w:rPr>
          <w:i/>
          <w:sz w:val="20"/>
          <w:lang w:val="en-CA"/>
        </w:rPr>
        <w:softHyphen/>
      </w:r>
      <w:r w:rsidRPr="00346678">
        <w:rPr>
          <w:i/>
          <w:sz w:val="20"/>
          <w:lang w:val="en-CA"/>
        </w:rPr>
        <w:softHyphen/>
      </w:r>
      <w:r w:rsidRPr="00346678">
        <w:rPr>
          <w:i/>
          <w:sz w:val="20"/>
          <w:lang w:val="en-CA"/>
        </w:rPr>
        <w:softHyphen/>
      </w:r>
    </w:p>
    <w:p w:rsidR="007B02CF" w:rsidRPr="00B0350C"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lang w:val="en-US"/>
        </w:rPr>
        <w:t>FLORAX, R.J.G.M.; FOLMER, H.; REY, S.J. Specification searches in spatial econometrics: the rele</w:t>
      </w:r>
      <w:r w:rsidRPr="00346678">
        <w:rPr>
          <w:rFonts w:ascii="Times New Roman" w:hAnsi="Times New Roman"/>
          <w:sz w:val="24"/>
          <w:szCs w:val="24"/>
          <w:lang w:val="en-US"/>
        </w:rPr>
        <w:t>v</w:t>
      </w:r>
      <w:r w:rsidRPr="00346678">
        <w:rPr>
          <w:rFonts w:ascii="Times New Roman" w:hAnsi="Times New Roman"/>
          <w:sz w:val="24"/>
          <w:szCs w:val="24"/>
          <w:lang w:val="en-US"/>
        </w:rPr>
        <w:t xml:space="preserve">ance of Hendry’s methodology. </w:t>
      </w:r>
      <w:r w:rsidRPr="00B0350C">
        <w:rPr>
          <w:rFonts w:ascii="Times New Roman" w:hAnsi="Times New Roman"/>
          <w:b/>
          <w:sz w:val="24"/>
          <w:szCs w:val="24"/>
        </w:rPr>
        <w:t xml:space="preserve">Regional </w:t>
      </w:r>
      <w:proofErr w:type="spellStart"/>
      <w:r w:rsidRPr="00B0350C">
        <w:rPr>
          <w:rFonts w:ascii="Times New Roman" w:hAnsi="Times New Roman"/>
          <w:b/>
          <w:sz w:val="24"/>
          <w:szCs w:val="24"/>
        </w:rPr>
        <w:t>Science</w:t>
      </w:r>
      <w:proofErr w:type="spellEnd"/>
      <w:r w:rsidRPr="00B0350C">
        <w:rPr>
          <w:rFonts w:ascii="Times New Roman" w:hAnsi="Times New Roman"/>
          <w:b/>
          <w:sz w:val="24"/>
          <w:szCs w:val="24"/>
        </w:rPr>
        <w:t xml:space="preserve"> </w:t>
      </w:r>
      <w:proofErr w:type="spellStart"/>
      <w:r w:rsidRPr="00B0350C">
        <w:rPr>
          <w:rFonts w:ascii="Times New Roman" w:hAnsi="Times New Roman"/>
          <w:b/>
          <w:sz w:val="24"/>
          <w:szCs w:val="24"/>
        </w:rPr>
        <w:t>and</w:t>
      </w:r>
      <w:proofErr w:type="spellEnd"/>
      <w:r w:rsidRPr="00B0350C">
        <w:rPr>
          <w:rFonts w:ascii="Times New Roman" w:hAnsi="Times New Roman"/>
          <w:b/>
          <w:sz w:val="24"/>
          <w:szCs w:val="24"/>
        </w:rPr>
        <w:t xml:space="preserve"> </w:t>
      </w:r>
      <w:proofErr w:type="spellStart"/>
      <w:r w:rsidRPr="00B0350C">
        <w:rPr>
          <w:rFonts w:ascii="Times New Roman" w:hAnsi="Times New Roman"/>
          <w:b/>
          <w:sz w:val="24"/>
          <w:szCs w:val="24"/>
        </w:rPr>
        <w:t>Urban</w:t>
      </w:r>
      <w:proofErr w:type="spellEnd"/>
      <w:r w:rsidRPr="00B0350C">
        <w:rPr>
          <w:rFonts w:ascii="Times New Roman" w:hAnsi="Times New Roman"/>
          <w:b/>
          <w:sz w:val="24"/>
          <w:szCs w:val="24"/>
        </w:rPr>
        <w:t xml:space="preserve"> </w:t>
      </w:r>
      <w:proofErr w:type="spellStart"/>
      <w:r w:rsidRPr="00B0350C">
        <w:rPr>
          <w:rFonts w:ascii="Times New Roman" w:hAnsi="Times New Roman"/>
          <w:b/>
          <w:sz w:val="24"/>
          <w:szCs w:val="24"/>
        </w:rPr>
        <w:t>Economics</w:t>
      </w:r>
      <w:proofErr w:type="spellEnd"/>
      <w:r w:rsidRPr="00B0350C">
        <w:rPr>
          <w:rFonts w:ascii="Times New Roman" w:hAnsi="Times New Roman"/>
          <w:b/>
          <w:sz w:val="24"/>
          <w:szCs w:val="24"/>
        </w:rPr>
        <w:t xml:space="preserve">, </w:t>
      </w:r>
      <w:r w:rsidRPr="00B0350C">
        <w:rPr>
          <w:rFonts w:ascii="Times New Roman" w:hAnsi="Times New Roman"/>
          <w:sz w:val="24"/>
          <w:szCs w:val="24"/>
        </w:rPr>
        <w:t>Maryland, v. 33, n. 5, p. 557-579, 2003.</w:t>
      </w:r>
    </w:p>
    <w:p w:rsidR="007B02CF" w:rsidRPr="00B0350C"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lang w:val="en-CA"/>
        </w:rPr>
      </w:pPr>
      <w:r w:rsidRPr="00B0350C">
        <w:rPr>
          <w:rFonts w:ascii="Times New Roman" w:hAnsi="Times New Roman"/>
          <w:color w:val="000000"/>
          <w:sz w:val="24"/>
          <w:szCs w:val="24"/>
        </w:rPr>
        <w:t xml:space="preserve">FUJITA, M.; KRUGMAN, P.; VENABLES, </w:t>
      </w:r>
      <w:proofErr w:type="spellStart"/>
      <w:r w:rsidRPr="00B0350C">
        <w:rPr>
          <w:rFonts w:ascii="Times New Roman" w:hAnsi="Times New Roman"/>
          <w:color w:val="000000"/>
          <w:sz w:val="24"/>
          <w:szCs w:val="24"/>
        </w:rPr>
        <w:t>A.J.</w:t>
      </w:r>
      <w:proofErr w:type="spellEnd"/>
      <w:r w:rsidRPr="00B0350C">
        <w:rPr>
          <w:rFonts w:ascii="Times New Roman" w:hAnsi="Times New Roman"/>
          <w:color w:val="000000"/>
          <w:sz w:val="24"/>
          <w:szCs w:val="24"/>
        </w:rPr>
        <w:t xml:space="preserve"> </w:t>
      </w:r>
      <w:r w:rsidRPr="00B0350C">
        <w:rPr>
          <w:rFonts w:ascii="Times New Roman" w:hAnsi="Times New Roman"/>
          <w:b/>
          <w:color w:val="000000"/>
          <w:sz w:val="24"/>
          <w:szCs w:val="24"/>
        </w:rPr>
        <w:t xml:space="preserve">Economia espacial. </w:t>
      </w:r>
      <w:r w:rsidR="008C6AFC">
        <w:rPr>
          <w:rFonts w:ascii="Times New Roman" w:hAnsi="Times New Roman"/>
          <w:b/>
          <w:color w:val="000000"/>
          <w:sz w:val="24"/>
          <w:szCs w:val="24"/>
        </w:rPr>
        <w:t>U</w:t>
      </w:r>
      <w:r w:rsidRPr="00346678">
        <w:rPr>
          <w:rFonts w:ascii="Times New Roman" w:hAnsi="Times New Roman"/>
          <w:b/>
          <w:color w:val="000000"/>
          <w:sz w:val="24"/>
          <w:szCs w:val="24"/>
        </w:rPr>
        <w:t>rbanização, prosperidade ec</w:t>
      </w:r>
      <w:r w:rsidRPr="00346678">
        <w:rPr>
          <w:rFonts w:ascii="Times New Roman" w:hAnsi="Times New Roman"/>
          <w:b/>
          <w:color w:val="000000"/>
          <w:sz w:val="24"/>
          <w:szCs w:val="24"/>
        </w:rPr>
        <w:t>o</w:t>
      </w:r>
      <w:r w:rsidRPr="00346678">
        <w:rPr>
          <w:rFonts w:ascii="Times New Roman" w:hAnsi="Times New Roman"/>
          <w:b/>
          <w:color w:val="000000"/>
          <w:sz w:val="24"/>
          <w:szCs w:val="24"/>
        </w:rPr>
        <w:t>nômica e desenvolvimento humano no mundo</w:t>
      </w:r>
      <w:r w:rsidRPr="00346678">
        <w:rPr>
          <w:rFonts w:ascii="Times New Roman" w:hAnsi="Times New Roman"/>
          <w:color w:val="000000"/>
          <w:sz w:val="24"/>
          <w:szCs w:val="24"/>
        </w:rPr>
        <w:t xml:space="preserve">. </w:t>
      </w:r>
      <w:r w:rsidRPr="00346678">
        <w:rPr>
          <w:rFonts w:ascii="Times New Roman" w:hAnsi="Times New Roman"/>
          <w:color w:val="000000"/>
          <w:sz w:val="24"/>
          <w:szCs w:val="24"/>
          <w:lang w:val="en-CA"/>
        </w:rPr>
        <w:t>São Paulo: Futura, 2002. 384p</w:t>
      </w:r>
      <w:r w:rsidR="008C6AFC" w:rsidRPr="00346678">
        <w:rPr>
          <w:rFonts w:ascii="Times New Roman" w:hAnsi="Times New Roman"/>
          <w:color w:val="000000"/>
          <w:sz w:val="24"/>
          <w:szCs w:val="24"/>
          <w:lang w:val="en-CA"/>
        </w:rPr>
        <w:t>.</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hAnsi="Times New Roman"/>
          <w:sz w:val="24"/>
          <w:szCs w:val="24"/>
          <w:lang w:val="en-US"/>
        </w:rPr>
        <w:t xml:space="preserve">GALLUP, J.L.; SACHS, J.D.; MELLINGER, A.D. Geography and economic development. </w:t>
      </w:r>
      <w:r w:rsidRPr="00346678">
        <w:rPr>
          <w:rFonts w:ascii="Times New Roman" w:hAnsi="Times New Roman"/>
          <w:b/>
          <w:sz w:val="24"/>
          <w:szCs w:val="24"/>
          <w:lang w:val="en-US"/>
        </w:rPr>
        <w:t>Internatio</w:t>
      </w:r>
      <w:r w:rsidRPr="00346678">
        <w:rPr>
          <w:rFonts w:ascii="Times New Roman" w:hAnsi="Times New Roman"/>
          <w:b/>
          <w:sz w:val="24"/>
          <w:szCs w:val="24"/>
          <w:lang w:val="en-US"/>
        </w:rPr>
        <w:t>n</w:t>
      </w:r>
      <w:r w:rsidRPr="00346678">
        <w:rPr>
          <w:rFonts w:ascii="Times New Roman" w:hAnsi="Times New Roman"/>
          <w:b/>
          <w:sz w:val="24"/>
          <w:szCs w:val="24"/>
          <w:lang w:val="en-US"/>
        </w:rPr>
        <w:t xml:space="preserve">al Regional Science Review. </w:t>
      </w:r>
      <w:r w:rsidRPr="00346678">
        <w:rPr>
          <w:rFonts w:ascii="Times New Roman" w:hAnsi="Times New Roman"/>
          <w:sz w:val="24"/>
          <w:szCs w:val="24"/>
          <w:lang w:val="en-US"/>
        </w:rPr>
        <w:t>Tempe, v</w:t>
      </w:r>
      <w:r w:rsidRPr="00346678">
        <w:rPr>
          <w:rFonts w:ascii="Times New Roman" w:hAnsi="Times New Roman"/>
          <w:b/>
          <w:sz w:val="24"/>
          <w:szCs w:val="24"/>
          <w:lang w:val="en-US"/>
        </w:rPr>
        <w:t>.</w:t>
      </w:r>
      <w:r w:rsidRPr="00346678">
        <w:rPr>
          <w:rFonts w:ascii="Times New Roman" w:hAnsi="Times New Roman"/>
          <w:sz w:val="24"/>
          <w:szCs w:val="24"/>
          <w:lang w:val="en-US"/>
        </w:rPr>
        <w:t xml:space="preserve"> 22, n.2, p.179-232, 1999.</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eastAsia="Dutch811BT" w:hAnsi="Times New Roman"/>
          <w:sz w:val="24"/>
          <w:szCs w:val="24"/>
          <w:lang w:val="en-US"/>
        </w:rPr>
        <w:t>GLAESER, E.L. Are Cities dying?</w:t>
      </w:r>
      <w:r w:rsidRPr="00346678">
        <w:rPr>
          <w:rFonts w:ascii="Times New Roman" w:eastAsia="Dutch811BT" w:hAnsi="Times New Roman"/>
          <w:b/>
          <w:sz w:val="24"/>
          <w:szCs w:val="24"/>
          <w:lang w:val="en-US"/>
        </w:rPr>
        <w:t xml:space="preserve"> Journal of Economic Perspectives, </w:t>
      </w:r>
      <w:r w:rsidRPr="00346678">
        <w:rPr>
          <w:rFonts w:ascii="Times New Roman" w:eastAsia="Dutch811BT" w:hAnsi="Times New Roman"/>
          <w:sz w:val="24"/>
          <w:szCs w:val="24"/>
          <w:lang w:val="en-US"/>
        </w:rPr>
        <w:t>Pittsburgh,</w:t>
      </w:r>
      <w:r w:rsidRPr="00346678">
        <w:rPr>
          <w:rFonts w:ascii="Times New Roman" w:eastAsia="Dutch811BT" w:hAnsi="Times New Roman"/>
          <w:b/>
          <w:sz w:val="24"/>
          <w:szCs w:val="24"/>
          <w:lang w:val="en-US"/>
        </w:rPr>
        <w:t xml:space="preserve"> </w:t>
      </w:r>
      <w:r w:rsidRPr="00346678">
        <w:rPr>
          <w:rFonts w:ascii="Times New Roman" w:eastAsia="Dutch811BT" w:hAnsi="Times New Roman"/>
          <w:sz w:val="24"/>
          <w:szCs w:val="24"/>
          <w:lang w:val="en-US"/>
        </w:rPr>
        <w:t>vol. 12, n. 2, p. 139-160, Feb. 1998.</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CA"/>
        </w:rPr>
      </w:pPr>
      <w:r w:rsidRPr="00346678">
        <w:rPr>
          <w:rFonts w:ascii="Times New Roman" w:eastAsia="Dutch811BT" w:hAnsi="Times New Roman"/>
          <w:sz w:val="24"/>
          <w:szCs w:val="24"/>
          <w:lang w:val="en-US"/>
        </w:rPr>
        <w:t xml:space="preserve">GLAESER, E.L.; </w:t>
      </w:r>
      <w:r w:rsidRPr="00346678">
        <w:rPr>
          <w:rFonts w:ascii="Times New Roman" w:hAnsi="Times New Roman"/>
          <w:sz w:val="24"/>
          <w:szCs w:val="24"/>
          <w:lang w:val="en-CA"/>
        </w:rPr>
        <w:t xml:space="preserve">KOLKO, J.; SAIZ, A. Consumer city. </w:t>
      </w:r>
      <w:r w:rsidRPr="00346678">
        <w:rPr>
          <w:rFonts w:ascii="Times New Roman" w:hAnsi="Times New Roman"/>
          <w:b/>
          <w:iCs/>
          <w:sz w:val="24"/>
          <w:szCs w:val="24"/>
          <w:lang w:val="en-CA"/>
        </w:rPr>
        <w:t>Journal of Economic Geography</w:t>
      </w:r>
      <w:r w:rsidRPr="00346678">
        <w:rPr>
          <w:rFonts w:ascii="Times New Roman" w:hAnsi="Times New Roman"/>
          <w:iCs/>
          <w:sz w:val="24"/>
          <w:szCs w:val="24"/>
          <w:lang w:val="en-CA"/>
        </w:rPr>
        <w:t>,</w:t>
      </w:r>
      <w:r w:rsidRPr="00346678">
        <w:rPr>
          <w:rFonts w:ascii="Times New Roman" w:hAnsi="Times New Roman"/>
          <w:b/>
          <w:iCs/>
          <w:sz w:val="24"/>
          <w:szCs w:val="24"/>
          <w:lang w:val="en-CA"/>
        </w:rPr>
        <w:t xml:space="preserve"> </w:t>
      </w:r>
      <w:r w:rsidRPr="00346678">
        <w:rPr>
          <w:rFonts w:ascii="Times New Roman" w:hAnsi="Times New Roman"/>
          <w:iCs/>
          <w:sz w:val="24"/>
          <w:szCs w:val="24"/>
          <w:lang w:val="en-CA"/>
        </w:rPr>
        <w:t>Oxford, UK,</w:t>
      </w:r>
      <w:r w:rsidRPr="00346678">
        <w:rPr>
          <w:rFonts w:ascii="Times New Roman" w:hAnsi="Times New Roman"/>
          <w:b/>
          <w:iCs/>
          <w:sz w:val="24"/>
          <w:szCs w:val="24"/>
          <w:lang w:val="en-CA"/>
        </w:rPr>
        <w:t xml:space="preserve"> v. </w:t>
      </w:r>
      <w:r w:rsidRPr="00346678">
        <w:rPr>
          <w:rFonts w:ascii="Times New Roman" w:hAnsi="Times New Roman"/>
          <w:sz w:val="24"/>
          <w:szCs w:val="24"/>
          <w:lang w:val="en-CA"/>
        </w:rPr>
        <w:t>1, n.1, p. 27–50, 2001.</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rPr>
      </w:pPr>
      <w:r w:rsidRPr="00346678">
        <w:rPr>
          <w:rFonts w:ascii="Times New Roman" w:eastAsia="Dutch811BT" w:hAnsi="Times New Roman"/>
          <w:sz w:val="24"/>
          <w:szCs w:val="24"/>
          <w:lang w:val="en-US"/>
        </w:rPr>
        <w:t>GLAESER, E.L.; SCHEINKMAN, J.A.; SHLEIFE, A.</w:t>
      </w:r>
      <w:r w:rsidRPr="00346678">
        <w:rPr>
          <w:rFonts w:ascii="Times New Roman" w:hAnsi="Times New Roman"/>
          <w:sz w:val="24"/>
          <w:szCs w:val="24"/>
          <w:lang w:val="en-US"/>
        </w:rPr>
        <w:t xml:space="preserve"> </w:t>
      </w:r>
      <w:r w:rsidRPr="00346678">
        <w:rPr>
          <w:rFonts w:ascii="Times New Roman" w:eastAsia="Dutch811BT" w:hAnsi="Times New Roman"/>
          <w:sz w:val="24"/>
          <w:szCs w:val="24"/>
          <w:lang w:val="en-US"/>
        </w:rPr>
        <w:t xml:space="preserve">Economic growth in a cross-section of cities. </w:t>
      </w:r>
      <w:r w:rsidRPr="00346678">
        <w:rPr>
          <w:rFonts w:ascii="Times New Roman" w:eastAsia="Dutch811BT" w:hAnsi="Times New Roman"/>
          <w:b/>
          <w:sz w:val="24"/>
          <w:szCs w:val="24"/>
        </w:rPr>
        <w:t xml:space="preserve">Journal of Monetary Economics, </w:t>
      </w:r>
      <w:r w:rsidRPr="00346678">
        <w:rPr>
          <w:rFonts w:ascii="Times New Roman" w:hAnsi="Times New Roman"/>
          <w:sz w:val="24"/>
          <w:szCs w:val="24"/>
        </w:rPr>
        <w:t>Maryland</w:t>
      </w:r>
      <w:r w:rsidRPr="00346678">
        <w:rPr>
          <w:rFonts w:ascii="Times New Roman" w:eastAsia="Dutch811BT" w:hAnsi="Times New Roman"/>
          <w:sz w:val="24"/>
          <w:szCs w:val="24"/>
        </w:rPr>
        <w:t>,</w:t>
      </w:r>
      <w:r w:rsidRPr="00346678">
        <w:rPr>
          <w:rFonts w:ascii="Times New Roman" w:eastAsia="Dutch811BT" w:hAnsi="Times New Roman"/>
          <w:b/>
          <w:sz w:val="24"/>
          <w:szCs w:val="24"/>
        </w:rPr>
        <w:t xml:space="preserve"> </w:t>
      </w:r>
      <w:r w:rsidRPr="00346678">
        <w:rPr>
          <w:rFonts w:ascii="Times New Roman" w:eastAsia="Dutch811BT" w:hAnsi="Times New Roman"/>
          <w:sz w:val="24"/>
          <w:szCs w:val="24"/>
        </w:rPr>
        <w:t>v.</w:t>
      </w:r>
      <w:r w:rsidRPr="00346678">
        <w:rPr>
          <w:rFonts w:ascii="Times New Roman" w:eastAsia="Dutch811BT" w:hAnsi="Times New Roman"/>
          <w:b/>
          <w:sz w:val="24"/>
          <w:szCs w:val="24"/>
        </w:rPr>
        <w:t xml:space="preserve"> </w:t>
      </w:r>
      <w:r w:rsidRPr="00346678">
        <w:rPr>
          <w:rFonts w:ascii="Times New Roman" w:eastAsia="Dutch811BT" w:hAnsi="Times New Roman"/>
          <w:sz w:val="24"/>
          <w:szCs w:val="24"/>
        </w:rPr>
        <w:t>36, n.2, p.117-143, 1995.</w:t>
      </w:r>
    </w:p>
    <w:p w:rsidR="005E29EB" w:rsidRPr="00346678" w:rsidRDefault="005E29EB" w:rsidP="008B470D">
      <w:pPr>
        <w:autoSpaceDE w:val="0"/>
        <w:autoSpaceDN w:val="0"/>
        <w:adjustRightInd w:val="0"/>
        <w:spacing w:after="0" w:line="240" w:lineRule="auto"/>
        <w:ind w:left="567" w:hanging="567"/>
        <w:jc w:val="both"/>
        <w:rPr>
          <w:rFonts w:ascii="Times New Roman" w:eastAsia="Dutch811BT" w:hAnsi="Times New Roman"/>
          <w:sz w:val="8"/>
          <w:szCs w:val="24"/>
        </w:rPr>
      </w:pPr>
    </w:p>
    <w:p w:rsidR="007B02CF" w:rsidRPr="00346678" w:rsidRDefault="007B02CF" w:rsidP="008B470D">
      <w:pPr>
        <w:pStyle w:val="refbibliog"/>
        <w:spacing w:after="0"/>
        <w:ind w:left="567" w:hanging="567"/>
        <w:rPr>
          <w:sz w:val="24"/>
          <w:szCs w:val="24"/>
        </w:rPr>
      </w:pPr>
      <w:r w:rsidRPr="00346678">
        <w:rPr>
          <w:sz w:val="24"/>
          <w:szCs w:val="24"/>
        </w:rPr>
        <w:t xml:space="preserve">GOMES, G.M.; VERGOLINO J.R. </w:t>
      </w:r>
      <w:r w:rsidRPr="00346678">
        <w:rPr>
          <w:b/>
          <w:sz w:val="24"/>
          <w:szCs w:val="24"/>
        </w:rPr>
        <w:t>Trinta e cinco anos de crescimento econômico na Amazônia (1960/1995)</w:t>
      </w:r>
      <w:r w:rsidRPr="00346678">
        <w:rPr>
          <w:i/>
          <w:sz w:val="24"/>
          <w:szCs w:val="24"/>
        </w:rPr>
        <w:t xml:space="preserve">. </w:t>
      </w:r>
      <w:r w:rsidRPr="00346678">
        <w:rPr>
          <w:sz w:val="24"/>
          <w:szCs w:val="24"/>
        </w:rPr>
        <w:t xml:space="preserve"> Brasília: Instituto de Pesquisa Econômica e Aplicada –IPEA, 1997. 144 p. (Texto p</w:t>
      </w:r>
      <w:r w:rsidRPr="00346678">
        <w:rPr>
          <w:sz w:val="24"/>
          <w:szCs w:val="24"/>
        </w:rPr>
        <w:t>a</w:t>
      </w:r>
      <w:r w:rsidRPr="00346678">
        <w:rPr>
          <w:sz w:val="24"/>
          <w:szCs w:val="24"/>
        </w:rPr>
        <w:t>ra</w:t>
      </w:r>
      <w:r w:rsidR="008C6AFC" w:rsidRPr="00346678">
        <w:rPr>
          <w:sz w:val="24"/>
          <w:szCs w:val="24"/>
        </w:rPr>
        <w:t xml:space="preserve"> </w:t>
      </w:r>
      <w:r w:rsidRPr="00346678">
        <w:rPr>
          <w:sz w:val="24"/>
          <w:szCs w:val="24"/>
        </w:rPr>
        <w:t>Di</w:t>
      </w:r>
      <w:r w:rsidRPr="00346678">
        <w:rPr>
          <w:sz w:val="24"/>
          <w:szCs w:val="24"/>
        </w:rPr>
        <w:t>s</w:t>
      </w:r>
      <w:r w:rsidRPr="00346678">
        <w:rPr>
          <w:sz w:val="24"/>
          <w:szCs w:val="24"/>
        </w:rPr>
        <w:t>cussão, 533).</w:t>
      </w:r>
    </w:p>
    <w:p w:rsidR="005E29EB" w:rsidRPr="00346678" w:rsidRDefault="005E29EB" w:rsidP="008B470D">
      <w:pPr>
        <w:pStyle w:val="refbibliog"/>
        <w:spacing w:after="0"/>
        <w:ind w:left="567" w:hanging="567"/>
        <w:rPr>
          <w:sz w:val="8"/>
          <w:szCs w:val="24"/>
        </w:rPr>
      </w:pPr>
    </w:p>
    <w:p w:rsidR="007B02CF" w:rsidRPr="00346678" w:rsidRDefault="007B02CF" w:rsidP="008B470D">
      <w:pPr>
        <w:pStyle w:val="refbibliog"/>
        <w:spacing w:after="0"/>
        <w:ind w:left="567" w:hanging="567"/>
        <w:rPr>
          <w:sz w:val="24"/>
        </w:rPr>
      </w:pPr>
      <w:r w:rsidRPr="00346678">
        <w:rPr>
          <w:sz w:val="24"/>
        </w:rPr>
        <w:t>GUIMARÃES, R.J.R. Nos caminhos do sonho:</w:t>
      </w:r>
      <w:r w:rsidRPr="00346678">
        <w:rPr>
          <w:i/>
          <w:sz w:val="24"/>
        </w:rPr>
        <w:t xml:space="preserve"> </w:t>
      </w:r>
      <w:r w:rsidRPr="00346678">
        <w:rPr>
          <w:sz w:val="24"/>
        </w:rPr>
        <w:t xml:space="preserve">grandes projetos e desenvolvimento industrial do Estado do Pará. In: XIMENES, T.(Org.). </w:t>
      </w:r>
      <w:r w:rsidRPr="00346678">
        <w:rPr>
          <w:b/>
          <w:sz w:val="24"/>
        </w:rPr>
        <w:t xml:space="preserve">Cenários da industrialização na Amazônia. </w:t>
      </w:r>
      <w:r w:rsidRPr="00346678">
        <w:rPr>
          <w:sz w:val="24"/>
        </w:rPr>
        <w:t>Belém: Unamaz, 1995, 113p. v.3.</w:t>
      </w:r>
    </w:p>
    <w:p w:rsidR="005E29EB" w:rsidRPr="00346678" w:rsidRDefault="005E29EB" w:rsidP="008B470D">
      <w:pPr>
        <w:autoSpaceDE w:val="0"/>
        <w:autoSpaceDN w:val="0"/>
        <w:adjustRightInd w:val="0"/>
        <w:spacing w:after="0" w:line="240" w:lineRule="auto"/>
        <w:ind w:left="567" w:hanging="567"/>
        <w:jc w:val="both"/>
        <w:rPr>
          <w:rFonts w:ascii="Times New Roman" w:hAnsi="Times New Roman"/>
          <w:sz w:val="8"/>
          <w:szCs w:val="24"/>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hAnsi="Times New Roman"/>
          <w:sz w:val="24"/>
          <w:szCs w:val="24"/>
          <w:lang w:val="en-US"/>
        </w:rPr>
        <w:t xml:space="preserve">HARRIS </w:t>
      </w:r>
      <w:r w:rsidR="008C6AFC" w:rsidRPr="00346678">
        <w:rPr>
          <w:rFonts w:ascii="Times New Roman" w:hAnsi="Times New Roman"/>
          <w:sz w:val="24"/>
          <w:szCs w:val="24"/>
          <w:lang w:val="en-US"/>
        </w:rPr>
        <w:t xml:space="preserve">C. </w:t>
      </w:r>
      <w:r w:rsidRPr="00346678">
        <w:rPr>
          <w:rFonts w:ascii="Times New Roman" w:hAnsi="Times New Roman"/>
          <w:sz w:val="24"/>
          <w:szCs w:val="24"/>
          <w:lang w:val="en-US"/>
        </w:rPr>
        <w:t xml:space="preserve">The market as a factor in the location of industry in the </w:t>
      </w:r>
      <w:r w:rsidRPr="00346678">
        <w:rPr>
          <w:rFonts w:ascii="Times New Roman" w:hAnsi="Times New Roman"/>
          <w:bCs/>
          <w:sz w:val="24"/>
          <w:szCs w:val="24"/>
          <w:lang w:val="en-US"/>
        </w:rPr>
        <w:t xml:space="preserve">United States. </w:t>
      </w:r>
      <w:r w:rsidRPr="00346678">
        <w:rPr>
          <w:rFonts w:ascii="Times New Roman" w:hAnsi="Times New Roman"/>
          <w:b/>
          <w:bCs/>
          <w:sz w:val="24"/>
          <w:szCs w:val="24"/>
          <w:lang w:val="en-US"/>
        </w:rPr>
        <w:t>Annals of the Assoc</w:t>
      </w:r>
      <w:r w:rsidRPr="00346678">
        <w:rPr>
          <w:rFonts w:ascii="Times New Roman" w:hAnsi="Times New Roman"/>
          <w:b/>
          <w:bCs/>
          <w:sz w:val="24"/>
          <w:szCs w:val="24"/>
          <w:lang w:val="en-US"/>
        </w:rPr>
        <w:t>i</w:t>
      </w:r>
      <w:r w:rsidRPr="00346678">
        <w:rPr>
          <w:rFonts w:ascii="Times New Roman" w:hAnsi="Times New Roman"/>
          <w:b/>
          <w:bCs/>
          <w:sz w:val="24"/>
          <w:szCs w:val="24"/>
          <w:lang w:val="en-US"/>
        </w:rPr>
        <w:t xml:space="preserve">ation of American Geographers, </w:t>
      </w:r>
      <w:r w:rsidRPr="00346678">
        <w:rPr>
          <w:rFonts w:ascii="Times New Roman" w:hAnsi="Times New Roman"/>
          <w:sz w:val="24"/>
          <w:szCs w:val="24"/>
          <w:lang w:val="en-US"/>
        </w:rPr>
        <w:t xml:space="preserve">New York, v. </w:t>
      </w:r>
      <w:r w:rsidRPr="00346678">
        <w:rPr>
          <w:rFonts w:ascii="Times New Roman" w:hAnsi="Times New Roman"/>
          <w:bCs/>
          <w:sz w:val="24"/>
          <w:szCs w:val="24"/>
          <w:lang w:val="en-US"/>
        </w:rPr>
        <w:t>44,</w:t>
      </w:r>
      <w:r w:rsidRPr="00346678">
        <w:rPr>
          <w:rFonts w:ascii="Times New Roman" w:hAnsi="Times New Roman"/>
          <w:b/>
          <w:bCs/>
          <w:sz w:val="24"/>
          <w:szCs w:val="24"/>
          <w:lang w:val="en-US"/>
        </w:rPr>
        <w:t xml:space="preserve"> </w:t>
      </w:r>
      <w:r w:rsidRPr="00346678">
        <w:rPr>
          <w:rFonts w:ascii="Times New Roman" w:hAnsi="Times New Roman"/>
          <w:bCs/>
          <w:sz w:val="24"/>
          <w:szCs w:val="24"/>
          <w:lang w:val="en-US"/>
        </w:rPr>
        <w:t>p.</w:t>
      </w:r>
      <w:r w:rsidRPr="00346678">
        <w:rPr>
          <w:rFonts w:ascii="Times New Roman" w:hAnsi="Times New Roman"/>
          <w:sz w:val="24"/>
          <w:szCs w:val="24"/>
          <w:lang w:val="en-US"/>
        </w:rPr>
        <w:t>315-48, 1954.</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eastAsia="Dutch811BT" w:hAnsi="Times New Roman"/>
          <w:sz w:val="24"/>
          <w:szCs w:val="24"/>
          <w:lang w:val="en-US"/>
        </w:rPr>
        <w:t>HEAD, K.; MAYER, T. The empirics of agglomeration and trade. In: HENDERSON, V.;</w:t>
      </w:r>
      <w:r w:rsidRPr="00346678">
        <w:rPr>
          <w:lang w:val="en-CA"/>
        </w:rPr>
        <w:t xml:space="preserve"> </w:t>
      </w:r>
      <w:r w:rsidRPr="00346678">
        <w:rPr>
          <w:rFonts w:ascii="Times New Roman" w:eastAsia="Dutch811BT" w:hAnsi="Times New Roman"/>
          <w:sz w:val="24"/>
          <w:szCs w:val="24"/>
          <w:lang w:val="en-US"/>
        </w:rPr>
        <w:t>THISSE, J.F. (Ed</w:t>
      </w:r>
      <w:r w:rsidR="008C6AFC" w:rsidRPr="00346678">
        <w:rPr>
          <w:rFonts w:ascii="Times New Roman" w:eastAsia="Dutch811BT" w:hAnsi="Times New Roman"/>
          <w:sz w:val="24"/>
          <w:szCs w:val="24"/>
          <w:lang w:val="en-US"/>
        </w:rPr>
        <w:t>.)</w:t>
      </w:r>
      <w:r w:rsidRPr="00346678">
        <w:rPr>
          <w:rFonts w:ascii="Times New Roman" w:eastAsia="Dutch811BT" w:hAnsi="Times New Roman"/>
          <w:sz w:val="24"/>
          <w:szCs w:val="24"/>
          <w:lang w:val="en-US"/>
        </w:rPr>
        <w:t xml:space="preserve">. </w:t>
      </w:r>
      <w:r w:rsidRPr="00346678">
        <w:rPr>
          <w:rFonts w:ascii="Times New Roman" w:eastAsia="Dutch811BT" w:hAnsi="Times New Roman"/>
          <w:b/>
          <w:sz w:val="24"/>
          <w:szCs w:val="24"/>
          <w:lang w:val="en-US"/>
        </w:rPr>
        <w:t xml:space="preserve">Handbook of </w:t>
      </w:r>
      <w:r w:rsidR="008C6AFC" w:rsidRPr="00346678">
        <w:rPr>
          <w:rFonts w:ascii="Times New Roman" w:eastAsia="Dutch811BT" w:hAnsi="Times New Roman"/>
          <w:b/>
          <w:sz w:val="24"/>
          <w:szCs w:val="24"/>
          <w:lang w:val="en-US"/>
        </w:rPr>
        <w:t>urban</w:t>
      </w:r>
      <w:r w:rsidRPr="00346678">
        <w:rPr>
          <w:rFonts w:ascii="Times New Roman" w:eastAsia="Dutch811BT" w:hAnsi="Times New Roman"/>
          <w:b/>
          <w:sz w:val="24"/>
          <w:szCs w:val="24"/>
          <w:lang w:val="en-US"/>
        </w:rPr>
        <w:t xml:space="preserve"> and </w:t>
      </w:r>
      <w:r w:rsidR="008C6AFC" w:rsidRPr="00346678">
        <w:rPr>
          <w:rFonts w:ascii="Times New Roman" w:eastAsia="Dutch811BT" w:hAnsi="Times New Roman"/>
          <w:b/>
          <w:sz w:val="24"/>
          <w:szCs w:val="24"/>
          <w:lang w:val="en-US"/>
        </w:rPr>
        <w:t>regional</w:t>
      </w:r>
      <w:r w:rsidRPr="00346678">
        <w:rPr>
          <w:rFonts w:ascii="Times New Roman" w:eastAsia="Dutch811BT" w:hAnsi="Times New Roman"/>
          <w:b/>
          <w:sz w:val="24"/>
          <w:szCs w:val="24"/>
          <w:lang w:val="en-US"/>
        </w:rPr>
        <w:t xml:space="preserve"> </w:t>
      </w:r>
      <w:r w:rsidR="008C6AFC" w:rsidRPr="00346678">
        <w:rPr>
          <w:rFonts w:ascii="Times New Roman" w:eastAsia="Dutch811BT" w:hAnsi="Times New Roman"/>
          <w:b/>
          <w:sz w:val="24"/>
          <w:szCs w:val="24"/>
          <w:lang w:val="en-US"/>
        </w:rPr>
        <w:t>economics</w:t>
      </w:r>
      <w:r w:rsidRPr="00346678">
        <w:rPr>
          <w:rFonts w:ascii="Times New Roman" w:eastAsia="Dutch811BT" w:hAnsi="Times New Roman"/>
          <w:b/>
          <w:sz w:val="24"/>
          <w:szCs w:val="24"/>
          <w:lang w:val="en-US"/>
        </w:rPr>
        <w:t xml:space="preserve">. </w:t>
      </w:r>
      <w:r w:rsidRPr="00346678">
        <w:rPr>
          <w:rFonts w:ascii="Times New Roman" w:eastAsia="Dutch811BT" w:hAnsi="Times New Roman"/>
          <w:sz w:val="24"/>
          <w:szCs w:val="24"/>
          <w:lang w:val="en-US"/>
        </w:rPr>
        <w:t>Amsterdam: Elsevier</w:t>
      </w:r>
      <w:r w:rsidR="008C6AFC" w:rsidRPr="00346678">
        <w:rPr>
          <w:rFonts w:ascii="Times New Roman" w:eastAsia="Dutch811BT" w:hAnsi="Times New Roman"/>
          <w:sz w:val="24"/>
          <w:szCs w:val="24"/>
          <w:lang w:val="en-US"/>
        </w:rPr>
        <w:t>, 2004a</w:t>
      </w:r>
      <w:r w:rsidRPr="00346678">
        <w:rPr>
          <w:rFonts w:ascii="Times New Roman" w:eastAsia="Dutch811BT" w:hAnsi="Times New Roman"/>
          <w:sz w:val="24"/>
          <w:szCs w:val="24"/>
          <w:lang w:val="en-US"/>
        </w:rPr>
        <w:t>. chap.9, 2609-2665.</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eastAsia="Dutch811BT" w:hAnsi="Times New Roman"/>
          <w:sz w:val="24"/>
          <w:szCs w:val="24"/>
          <w:lang w:val="en-US"/>
        </w:rPr>
        <w:t xml:space="preserve">______. Market </w:t>
      </w:r>
      <w:r w:rsidR="008C6AFC" w:rsidRPr="00346678">
        <w:rPr>
          <w:rFonts w:ascii="Times New Roman" w:eastAsia="Dutch811BT" w:hAnsi="Times New Roman"/>
          <w:sz w:val="24"/>
          <w:szCs w:val="24"/>
          <w:lang w:val="en-US"/>
        </w:rPr>
        <w:t>potential</w:t>
      </w:r>
      <w:r w:rsidRPr="00346678">
        <w:rPr>
          <w:rFonts w:ascii="Times New Roman" w:eastAsia="Dutch811BT" w:hAnsi="Times New Roman"/>
          <w:sz w:val="24"/>
          <w:szCs w:val="24"/>
          <w:lang w:val="en-US"/>
        </w:rPr>
        <w:t xml:space="preserve"> and the location of </w:t>
      </w:r>
      <w:r w:rsidR="008C6AFC" w:rsidRPr="00346678">
        <w:rPr>
          <w:rFonts w:ascii="Times New Roman" w:eastAsia="Dutch811BT" w:hAnsi="Times New Roman"/>
          <w:sz w:val="24"/>
          <w:szCs w:val="24"/>
          <w:lang w:val="en-US"/>
        </w:rPr>
        <w:t>Japanese</w:t>
      </w:r>
      <w:r w:rsidRPr="00346678">
        <w:rPr>
          <w:rFonts w:ascii="Times New Roman" w:eastAsia="Dutch811BT" w:hAnsi="Times New Roman"/>
          <w:sz w:val="24"/>
          <w:szCs w:val="24"/>
          <w:lang w:val="en-US"/>
        </w:rPr>
        <w:t xml:space="preserve"> investment in the European Union. </w:t>
      </w:r>
      <w:r w:rsidRPr="00346678">
        <w:rPr>
          <w:rFonts w:ascii="Times New Roman" w:eastAsia="Dutch811BT" w:hAnsi="Times New Roman"/>
          <w:b/>
          <w:sz w:val="24"/>
          <w:szCs w:val="24"/>
          <w:lang w:val="en-US"/>
        </w:rPr>
        <w:t xml:space="preserve">The Review of Economics and Statistics, </w:t>
      </w:r>
      <w:r w:rsidRPr="00346678">
        <w:rPr>
          <w:rFonts w:ascii="Times New Roman" w:eastAsia="Dutch811BT" w:hAnsi="Times New Roman"/>
          <w:sz w:val="24"/>
          <w:szCs w:val="24"/>
          <w:lang w:val="en-US"/>
        </w:rPr>
        <w:t>Cambridge, US, v. 86, n. 4, p.959-972, 2004b.</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346678">
        <w:rPr>
          <w:rFonts w:ascii="Times New Roman" w:eastAsia="Dutch811BT" w:hAnsi="Times New Roman"/>
          <w:sz w:val="24"/>
          <w:szCs w:val="24"/>
          <w:lang w:val="en-US"/>
        </w:rPr>
        <w:t xml:space="preserve">HENDERSON, J.V. The sizes and types of cities. </w:t>
      </w:r>
      <w:r w:rsidRPr="00346678">
        <w:rPr>
          <w:rFonts w:ascii="Times New Roman" w:eastAsia="Dutch811BT" w:hAnsi="Times New Roman"/>
          <w:b/>
          <w:sz w:val="24"/>
          <w:szCs w:val="24"/>
          <w:lang w:val="en-US"/>
        </w:rPr>
        <w:t>American Economic Review</w:t>
      </w:r>
      <w:r w:rsidRPr="00346678">
        <w:rPr>
          <w:rFonts w:ascii="Times New Roman" w:eastAsia="Dutch811BT" w:hAnsi="Times New Roman"/>
          <w:sz w:val="24"/>
          <w:szCs w:val="24"/>
          <w:lang w:val="en-US"/>
        </w:rPr>
        <w:t>, Pittsburgh, v. 64, p.640-656, 1974.</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lang w:val="en-US"/>
        </w:rPr>
        <w:t xml:space="preserve">HENDERSON, J.V.; THISSE, J.F. </w:t>
      </w:r>
      <w:r w:rsidRPr="00346678">
        <w:rPr>
          <w:rFonts w:ascii="Times New Roman" w:eastAsia="Dutch811BT" w:hAnsi="Times New Roman"/>
          <w:b/>
          <w:sz w:val="24"/>
          <w:szCs w:val="24"/>
          <w:lang w:val="en-US"/>
        </w:rPr>
        <w:t>Handbook of regional and urban economics</w:t>
      </w:r>
      <w:r w:rsidRPr="00346678">
        <w:rPr>
          <w:rFonts w:ascii="Times New Roman" w:eastAsia="Dutch811BT" w:hAnsi="Times New Roman"/>
          <w:sz w:val="24"/>
          <w:szCs w:val="24"/>
          <w:lang w:val="en-US"/>
        </w:rPr>
        <w:t xml:space="preserve">. </w:t>
      </w:r>
      <w:r w:rsidRPr="00346678">
        <w:rPr>
          <w:rFonts w:ascii="Times New Roman" w:eastAsia="Dutch811BT" w:hAnsi="Times New Roman"/>
          <w:sz w:val="24"/>
          <w:szCs w:val="24"/>
          <w:lang w:val="en-CA"/>
        </w:rPr>
        <w:t>Amsterdam: Elsevier, 2004 .v. 4,  p.2063-3052.</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lang w:val="en-US"/>
        </w:rPr>
        <w:t xml:space="preserve">HERZOG, H.W.; SCHLOTTMANN, A.M. Valuing amenities and disamenities of urban scale: can bigger be better?’ </w:t>
      </w:r>
      <w:r w:rsidRPr="00346678">
        <w:rPr>
          <w:rFonts w:ascii="Times New Roman" w:hAnsi="Times New Roman"/>
          <w:b/>
          <w:sz w:val="24"/>
          <w:szCs w:val="24"/>
        </w:rPr>
        <w:t>Journal of Regional Science</w:t>
      </w:r>
      <w:r w:rsidRPr="00346678">
        <w:rPr>
          <w:rFonts w:ascii="Times New Roman" w:hAnsi="Times New Roman"/>
          <w:sz w:val="24"/>
          <w:szCs w:val="24"/>
        </w:rPr>
        <w:t>, Oxford, UK, v. 33, p. 145–65, 1993.</w:t>
      </w:r>
    </w:p>
    <w:p w:rsidR="00DF5DB3" w:rsidRPr="00F32A58" w:rsidRDefault="00DF5DB3"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rPr>
      </w:pPr>
      <w:r w:rsidRPr="00346678">
        <w:rPr>
          <w:rFonts w:ascii="Times New Roman" w:hAnsi="Times New Roman"/>
          <w:color w:val="000000"/>
          <w:sz w:val="24"/>
          <w:szCs w:val="24"/>
        </w:rPr>
        <w:t xml:space="preserve">INSTITUTO BRASILEIRO DE GEOGRAFIA E ESTATÍSTICA (IBGE). </w:t>
      </w:r>
      <w:r w:rsidRPr="00346678">
        <w:rPr>
          <w:rFonts w:ascii="Times New Roman" w:hAnsi="Times New Roman"/>
          <w:b/>
          <w:color w:val="000000"/>
          <w:sz w:val="24"/>
          <w:szCs w:val="24"/>
        </w:rPr>
        <w:t>Censo Demográfico: 1980</w:t>
      </w:r>
      <w:r w:rsidRPr="00346678">
        <w:rPr>
          <w:rFonts w:ascii="Times New Roman" w:hAnsi="Times New Roman"/>
          <w:color w:val="000000"/>
          <w:sz w:val="24"/>
          <w:szCs w:val="24"/>
        </w:rPr>
        <w:t xml:space="preserve">. Rio de Janeiro, 1982. Disponível em: &lt; </w:t>
      </w:r>
      <w:hyperlink r:id="rId9" w:history="1">
        <w:r w:rsidRPr="00346678">
          <w:rPr>
            <w:rFonts w:ascii="Times New Roman" w:hAnsi="Times New Roman"/>
            <w:color w:val="000000"/>
            <w:sz w:val="24"/>
            <w:szCs w:val="24"/>
          </w:rPr>
          <w:t>http://www.ibge.gov.br</w:t>
        </w:r>
      </w:hyperlink>
      <w:r w:rsidRPr="00346678">
        <w:rPr>
          <w:rFonts w:ascii="Times New Roman" w:hAnsi="Times New Roman"/>
          <w:color w:val="000000"/>
          <w:sz w:val="24"/>
          <w:szCs w:val="24"/>
        </w:rPr>
        <w:t>&gt;</w:t>
      </w:r>
      <w:r w:rsidRPr="00346678">
        <w:rPr>
          <w:rFonts w:ascii="Times New Roman" w:hAnsi="Times New Roman"/>
          <w:sz w:val="24"/>
          <w:szCs w:val="24"/>
        </w:rPr>
        <w:t>.</w:t>
      </w:r>
      <w:r w:rsidRPr="00346678">
        <w:rPr>
          <w:rFonts w:ascii="Times New Roman" w:hAnsi="Times New Roman"/>
          <w:color w:val="000000"/>
          <w:sz w:val="24"/>
          <w:szCs w:val="24"/>
        </w:rPr>
        <w:t xml:space="preserve"> Acesso em: 18 fevereiro, 2009.</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rPr>
      </w:pPr>
    </w:p>
    <w:p w:rsidR="007B02CF" w:rsidRPr="00346678" w:rsidRDefault="007B02CF" w:rsidP="008B470D">
      <w:pPr>
        <w:pStyle w:val="refbibliog"/>
        <w:spacing w:after="0"/>
        <w:ind w:left="567" w:hanging="567"/>
        <w:rPr>
          <w:sz w:val="24"/>
          <w:szCs w:val="24"/>
        </w:rPr>
      </w:pPr>
      <w:r w:rsidRPr="00346678">
        <w:rPr>
          <w:sz w:val="24"/>
          <w:szCs w:val="24"/>
        </w:rPr>
        <w:t xml:space="preserve">_______. </w:t>
      </w:r>
      <w:r w:rsidRPr="00346678">
        <w:rPr>
          <w:b/>
          <w:color w:val="000000"/>
          <w:sz w:val="24"/>
          <w:szCs w:val="24"/>
        </w:rPr>
        <w:t>Censo Demográfico: 2000</w:t>
      </w:r>
      <w:r w:rsidRPr="00346678">
        <w:rPr>
          <w:sz w:val="24"/>
          <w:szCs w:val="24"/>
        </w:rPr>
        <w:t xml:space="preserve">. Rio de Janeiro, 2002. </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rPr>
      </w:pPr>
      <w:r w:rsidRPr="00346678">
        <w:rPr>
          <w:rFonts w:ascii="Times New Roman" w:hAnsi="Times New Roman"/>
          <w:color w:val="000000"/>
          <w:sz w:val="24"/>
          <w:szCs w:val="24"/>
        </w:rPr>
        <w:t xml:space="preserve">______. </w:t>
      </w:r>
      <w:r w:rsidRPr="00346678">
        <w:rPr>
          <w:rFonts w:ascii="Times New Roman" w:hAnsi="Times New Roman"/>
          <w:b/>
          <w:color w:val="000000"/>
          <w:sz w:val="24"/>
          <w:szCs w:val="24"/>
        </w:rPr>
        <w:t>Contas regionais do Brasil 2003-2006</w:t>
      </w:r>
      <w:r w:rsidRPr="00346678">
        <w:rPr>
          <w:rFonts w:ascii="Times New Roman" w:hAnsi="Times New Roman"/>
          <w:color w:val="000000"/>
          <w:sz w:val="24"/>
          <w:szCs w:val="24"/>
        </w:rPr>
        <w:t>. Rio de Janeiro, 2008. 87 p.</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rPr>
      </w:pPr>
    </w:p>
    <w:p w:rsidR="007B02CF" w:rsidRPr="00346678" w:rsidRDefault="007B02CF" w:rsidP="008B470D">
      <w:pPr>
        <w:pStyle w:val="refbibliog"/>
        <w:spacing w:after="0"/>
        <w:ind w:left="567" w:hanging="567"/>
        <w:rPr>
          <w:sz w:val="24"/>
          <w:szCs w:val="24"/>
        </w:rPr>
      </w:pPr>
      <w:r w:rsidRPr="00346678">
        <w:rPr>
          <w:sz w:val="24"/>
          <w:szCs w:val="24"/>
        </w:rPr>
        <w:t xml:space="preserve">______. </w:t>
      </w:r>
      <w:r w:rsidRPr="00346678">
        <w:rPr>
          <w:b/>
          <w:sz w:val="24"/>
          <w:szCs w:val="24"/>
        </w:rPr>
        <w:t>Produto Interno Bruto dos Municípios 2003 - 2006</w:t>
      </w:r>
      <w:r w:rsidRPr="00346678">
        <w:rPr>
          <w:sz w:val="24"/>
          <w:szCs w:val="24"/>
        </w:rPr>
        <w:t>. Rio de Janeiro, 2009. 234 p.</w:t>
      </w:r>
    </w:p>
    <w:p w:rsidR="007B02CF" w:rsidRPr="00346678" w:rsidRDefault="007B02CF" w:rsidP="008B470D">
      <w:pPr>
        <w:pStyle w:val="refbibliog"/>
        <w:spacing w:after="0"/>
        <w:ind w:left="567" w:hanging="567"/>
        <w:rPr>
          <w:sz w:val="8"/>
          <w:szCs w:val="8"/>
        </w:rPr>
      </w:pPr>
    </w:p>
    <w:p w:rsidR="007B02CF" w:rsidRPr="00346678" w:rsidRDefault="00DF5DB3" w:rsidP="008B470D">
      <w:pPr>
        <w:autoSpaceDE w:val="0"/>
        <w:autoSpaceDN w:val="0"/>
        <w:adjustRightInd w:val="0"/>
        <w:spacing w:after="0" w:line="240" w:lineRule="auto"/>
        <w:ind w:left="567" w:hanging="567"/>
        <w:jc w:val="both"/>
        <w:rPr>
          <w:rFonts w:ascii="Times New Roman" w:hAnsi="Times New Roman"/>
          <w:color w:val="000000"/>
          <w:sz w:val="24"/>
          <w:szCs w:val="24"/>
          <w:lang w:val="en-CA"/>
        </w:rPr>
      </w:pPr>
      <w:r w:rsidRPr="00346678">
        <w:rPr>
          <w:rFonts w:ascii="Times New Roman" w:hAnsi="Times New Roman"/>
          <w:color w:val="000000"/>
          <w:sz w:val="24"/>
          <w:szCs w:val="24"/>
          <w:lang w:val="en-CA"/>
        </w:rPr>
        <w:t xml:space="preserve">IGLIORI, D. </w:t>
      </w:r>
      <w:r w:rsidR="007B02CF" w:rsidRPr="00346678">
        <w:rPr>
          <w:rFonts w:ascii="Times New Roman" w:hAnsi="Times New Roman"/>
          <w:color w:val="000000"/>
          <w:sz w:val="24"/>
          <w:szCs w:val="24"/>
          <w:lang w:val="en-CA"/>
        </w:rPr>
        <w:t>Deforestation, growth and agglomeration effects: evide</w:t>
      </w:r>
      <w:r w:rsidR="007B02CF" w:rsidRPr="00346678">
        <w:rPr>
          <w:rFonts w:ascii="Times New Roman" w:hAnsi="Times New Roman"/>
          <w:color w:val="000000"/>
          <w:sz w:val="24"/>
          <w:szCs w:val="24"/>
          <w:lang w:val="en-US"/>
        </w:rPr>
        <w:t xml:space="preserve">nce from agriculture in the Brazilian Amazon, ERSA conference papers, </w:t>
      </w:r>
      <w:r w:rsidR="007B02CF" w:rsidRPr="00346678">
        <w:rPr>
          <w:rFonts w:ascii="Times New Roman" w:hAnsi="Times New Roman"/>
          <w:b/>
          <w:color w:val="000000"/>
          <w:sz w:val="24"/>
          <w:szCs w:val="24"/>
          <w:lang w:val="en-US"/>
        </w:rPr>
        <w:t xml:space="preserve">European Regional Science Association, </w:t>
      </w:r>
      <w:r w:rsidR="007B02CF" w:rsidRPr="00346678">
        <w:rPr>
          <w:rFonts w:ascii="Times New Roman" w:hAnsi="Times New Roman"/>
          <w:color w:val="000000"/>
          <w:sz w:val="24"/>
          <w:szCs w:val="24"/>
          <w:lang w:val="en-US"/>
        </w:rPr>
        <w:t>2006.</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rPr>
      </w:pPr>
      <w:r w:rsidRPr="00346678">
        <w:rPr>
          <w:rFonts w:ascii="Times New Roman" w:hAnsi="Times New Roman"/>
          <w:color w:val="000000"/>
          <w:sz w:val="24"/>
          <w:szCs w:val="24"/>
        </w:rPr>
        <w:t xml:space="preserve">KAMPEL, </w:t>
      </w:r>
      <w:r w:rsidR="008C6AFC" w:rsidRPr="00346678">
        <w:rPr>
          <w:rFonts w:ascii="Times New Roman" w:hAnsi="Times New Roman"/>
          <w:color w:val="000000"/>
          <w:sz w:val="24"/>
          <w:szCs w:val="24"/>
        </w:rPr>
        <w:t xml:space="preserve">S.A. </w:t>
      </w:r>
      <w:r w:rsidRPr="00346678">
        <w:rPr>
          <w:rFonts w:ascii="Times New Roman" w:hAnsi="Times New Roman"/>
          <w:color w:val="000000"/>
          <w:sz w:val="24"/>
          <w:szCs w:val="24"/>
        </w:rPr>
        <w:t>CAMERA, G.; MONTEIRO, A.M.V.</w:t>
      </w:r>
      <w:r w:rsidRPr="00346678">
        <w:t xml:space="preserve"> </w:t>
      </w:r>
      <w:r w:rsidRPr="00346678">
        <w:rPr>
          <w:rFonts w:ascii="Times New Roman" w:hAnsi="Times New Roman"/>
          <w:b/>
          <w:color w:val="000000"/>
          <w:sz w:val="24"/>
          <w:szCs w:val="24"/>
        </w:rPr>
        <w:t>Análise espacial do processo de urbanização da Amazônia</w:t>
      </w:r>
      <w:r w:rsidRPr="00346678">
        <w:rPr>
          <w:rFonts w:ascii="Times New Roman" w:hAnsi="Times New Roman"/>
          <w:color w:val="000000"/>
          <w:sz w:val="24"/>
          <w:szCs w:val="24"/>
        </w:rPr>
        <w:t xml:space="preserve">. Brasília: Ministério da Ciência e Tecnologia, 2001.30p. (Relatório Técnico). </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rPr>
      </w:pPr>
    </w:p>
    <w:p w:rsidR="007B02CF" w:rsidRPr="00F32A5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rPr>
      </w:pPr>
    </w:p>
    <w:p w:rsidR="007B02CF" w:rsidRPr="00346678" w:rsidRDefault="00E47B24" w:rsidP="008B470D">
      <w:pPr>
        <w:autoSpaceDE w:val="0"/>
        <w:autoSpaceDN w:val="0"/>
        <w:adjustRightInd w:val="0"/>
        <w:spacing w:after="0" w:line="240" w:lineRule="auto"/>
        <w:ind w:left="567" w:hanging="567"/>
        <w:jc w:val="both"/>
        <w:rPr>
          <w:rFonts w:ascii="Times New Roman" w:hAnsi="Times New Roman"/>
          <w:color w:val="000000"/>
          <w:sz w:val="24"/>
          <w:szCs w:val="24"/>
          <w:lang w:val="en-US"/>
        </w:rPr>
      </w:pPr>
      <w:r w:rsidRPr="00F32A58">
        <w:rPr>
          <w:rFonts w:ascii="Times New Roman" w:hAnsi="Times New Roman"/>
          <w:color w:val="000000"/>
          <w:sz w:val="24"/>
          <w:szCs w:val="24"/>
        </w:rPr>
        <w:t>KRUGMAN, P</w:t>
      </w:r>
      <w:r w:rsidR="007B02CF" w:rsidRPr="00F32A58">
        <w:rPr>
          <w:rFonts w:ascii="Times New Roman" w:hAnsi="Times New Roman"/>
          <w:color w:val="000000"/>
          <w:sz w:val="24"/>
          <w:szCs w:val="24"/>
        </w:rPr>
        <w:t xml:space="preserve">. </w:t>
      </w:r>
      <w:proofErr w:type="spellStart"/>
      <w:r w:rsidR="007B02CF" w:rsidRPr="00F32A58">
        <w:rPr>
          <w:rFonts w:ascii="Times New Roman" w:hAnsi="Times New Roman"/>
          <w:b/>
          <w:bCs/>
          <w:color w:val="000000"/>
          <w:sz w:val="24"/>
          <w:szCs w:val="24"/>
        </w:rPr>
        <w:t>Geography</w:t>
      </w:r>
      <w:proofErr w:type="spellEnd"/>
      <w:r w:rsidR="007B02CF" w:rsidRPr="00F32A58">
        <w:rPr>
          <w:rFonts w:ascii="Times New Roman" w:hAnsi="Times New Roman"/>
          <w:b/>
          <w:bCs/>
          <w:color w:val="000000"/>
          <w:sz w:val="24"/>
          <w:szCs w:val="24"/>
        </w:rPr>
        <w:t xml:space="preserve"> </w:t>
      </w:r>
      <w:proofErr w:type="spellStart"/>
      <w:r w:rsidR="007B02CF" w:rsidRPr="00F32A58">
        <w:rPr>
          <w:rFonts w:ascii="Times New Roman" w:hAnsi="Times New Roman"/>
          <w:b/>
          <w:bCs/>
          <w:color w:val="000000"/>
          <w:sz w:val="24"/>
          <w:szCs w:val="24"/>
        </w:rPr>
        <w:t>and</w:t>
      </w:r>
      <w:proofErr w:type="spellEnd"/>
      <w:r w:rsidR="007B02CF" w:rsidRPr="00F32A58">
        <w:rPr>
          <w:rFonts w:ascii="Times New Roman" w:hAnsi="Times New Roman"/>
          <w:b/>
          <w:bCs/>
          <w:color w:val="000000"/>
          <w:sz w:val="24"/>
          <w:szCs w:val="24"/>
        </w:rPr>
        <w:t xml:space="preserve"> trade</w:t>
      </w:r>
      <w:r w:rsidR="007B02CF" w:rsidRPr="00F32A58">
        <w:rPr>
          <w:rFonts w:ascii="Times New Roman" w:hAnsi="Times New Roman"/>
          <w:color w:val="000000"/>
          <w:sz w:val="24"/>
          <w:szCs w:val="24"/>
        </w:rPr>
        <w:t xml:space="preserve">. </w:t>
      </w:r>
      <w:r w:rsidR="007B02CF" w:rsidRPr="00346678">
        <w:rPr>
          <w:rFonts w:ascii="Times New Roman" w:hAnsi="Times New Roman"/>
          <w:color w:val="000000"/>
          <w:sz w:val="24"/>
          <w:szCs w:val="24"/>
          <w:lang w:val="en-US"/>
        </w:rPr>
        <w:t>Cambridge, US:  MIT Press, 1991a. 156 p.</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lang w:val="en-US"/>
        </w:rPr>
      </w:pPr>
      <w:r w:rsidRPr="00346678">
        <w:rPr>
          <w:rFonts w:ascii="Times New Roman" w:hAnsi="Times New Roman"/>
          <w:color w:val="000000"/>
          <w:sz w:val="24"/>
          <w:szCs w:val="24"/>
          <w:lang w:val="en-US"/>
        </w:rPr>
        <w:t xml:space="preserve">______. Increasing returns and economic geography. </w:t>
      </w:r>
      <w:r w:rsidRPr="00346678">
        <w:rPr>
          <w:rFonts w:ascii="Times New Roman" w:hAnsi="Times New Roman"/>
          <w:b/>
          <w:color w:val="000000"/>
          <w:sz w:val="24"/>
          <w:szCs w:val="24"/>
          <w:lang w:val="en-US"/>
        </w:rPr>
        <w:t>Journal of Political Economy</w:t>
      </w:r>
      <w:r w:rsidRPr="00346678">
        <w:rPr>
          <w:rFonts w:ascii="Times New Roman" w:hAnsi="Times New Roman"/>
          <w:color w:val="000000"/>
          <w:sz w:val="24"/>
          <w:szCs w:val="24"/>
          <w:lang w:val="en-US"/>
        </w:rPr>
        <w:t>, Chicago, vol. 99, p. 483-99, 1991b.</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lang w:val="en-US"/>
        </w:rPr>
      </w:pPr>
      <w:r w:rsidRPr="00346678">
        <w:rPr>
          <w:rFonts w:ascii="Times New Roman" w:hAnsi="Times New Roman"/>
          <w:color w:val="000000"/>
          <w:sz w:val="24"/>
          <w:szCs w:val="24"/>
          <w:lang w:val="en-US"/>
        </w:rPr>
        <w:t xml:space="preserve">______. First nature, second nature, and metropolitan location. </w:t>
      </w:r>
      <w:r w:rsidRPr="00346678">
        <w:rPr>
          <w:rFonts w:ascii="Times New Roman" w:hAnsi="Times New Roman"/>
          <w:b/>
          <w:color w:val="000000"/>
          <w:sz w:val="24"/>
          <w:szCs w:val="24"/>
          <w:lang w:val="en-US"/>
        </w:rPr>
        <w:t xml:space="preserve">Journal of Regional Science, </w:t>
      </w:r>
      <w:r w:rsidRPr="00346678">
        <w:rPr>
          <w:rFonts w:ascii="Times New Roman" w:hAnsi="Times New Roman"/>
          <w:color w:val="000000"/>
          <w:sz w:val="24"/>
          <w:szCs w:val="24"/>
          <w:lang w:val="en-US"/>
        </w:rPr>
        <w:t>Oxford, UK</w:t>
      </w:r>
      <w:r w:rsidRPr="00346678">
        <w:rPr>
          <w:rFonts w:ascii="Times New Roman" w:hAnsi="Times New Roman"/>
          <w:b/>
          <w:color w:val="000000"/>
          <w:sz w:val="24"/>
          <w:szCs w:val="24"/>
          <w:lang w:val="en-US"/>
        </w:rPr>
        <w:t xml:space="preserve">, </w:t>
      </w:r>
      <w:r w:rsidRPr="00346678">
        <w:rPr>
          <w:rFonts w:ascii="Times New Roman" w:hAnsi="Times New Roman"/>
          <w:color w:val="000000"/>
          <w:sz w:val="24"/>
          <w:szCs w:val="24"/>
          <w:lang w:val="en-US"/>
        </w:rPr>
        <w:t>v. 33, n. 2, p. 129–144, 1993.</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24"/>
          <w:szCs w:val="24"/>
          <w:lang w:val="en-US"/>
        </w:rPr>
      </w:pPr>
      <w:r w:rsidRPr="00346678">
        <w:rPr>
          <w:rFonts w:ascii="Times New Roman" w:hAnsi="Times New Roman"/>
          <w:color w:val="000000"/>
          <w:sz w:val="24"/>
          <w:szCs w:val="24"/>
          <w:lang w:val="en-US"/>
        </w:rPr>
        <w:t xml:space="preserve">______. What´s new about the new economic geography? </w:t>
      </w:r>
      <w:r w:rsidRPr="00346678">
        <w:rPr>
          <w:rFonts w:ascii="Times New Roman" w:hAnsi="Times New Roman"/>
          <w:b/>
          <w:bCs/>
          <w:color w:val="000000"/>
          <w:sz w:val="24"/>
          <w:szCs w:val="24"/>
          <w:lang w:val="en-US"/>
        </w:rPr>
        <w:t xml:space="preserve">Oxford Review of Economic Policy, </w:t>
      </w:r>
      <w:r w:rsidRPr="00346678">
        <w:rPr>
          <w:rFonts w:ascii="Times New Roman" w:hAnsi="Times New Roman"/>
          <w:bCs/>
          <w:color w:val="000000"/>
          <w:sz w:val="24"/>
          <w:szCs w:val="24"/>
          <w:lang w:val="en-US"/>
        </w:rPr>
        <w:t>Oxford, UK,</w:t>
      </w:r>
      <w:r w:rsidRPr="00346678">
        <w:rPr>
          <w:rFonts w:ascii="Times New Roman" w:hAnsi="Times New Roman"/>
          <w:b/>
          <w:bCs/>
          <w:color w:val="000000"/>
          <w:sz w:val="24"/>
          <w:szCs w:val="24"/>
          <w:lang w:val="en-US"/>
        </w:rPr>
        <w:t xml:space="preserve"> </w:t>
      </w:r>
      <w:r w:rsidRPr="00346678">
        <w:rPr>
          <w:rFonts w:ascii="Times New Roman" w:hAnsi="Times New Roman"/>
          <w:bCs/>
          <w:color w:val="000000"/>
          <w:sz w:val="24"/>
          <w:szCs w:val="24"/>
          <w:lang w:val="en-US"/>
        </w:rPr>
        <w:t>v</w:t>
      </w:r>
      <w:r w:rsidRPr="00346678">
        <w:rPr>
          <w:rFonts w:ascii="Times New Roman" w:hAnsi="Times New Roman"/>
          <w:color w:val="000000"/>
          <w:sz w:val="24"/>
          <w:szCs w:val="24"/>
          <w:lang w:val="en-US"/>
        </w:rPr>
        <w:t xml:space="preserve"> 14, n.2, p. 7-17, 1998. </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color w:val="000000"/>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7B02CF" w:rsidRPr="00F32A5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C17D96" w:rsidRPr="00346678" w:rsidRDefault="00C17D96"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rPr>
        <w:t xml:space="preserve">MORENO, R.; VAYÁ, E. Técnicas econométricas para el tratamiento de datos espaciales: la econometría espacial. </w:t>
      </w:r>
      <w:r w:rsidRPr="00346678">
        <w:rPr>
          <w:rFonts w:ascii="Times New Roman" w:eastAsia="Dutch811BT" w:hAnsi="Times New Roman"/>
          <w:b/>
          <w:sz w:val="24"/>
          <w:szCs w:val="24"/>
          <w:lang w:val="en-CA"/>
        </w:rPr>
        <w:t>Investigaciones regionales</w:t>
      </w:r>
      <w:r w:rsidRPr="00346678">
        <w:rPr>
          <w:rFonts w:ascii="Times New Roman" w:eastAsia="Dutch811BT" w:hAnsi="Times New Roman"/>
          <w:sz w:val="24"/>
          <w:szCs w:val="24"/>
          <w:lang w:val="en-CA"/>
        </w:rPr>
        <w:t>. Universidad de Barcelona, Barcelona, p. 83-106, 2000.</w:t>
      </w:r>
    </w:p>
    <w:p w:rsidR="00C17D96" w:rsidRPr="00346678" w:rsidRDefault="00C17D96"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lang w:val="en-US"/>
        </w:rPr>
        <w:t xml:space="preserve">NEARY, J P. Of hype and hyperbolas: introducing the new economic geography. </w:t>
      </w:r>
      <w:r w:rsidRPr="00346678">
        <w:rPr>
          <w:rFonts w:ascii="Times New Roman" w:hAnsi="Times New Roman"/>
          <w:b/>
          <w:sz w:val="24"/>
          <w:szCs w:val="24"/>
        </w:rPr>
        <w:t>Journal of Economic Literature</w:t>
      </w:r>
      <w:r w:rsidRPr="00346678">
        <w:rPr>
          <w:rFonts w:ascii="Times New Roman" w:hAnsi="Times New Roman"/>
          <w:sz w:val="24"/>
          <w:szCs w:val="24"/>
        </w:rPr>
        <w:t>, Pittsburgh, v. 39, p. 536-561, 2001.</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OLIVEIRA, C.A. Crescimento econômico das cidades nordestinas: um enfoque da nova geografia ec</w:t>
      </w:r>
      <w:r w:rsidRPr="00346678">
        <w:rPr>
          <w:rFonts w:ascii="Times New Roman" w:hAnsi="Times New Roman"/>
          <w:sz w:val="24"/>
          <w:szCs w:val="24"/>
        </w:rPr>
        <w:t>o</w:t>
      </w:r>
      <w:r w:rsidRPr="00346678">
        <w:rPr>
          <w:rFonts w:ascii="Times New Roman" w:hAnsi="Times New Roman"/>
          <w:sz w:val="24"/>
          <w:szCs w:val="24"/>
        </w:rPr>
        <w:t xml:space="preserve">nômica. </w:t>
      </w:r>
      <w:r w:rsidRPr="00346678">
        <w:rPr>
          <w:rFonts w:ascii="Times New Roman" w:hAnsi="Times New Roman"/>
          <w:b/>
          <w:sz w:val="24"/>
          <w:szCs w:val="24"/>
        </w:rPr>
        <w:t xml:space="preserve">Revista Econômica do Nordeste, </w:t>
      </w:r>
      <w:r w:rsidRPr="00346678">
        <w:rPr>
          <w:rFonts w:ascii="Times New Roman" w:hAnsi="Times New Roman"/>
          <w:sz w:val="24"/>
          <w:szCs w:val="24"/>
        </w:rPr>
        <w:t>Fortaleza, v. 35, n. 3, p. 339-355, 2004.</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______. Externalidades espaciais e o crescimento econômico das cidades do Estado do Ceará. </w:t>
      </w:r>
      <w:r w:rsidRPr="00346678">
        <w:rPr>
          <w:rFonts w:ascii="Times New Roman" w:hAnsi="Times New Roman"/>
          <w:b/>
          <w:sz w:val="24"/>
          <w:szCs w:val="24"/>
        </w:rPr>
        <w:t xml:space="preserve">Revista Econômica do Nordeste, </w:t>
      </w:r>
      <w:r w:rsidRPr="00346678">
        <w:rPr>
          <w:rFonts w:ascii="Times New Roman" w:hAnsi="Times New Roman"/>
          <w:sz w:val="24"/>
          <w:szCs w:val="24"/>
        </w:rPr>
        <w:t>Fortaleza, v. 36, n. 3, p. 319-337, 2005.</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US"/>
        </w:rPr>
      </w:pPr>
      <w:r w:rsidRPr="00F32A58">
        <w:rPr>
          <w:rFonts w:ascii="Times New Roman" w:eastAsia="Dutch811BT" w:hAnsi="Times New Roman"/>
          <w:sz w:val="24"/>
          <w:szCs w:val="24"/>
        </w:rPr>
        <w:t xml:space="preserve">OTTAVIANO, G. </w:t>
      </w:r>
      <w:proofErr w:type="spellStart"/>
      <w:r w:rsidRPr="00F32A58">
        <w:rPr>
          <w:rFonts w:ascii="Times New Roman" w:eastAsia="Dutch811BT" w:hAnsi="Times New Roman"/>
          <w:sz w:val="24"/>
          <w:szCs w:val="24"/>
        </w:rPr>
        <w:t>National</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Borders</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and</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international</w:t>
      </w:r>
      <w:proofErr w:type="spellEnd"/>
      <w:r w:rsidRPr="00F32A58">
        <w:rPr>
          <w:rFonts w:ascii="Times New Roman" w:eastAsia="Dutch811BT" w:hAnsi="Times New Roman"/>
          <w:sz w:val="24"/>
          <w:szCs w:val="24"/>
        </w:rPr>
        <w:t xml:space="preserve"> trade: </w:t>
      </w:r>
      <w:proofErr w:type="spellStart"/>
      <w:r w:rsidRPr="00F32A58">
        <w:rPr>
          <w:rFonts w:ascii="Times New Roman" w:eastAsia="Dutch811BT" w:hAnsi="Times New Roman"/>
          <w:sz w:val="24"/>
          <w:szCs w:val="24"/>
        </w:rPr>
        <w:t>evidence</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from</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the</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European</w:t>
      </w:r>
      <w:proofErr w:type="spellEnd"/>
      <w:r w:rsidRPr="00F32A58">
        <w:rPr>
          <w:rFonts w:ascii="Times New Roman" w:eastAsia="Dutch811BT" w:hAnsi="Times New Roman"/>
          <w:sz w:val="24"/>
          <w:szCs w:val="24"/>
        </w:rPr>
        <w:t xml:space="preserve"> </w:t>
      </w:r>
      <w:proofErr w:type="spellStart"/>
      <w:r w:rsidRPr="00F32A58">
        <w:rPr>
          <w:rFonts w:ascii="Times New Roman" w:eastAsia="Dutch811BT" w:hAnsi="Times New Roman"/>
          <w:sz w:val="24"/>
          <w:szCs w:val="24"/>
        </w:rPr>
        <w:t>Union</w:t>
      </w:r>
      <w:proofErr w:type="spellEnd"/>
      <w:r w:rsidRPr="00F32A58">
        <w:rPr>
          <w:rFonts w:ascii="Times New Roman" w:eastAsia="Dutch811BT" w:hAnsi="Times New Roman"/>
          <w:sz w:val="24"/>
          <w:szCs w:val="24"/>
        </w:rPr>
        <w:t xml:space="preserve">. </w:t>
      </w:r>
      <w:r w:rsidRPr="00346678">
        <w:rPr>
          <w:rFonts w:ascii="Times New Roman" w:eastAsia="Dutch811BT" w:hAnsi="Times New Roman"/>
          <w:b/>
          <w:sz w:val="24"/>
          <w:szCs w:val="24"/>
          <w:lang w:val="en-US"/>
        </w:rPr>
        <w:t>Can</w:t>
      </w:r>
      <w:r w:rsidRPr="00346678">
        <w:rPr>
          <w:rFonts w:ascii="Times New Roman" w:eastAsia="Dutch811BT" w:hAnsi="Times New Roman"/>
          <w:b/>
          <w:sz w:val="24"/>
          <w:szCs w:val="24"/>
          <w:lang w:val="en-US"/>
        </w:rPr>
        <w:t>a</w:t>
      </w:r>
      <w:r w:rsidRPr="00346678">
        <w:rPr>
          <w:rFonts w:ascii="Times New Roman" w:eastAsia="Dutch811BT" w:hAnsi="Times New Roman"/>
          <w:b/>
          <w:sz w:val="24"/>
          <w:szCs w:val="24"/>
          <w:lang w:val="en-US"/>
        </w:rPr>
        <w:t>dian Journal of Economics</w:t>
      </w:r>
      <w:r w:rsidRPr="00346678">
        <w:rPr>
          <w:rFonts w:ascii="Times New Roman" w:eastAsia="Dutch811BT" w:hAnsi="Times New Roman"/>
          <w:sz w:val="24"/>
          <w:szCs w:val="24"/>
          <w:lang w:val="en-US"/>
        </w:rPr>
        <w:t>, Montreal, v. 22, n.5.p. 1091-105, 2002.</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lang w:val="en-CA"/>
        </w:rPr>
        <w:t>OTTAVIANO, G</w:t>
      </w:r>
      <w:r w:rsidRPr="00346678">
        <w:rPr>
          <w:rFonts w:ascii="Times New Roman" w:eastAsia="Dutch811BT" w:hAnsi="Times New Roman"/>
          <w:sz w:val="24"/>
          <w:szCs w:val="24"/>
          <w:lang w:val="en-US"/>
        </w:rPr>
        <w:t xml:space="preserve">; PINELLI, D. Market potential and productivity: evidence from Finnish regions. </w:t>
      </w:r>
      <w:r w:rsidRPr="00346678">
        <w:rPr>
          <w:rFonts w:ascii="Times New Roman" w:eastAsia="Dutch811BT" w:hAnsi="Times New Roman"/>
          <w:b/>
          <w:sz w:val="24"/>
          <w:szCs w:val="24"/>
          <w:lang w:val="en-CA"/>
        </w:rPr>
        <w:t>R</w:t>
      </w:r>
      <w:r w:rsidRPr="00346678">
        <w:rPr>
          <w:rFonts w:ascii="Times New Roman" w:eastAsia="Dutch811BT" w:hAnsi="Times New Roman"/>
          <w:b/>
          <w:sz w:val="24"/>
          <w:szCs w:val="24"/>
          <w:lang w:val="en-CA"/>
        </w:rPr>
        <w:t>e</w:t>
      </w:r>
      <w:r w:rsidRPr="00346678">
        <w:rPr>
          <w:rFonts w:ascii="Times New Roman" w:eastAsia="Dutch811BT" w:hAnsi="Times New Roman"/>
          <w:b/>
          <w:sz w:val="24"/>
          <w:szCs w:val="24"/>
          <w:lang w:val="en-CA"/>
        </w:rPr>
        <w:t>gional Science and Urban Economics</w:t>
      </w:r>
      <w:r w:rsidRPr="00346678">
        <w:rPr>
          <w:rFonts w:ascii="Times New Roman" w:eastAsia="Dutch811BT" w:hAnsi="Times New Roman"/>
          <w:sz w:val="24"/>
          <w:szCs w:val="24"/>
          <w:lang w:val="en-CA"/>
        </w:rPr>
        <w:t>, Maryland, v. 36, n. 5, p. 636-657, Sep. 2006.</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lang w:val="en-US"/>
        </w:rPr>
        <w:t xml:space="preserve">PAEZ, A. Network accessibility and the spatial distribution. </w:t>
      </w:r>
      <w:r w:rsidRPr="00346678">
        <w:rPr>
          <w:rFonts w:ascii="Times New Roman" w:eastAsia="Dutch811BT" w:hAnsi="Times New Roman"/>
          <w:b/>
          <w:sz w:val="24"/>
          <w:szCs w:val="24"/>
          <w:lang w:val="en-CA"/>
        </w:rPr>
        <w:t xml:space="preserve">Urban Studies, </w:t>
      </w:r>
      <w:r w:rsidRPr="00346678">
        <w:rPr>
          <w:rFonts w:ascii="Times New Roman" w:eastAsia="Dutch811BT" w:hAnsi="Times New Roman"/>
          <w:sz w:val="24"/>
          <w:szCs w:val="24"/>
          <w:lang w:val="en-CA"/>
        </w:rPr>
        <w:t>London,</w:t>
      </w:r>
      <w:r w:rsidRPr="00346678">
        <w:rPr>
          <w:rFonts w:ascii="Times New Roman" w:eastAsia="Dutch811BT" w:hAnsi="Times New Roman"/>
          <w:b/>
          <w:sz w:val="24"/>
          <w:szCs w:val="24"/>
          <w:lang w:val="en-CA"/>
        </w:rPr>
        <w:t xml:space="preserve"> </w:t>
      </w:r>
      <w:r w:rsidRPr="00346678">
        <w:rPr>
          <w:rFonts w:ascii="Times New Roman" w:eastAsia="Dutch811BT" w:hAnsi="Times New Roman"/>
          <w:sz w:val="24"/>
          <w:szCs w:val="24"/>
          <w:lang w:val="en-CA"/>
        </w:rPr>
        <w:t>v. 41, n.1, p. 2211-2230, Oct. 2004.</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lang w:val="en-CA"/>
        </w:rPr>
        <w:t xml:space="preserve">PARTRIDGE, M.; OLFERT, M.R.; ALASIA, A. </w:t>
      </w:r>
      <w:r w:rsidRPr="00346678">
        <w:rPr>
          <w:rFonts w:ascii="Times New Roman" w:eastAsia="Dutch811BT" w:hAnsi="Times New Roman"/>
          <w:sz w:val="24"/>
          <w:szCs w:val="24"/>
          <w:lang w:val="en-US"/>
        </w:rPr>
        <w:t>Canadian cities as regional engines of growth: aggl</w:t>
      </w:r>
      <w:r w:rsidRPr="00346678">
        <w:rPr>
          <w:rFonts w:ascii="Times New Roman" w:eastAsia="Dutch811BT" w:hAnsi="Times New Roman"/>
          <w:sz w:val="24"/>
          <w:szCs w:val="24"/>
          <w:lang w:val="en-US"/>
        </w:rPr>
        <w:t>o</w:t>
      </w:r>
      <w:r w:rsidRPr="00346678">
        <w:rPr>
          <w:rFonts w:ascii="Times New Roman" w:eastAsia="Dutch811BT" w:hAnsi="Times New Roman"/>
          <w:sz w:val="24"/>
          <w:szCs w:val="24"/>
          <w:lang w:val="en-US"/>
        </w:rPr>
        <w:t>meration and amenities.</w:t>
      </w:r>
      <w:r w:rsidRPr="00346678">
        <w:rPr>
          <w:rFonts w:ascii="Times New Roman" w:hAnsi="Times New Roman"/>
          <w:sz w:val="24"/>
          <w:szCs w:val="24"/>
          <w:lang w:val="en-US"/>
        </w:rPr>
        <w:t xml:space="preserve"> </w:t>
      </w:r>
      <w:r w:rsidRPr="00346678">
        <w:rPr>
          <w:rFonts w:ascii="Times New Roman" w:eastAsia="Dutch811BT" w:hAnsi="Times New Roman"/>
          <w:b/>
          <w:sz w:val="24"/>
          <w:szCs w:val="24"/>
          <w:lang w:val="en-CA"/>
        </w:rPr>
        <w:t>Canadian Journal of Economics</w:t>
      </w:r>
      <w:r w:rsidRPr="00346678">
        <w:rPr>
          <w:rFonts w:ascii="Times New Roman" w:eastAsia="Dutch811BT" w:hAnsi="Times New Roman"/>
          <w:sz w:val="24"/>
          <w:szCs w:val="24"/>
          <w:lang w:val="en-CA"/>
        </w:rPr>
        <w:t>, Montreal, v. 40, n. 1, Feb. 2007.</w:t>
      </w: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8"/>
          <w:szCs w:val="24"/>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eastAsia="Dutch811BT" w:hAnsi="Times New Roman"/>
          <w:sz w:val="24"/>
          <w:szCs w:val="24"/>
          <w:lang w:val="en-CA"/>
        </w:rPr>
      </w:pPr>
      <w:r w:rsidRPr="00346678">
        <w:rPr>
          <w:rFonts w:ascii="Times New Roman" w:eastAsia="Dutch811BT" w:hAnsi="Times New Roman"/>
          <w:sz w:val="24"/>
          <w:szCs w:val="24"/>
          <w:lang w:val="en-CA"/>
        </w:rPr>
        <w:t xml:space="preserve">PFAFF, A.S.P. </w:t>
      </w:r>
      <w:r w:rsidRPr="00346678">
        <w:rPr>
          <w:rFonts w:ascii="Times New Roman" w:eastAsia="Dutch811BT" w:hAnsi="Times New Roman"/>
          <w:b/>
          <w:sz w:val="24"/>
          <w:szCs w:val="24"/>
          <w:lang w:val="en-CA"/>
        </w:rPr>
        <w:t>What drives deforestation in the Brazilian Amazon? Evidence from satellite and s</w:t>
      </w:r>
      <w:r w:rsidRPr="00346678">
        <w:rPr>
          <w:rFonts w:ascii="Times New Roman" w:eastAsia="Dutch811BT" w:hAnsi="Times New Roman"/>
          <w:b/>
          <w:sz w:val="24"/>
          <w:szCs w:val="24"/>
          <w:lang w:val="en-CA"/>
        </w:rPr>
        <w:t>o</w:t>
      </w:r>
      <w:r w:rsidRPr="00346678">
        <w:rPr>
          <w:rFonts w:ascii="Times New Roman" w:eastAsia="Dutch811BT" w:hAnsi="Times New Roman"/>
          <w:b/>
          <w:sz w:val="24"/>
          <w:szCs w:val="24"/>
          <w:lang w:val="en-CA"/>
        </w:rPr>
        <w:t>cioeconomic data</w:t>
      </w:r>
      <w:r w:rsidRPr="00346678">
        <w:rPr>
          <w:rFonts w:ascii="Times New Roman" w:eastAsia="Dutch811BT" w:hAnsi="Times New Roman"/>
          <w:sz w:val="24"/>
          <w:szCs w:val="24"/>
          <w:lang w:val="en-CA"/>
        </w:rPr>
        <w:t xml:space="preserve">. </w:t>
      </w:r>
      <w:r w:rsidRPr="00346678">
        <w:rPr>
          <w:rFonts w:ascii="Times New Roman" w:hAnsi="Times New Roman"/>
          <w:sz w:val="24"/>
          <w:szCs w:val="24"/>
          <w:lang w:val="en-US" w:eastAsia="pt-BR"/>
        </w:rPr>
        <w:t xml:space="preserve"> Washington: The World Bank, 1994</w:t>
      </w:r>
      <w:r w:rsidRPr="00346678">
        <w:rPr>
          <w:rFonts w:ascii="Times New Roman" w:eastAsia="Dutch811BT" w:hAnsi="Times New Roman"/>
          <w:sz w:val="24"/>
          <w:szCs w:val="24"/>
          <w:lang w:val="en-CA"/>
        </w:rPr>
        <w:t>.</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Cs/>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Cs/>
          <w:sz w:val="24"/>
          <w:szCs w:val="24"/>
          <w:lang w:val="en-CA"/>
        </w:rPr>
      </w:pPr>
      <w:r w:rsidRPr="00346678">
        <w:rPr>
          <w:rFonts w:ascii="Times New Roman" w:hAnsi="Times New Roman"/>
          <w:bCs/>
          <w:sz w:val="24"/>
          <w:szCs w:val="24"/>
          <w:lang w:val="en-US"/>
        </w:rPr>
        <w:t xml:space="preserve">PUGA, D.; VENABLES, A.J. </w:t>
      </w:r>
      <w:r w:rsidRPr="00346678">
        <w:rPr>
          <w:rFonts w:ascii="Times New Roman" w:hAnsi="Times New Roman"/>
          <w:b/>
          <w:bCs/>
          <w:sz w:val="24"/>
          <w:szCs w:val="24"/>
          <w:lang w:val="en-US"/>
        </w:rPr>
        <w:t>The spread of industry</w:t>
      </w:r>
      <w:r w:rsidRPr="00346678">
        <w:rPr>
          <w:rFonts w:ascii="Times New Roman" w:hAnsi="Times New Roman"/>
          <w:bCs/>
          <w:sz w:val="24"/>
          <w:szCs w:val="24"/>
          <w:lang w:val="en-US"/>
        </w:rPr>
        <w:t xml:space="preserve">: spatial agglomeration in economic development. </w:t>
      </w:r>
      <w:r w:rsidRPr="00346678">
        <w:rPr>
          <w:rFonts w:ascii="Times New Roman" w:hAnsi="Times New Roman"/>
          <w:bCs/>
          <w:sz w:val="24"/>
          <w:szCs w:val="24"/>
          <w:lang w:val="en-CA"/>
        </w:rPr>
        <w:t xml:space="preserve">Centre for Economic Performance. Discussion Paper No. 279, Feb.1996. </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Cs/>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
          <w:bCs/>
          <w:sz w:val="24"/>
          <w:szCs w:val="24"/>
          <w:lang w:val="en-US"/>
        </w:rPr>
      </w:pPr>
      <w:r w:rsidRPr="00346678">
        <w:rPr>
          <w:rFonts w:ascii="Times New Roman" w:hAnsi="Times New Roman"/>
          <w:bCs/>
          <w:sz w:val="24"/>
          <w:szCs w:val="24"/>
          <w:lang w:val="en-US"/>
        </w:rPr>
        <w:lastRenderedPageBreak/>
        <w:t>REDDING, S.; VENABLES, T. Economic geography and international inequality,</w:t>
      </w:r>
      <w:r w:rsidRPr="00346678">
        <w:rPr>
          <w:rFonts w:ascii="Times New Roman" w:hAnsi="Times New Roman"/>
          <w:b/>
          <w:bCs/>
          <w:sz w:val="24"/>
          <w:szCs w:val="24"/>
          <w:lang w:val="en-US"/>
        </w:rPr>
        <w:t xml:space="preserve"> Journal of Intern</w:t>
      </w:r>
      <w:r w:rsidRPr="00346678">
        <w:rPr>
          <w:rFonts w:ascii="Times New Roman" w:hAnsi="Times New Roman"/>
          <w:b/>
          <w:bCs/>
          <w:sz w:val="24"/>
          <w:szCs w:val="24"/>
          <w:lang w:val="en-US"/>
        </w:rPr>
        <w:t>a</w:t>
      </w:r>
      <w:r w:rsidRPr="00346678">
        <w:rPr>
          <w:rFonts w:ascii="Times New Roman" w:hAnsi="Times New Roman"/>
          <w:b/>
          <w:bCs/>
          <w:sz w:val="24"/>
          <w:szCs w:val="24"/>
          <w:lang w:val="en-US"/>
        </w:rPr>
        <w:t>tional Economics</w:t>
      </w:r>
      <w:r w:rsidRPr="00346678">
        <w:rPr>
          <w:rFonts w:ascii="Times New Roman" w:hAnsi="Times New Roman"/>
          <w:bCs/>
          <w:sz w:val="24"/>
          <w:szCs w:val="24"/>
          <w:lang w:val="en-US"/>
        </w:rPr>
        <w:t>, New York, v. 62, p. 53-82, Jan. 2004.</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
          <w:bCs/>
          <w:sz w:val="8"/>
          <w:szCs w:val="8"/>
          <w:lang w:val="en-US"/>
        </w:rPr>
      </w:pPr>
    </w:p>
    <w:p w:rsidR="007B02CF" w:rsidRPr="00346678" w:rsidRDefault="007B02CF" w:rsidP="008B470D">
      <w:pPr>
        <w:pStyle w:val="Default"/>
        <w:ind w:left="567" w:hanging="567"/>
        <w:rPr>
          <w:lang w:val="pt-BR"/>
        </w:rPr>
      </w:pPr>
      <w:r w:rsidRPr="00346678">
        <w:rPr>
          <w:lang w:val="pt-BR"/>
        </w:rPr>
        <w:t xml:space="preserve">REIS, E.J; GUZMÁ R.M. </w:t>
      </w:r>
      <w:r w:rsidRPr="00346678">
        <w:rPr>
          <w:b/>
          <w:iCs/>
          <w:lang w:val="pt-BR"/>
        </w:rPr>
        <w:t>Um modelo econométrico de desflorestamento da Amazônia</w:t>
      </w:r>
      <w:r w:rsidRPr="00346678">
        <w:rPr>
          <w:lang w:val="pt-BR"/>
        </w:rPr>
        <w:t>. Pesquisa e Planejamento Econômico, Rio de Janeiro, v. 23, n. 1, 1993.</w:t>
      </w:r>
    </w:p>
    <w:p w:rsidR="007B02CF" w:rsidRPr="00346678" w:rsidRDefault="007B02CF" w:rsidP="008B470D">
      <w:pPr>
        <w:pStyle w:val="Default"/>
        <w:ind w:left="567" w:hanging="567"/>
        <w:rPr>
          <w:sz w:val="8"/>
          <w:szCs w:val="8"/>
          <w:lang w:val="pt-BR"/>
        </w:rPr>
      </w:pPr>
    </w:p>
    <w:p w:rsidR="007B02CF" w:rsidRPr="00346678" w:rsidRDefault="007B02CF" w:rsidP="008B470D">
      <w:pPr>
        <w:pStyle w:val="Default"/>
        <w:ind w:left="567" w:hanging="567"/>
        <w:rPr>
          <w:lang w:val="pt-BR"/>
        </w:rPr>
      </w:pPr>
      <w:r w:rsidRPr="00346678">
        <w:rPr>
          <w:lang w:val="pt-BR"/>
        </w:rPr>
        <w:t xml:space="preserve">REIS, E.J.; PIMENTEL, M.; ALVARENGA, A.I. </w:t>
      </w:r>
      <w:r w:rsidRPr="00346678">
        <w:rPr>
          <w:b/>
          <w:iCs/>
          <w:lang w:val="pt-BR"/>
        </w:rPr>
        <w:t>Áreas mínimas comparáveis para os períodos inte</w:t>
      </w:r>
      <w:r w:rsidRPr="00346678">
        <w:rPr>
          <w:b/>
          <w:iCs/>
          <w:lang w:val="pt-BR"/>
        </w:rPr>
        <w:t>r</w:t>
      </w:r>
      <w:r w:rsidRPr="00346678">
        <w:rPr>
          <w:b/>
          <w:iCs/>
          <w:lang w:val="pt-BR"/>
        </w:rPr>
        <w:t>censitários de 1872 a 2000</w:t>
      </w:r>
      <w:r w:rsidRPr="00346678">
        <w:rPr>
          <w:lang w:val="pt-BR"/>
        </w:rPr>
        <w:t>. Mimeo, IPEA/DIMAC, Rio de Janeiro 2008.</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Cs/>
          <w:sz w:val="8"/>
          <w:szCs w:val="8"/>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
          <w:bCs/>
          <w:sz w:val="24"/>
          <w:szCs w:val="24"/>
          <w:lang w:val="en-CA"/>
        </w:rPr>
      </w:pPr>
      <w:r w:rsidRPr="00346678">
        <w:rPr>
          <w:rFonts w:ascii="Times New Roman" w:hAnsi="Times New Roman"/>
          <w:bCs/>
          <w:sz w:val="24"/>
          <w:szCs w:val="24"/>
        </w:rPr>
        <w:t>ROCHA, Gilberto de Miranda. Aspectos do crescimento e da distribuição da população da Amazônia brasileira. In ARAGÓN, L. E (Org.)</w:t>
      </w:r>
      <w:r w:rsidRPr="00346678">
        <w:rPr>
          <w:rFonts w:ascii="Times New Roman" w:hAnsi="Times New Roman"/>
          <w:b/>
          <w:bCs/>
          <w:sz w:val="24"/>
          <w:szCs w:val="24"/>
        </w:rPr>
        <w:t xml:space="preserve">. Populações da Pan-amazonia. </w:t>
      </w:r>
      <w:r w:rsidRPr="00346678">
        <w:rPr>
          <w:rFonts w:ascii="Times New Roman" w:hAnsi="Times New Roman"/>
          <w:bCs/>
          <w:sz w:val="24"/>
          <w:szCs w:val="24"/>
        </w:rPr>
        <w:t>Belém:NAEA,2005</w:t>
      </w:r>
      <w:r w:rsidRPr="00346678">
        <w:rPr>
          <w:rFonts w:ascii="Times New Roman" w:hAnsi="Times New Roman"/>
          <w:b/>
          <w:bCs/>
          <w:sz w:val="24"/>
          <w:szCs w:val="24"/>
        </w:rPr>
        <w:t xml:space="preserve">. </w:t>
      </w:r>
      <w:r w:rsidRPr="00346678">
        <w:rPr>
          <w:rFonts w:ascii="Times New Roman" w:hAnsi="Times New Roman"/>
          <w:bCs/>
          <w:sz w:val="24"/>
          <w:szCs w:val="24"/>
          <w:lang w:val="en-CA"/>
        </w:rPr>
        <w:t>120 p</w:t>
      </w:r>
      <w:r w:rsidRPr="00346678">
        <w:rPr>
          <w:rFonts w:ascii="Times New Roman" w:hAnsi="Times New Roman"/>
          <w:b/>
          <w:bCs/>
          <w:sz w:val="24"/>
          <w:szCs w:val="24"/>
          <w:lang w:val="en-CA"/>
        </w:rPr>
        <w:t>.</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
          <w:bCs/>
          <w:sz w:val="8"/>
          <w:szCs w:val="8"/>
          <w:lang w:val="en-CA"/>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Cs/>
          <w:sz w:val="24"/>
          <w:szCs w:val="24"/>
          <w:lang w:val="en-US"/>
        </w:rPr>
      </w:pPr>
      <w:r w:rsidRPr="00346678">
        <w:rPr>
          <w:rFonts w:ascii="Times New Roman" w:hAnsi="Times New Roman"/>
          <w:bCs/>
          <w:sz w:val="24"/>
          <w:szCs w:val="24"/>
          <w:lang w:val="en-US"/>
        </w:rPr>
        <w:t>ROSENTHAL, S.S.; WILLIAM, C.S. The determinants of agglomeration.</w:t>
      </w:r>
      <w:r w:rsidRPr="00346678">
        <w:rPr>
          <w:rFonts w:ascii="Times New Roman" w:hAnsi="Times New Roman"/>
          <w:b/>
          <w:bCs/>
          <w:sz w:val="24"/>
          <w:szCs w:val="24"/>
          <w:lang w:val="en-US"/>
        </w:rPr>
        <w:t xml:space="preserve"> Journal of Urban Econo</w:t>
      </w:r>
      <w:r w:rsidRPr="00346678">
        <w:rPr>
          <w:rFonts w:ascii="Times New Roman" w:hAnsi="Times New Roman"/>
          <w:b/>
          <w:bCs/>
          <w:sz w:val="24"/>
          <w:szCs w:val="24"/>
          <w:lang w:val="en-US"/>
        </w:rPr>
        <w:t>m</w:t>
      </w:r>
      <w:r w:rsidRPr="00346678">
        <w:rPr>
          <w:rFonts w:ascii="Times New Roman" w:hAnsi="Times New Roman"/>
          <w:b/>
          <w:bCs/>
          <w:sz w:val="24"/>
          <w:szCs w:val="24"/>
          <w:lang w:val="en-US"/>
        </w:rPr>
        <w:t>ics</w:t>
      </w:r>
      <w:r w:rsidRPr="00346678">
        <w:rPr>
          <w:rFonts w:ascii="Times New Roman" w:hAnsi="Times New Roman"/>
          <w:bCs/>
          <w:sz w:val="24"/>
          <w:szCs w:val="24"/>
          <w:lang w:val="en-US"/>
        </w:rPr>
        <w:t>, Maryland, v. 50, p. 191-229, Sept. 2001.</w:t>
      </w:r>
    </w:p>
    <w:p w:rsidR="00220180" w:rsidRPr="00346678" w:rsidRDefault="00220180" w:rsidP="008B470D">
      <w:pPr>
        <w:autoSpaceDE w:val="0"/>
        <w:autoSpaceDN w:val="0"/>
        <w:adjustRightInd w:val="0"/>
        <w:spacing w:after="0" w:line="240" w:lineRule="auto"/>
        <w:ind w:left="567" w:hanging="567"/>
        <w:jc w:val="both"/>
        <w:rPr>
          <w:rFonts w:ascii="Times New Roman" w:hAnsi="Times New Roman"/>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lang w:val="en-US"/>
        </w:rPr>
      </w:pPr>
      <w:r w:rsidRPr="00346678">
        <w:rPr>
          <w:rFonts w:ascii="Times New Roman" w:hAnsi="Times New Roman"/>
          <w:sz w:val="24"/>
          <w:szCs w:val="24"/>
          <w:lang w:val="en-US"/>
        </w:rPr>
        <w:t xml:space="preserve">ROSSI-HANSBERG, E.; WRIGHT, M. L. J. Urban structure and growth. </w:t>
      </w:r>
      <w:r w:rsidRPr="00346678">
        <w:rPr>
          <w:rFonts w:ascii="Times New Roman" w:hAnsi="Times New Roman"/>
          <w:b/>
          <w:sz w:val="24"/>
          <w:szCs w:val="24"/>
          <w:lang w:val="en-US"/>
        </w:rPr>
        <w:t>Review of Economic Studies</w:t>
      </w:r>
      <w:r w:rsidRPr="00346678">
        <w:rPr>
          <w:rFonts w:ascii="Times New Roman" w:hAnsi="Times New Roman"/>
          <w:sz w:val="24"/>
          <w:szCs w:val="24"/>
          <w:lang w:val="en-US"/>
        </w:rPr>
        <w:t xml:space="preserve">, Stockholm, v. 74, p. 597–624, Feb. 2007. </w:t>
      </w:r>
    </w:p>
    <w:p w:rsidR="007B02CF" w:rsidRPr="00346678" w:rsidRDefault="007B02CF" w:rsidP="008B470D">
      <w:pPr>
        <w:autoSpaceDE w:val="0"/>
        <w:autoSpaceDN w:val="0"/>
        <w:adjustRightInd w:val="0"/>
        <w:spacing w:after="0" w:line="240" w:lineRule="auto"/>
        <w:ind w:left="567" w:hanging="567"/>
        <w:jc w:val="both"/>
        <w:rPr>
          <w:rFonts w:ascii="Times New Roman" w:hAnsi="Times New Roman"/>
          <w:b/>
          <w:bCs/>
          <w:sz w:val="8"/>
          <w:szCs w:val="8"/>
          <w:lang w:val="en-US"/>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proofErr w:type="spellStart"/>
      <w:proofErr w:type="gramStart"/>
      <w:r w:rsidRPr="00AA3313">
        <w:rPr>
          <w:rFonts w:ascii="Times New Roman" w:hAnsi="Times New Roman"/>
          <w:sz w:val="24"/>
          <w:szCs w:val="24"/>
        </w:rPr>
        <w:t>SANT´ANNA</w:t>
      </w:r>
      <w:proofErr w:type="spellEnd"/>
      <w:proofErr w:type="gramEnd"/>
      <w:r w:rsidRPr="00AA3313">
        <w:rPr>
          <w:rFonts w:ascii="Times New Roman" w:hAnsi="Times New Roman"/>
          <w:sz w:val="24"/>
          <w:szCs w:val="24"/>
        </w:rPr>
        <w:t xml:space="preserve">, </w:t>
      </w:r>
      <w:proofErr w:type="spellStart"/>
      <w:r w:rsidRPr="00AA3313">
        <w:rPr>
          <w:rFonts w:ascii="Times New Roman" w:hAnsi="Times New Roman"/>
          <w:sz w:val="24"/>
          <w:szCs w:val="24"/>
        </w:rPr>
        <w:t>J.A.</w:t>
      </w:r>
      <w:proofErr w:type="spellEnd"/>
      <w:r w:rsidRPr="00AA3313">
        <w:rPr>
          <w:rFonts w:ascii="Times New Roman" w:hAnsi="Times New Roman"/>
          <w:sz w:val="24"/>
          <w:szCs w:val="24"/>
        </w:rPr>
        <w:t xml:space="preserve"> </w:t>
      </w:r>
      <w:r w:rsidRPr="00AA3313">
        <w:rPr>
          <w:rFonts w:ascii="Times New Roman" w:hAnsi="Times New Roman"/>
          <w:b/>
          <w:sz w:val="24"/>
          <w:szCs w:val="24"/>
        </w:rPr>
        <w:t>Rede básica de transportes da Amazônia</w:t>
      </w:r>
      <w:r w:rsidRPr="00AA3313">
        <w:rPr>
          <w:rFonts w:ascii="Times New Roman" w:hAnsi="Times New Roman"/>
          <w:sz w:val="24"/>
          <w:szCs w:val="24"/>
        </w:rPr>
        <w:t xml:space="preserve">. Brasília: IPEA, 1998. </w:t>
      </w:r>
      <w:r w:rsidRPr="00346678">
        <w:rPr>
          <w:rFonts w:ascii="Times New Roman" w:hAnsi="Times New Roman"/>
          <w:sz w:val="24"/>
          <w:szCs w:val="24"/>
        </w:rPr>
        <w:t>16 p. (Texto para Discussão, 562).</w:t>
      </w:r>
    </w:p>
    <w:p w:rsidR="005E29EB" w:rsidRPr="00346678" w:rsidRDefault="005E29EB" w:rsidP="008B470D">
      <w:pPr>
        <w:autoSpaceDE w:val="0"/>
        <w:autoSpaceDN w:val="0"/>
        <w:adjustRightInd w:val="0"/>
        <w:spacing w:after="0" w:line="240" w:lineRule="auto"/>
        <w:ind w:left="567" w:hanging="567"/>
        <w:jc w:val="both"/>
        <w:rPr>
          <w:rFonts w:ascii="Times New Roman" w:hAnsi="Times New Roman"/>
          <w:sz w:val="8"/>
          <w:szCs w:val="24"/>
        </w:rPr>
      </w:pPr>
    </w:p>
    <w:p w:rsidR="007B02CF" w:rsidRPr="00346678" w:rsidRDefault="007B02CF" w:rsidP="008B470D">
      <w:pPr>
        <w:pStyle w:val="NormalWeb"/>
        <w:spacing w:before="0" w:beforeAutospacing="0" w:after="0" w:afterAutospacing="0"/>
        <w:ind w:left="567" w:hanging="567"/>
        <w:jc w:val="both"/>
        <w:rPr>
          <w:lang w:val="pt-BR"/>
        </w:rPr>
      </w:pPr>
      <w:r w:rsidRPr="00346678">
        <w:rPr>
          <w:lang w:val="pt-BR"/>
        </w:rPr>
        <w:t xml:space="preserve">SANTOS, R. A.O. </w:t>
      </w:r>
      <w:r w:rsidRPr="00346678">
        <w:rPr>
          <w:b/>
          <w:lang w:val="pt-BR"/>
        </w:rPr>
        <w:t>História econômica da Amazônia (1800-1920)</w:t>
      </w:r>
      <w:r w:rsidRPr="00346678">
        <w:rPr>
          <w:i/>
          <w:lang w:val="pt-BR"/>
        </w:rPr>
        <w:t xml:space="preserve">. </w:t>
      </w:r>
      <w:r w:rsidRPr="00346678">
        <w:rPr>
          <w:lang w:val="pt-BR"/>
        </w:rPr>
        <w:t xml:space="preserve"> São Paulo:  Ed.T.A. Queiroz, 1980. 358 p.</w:t>
      </w:r>
    </w:p>
    <w:p w:rsidR="005E29EB" w:rsidRPr="00346678" w:rsidRDefault="005E29EB" w:rsidP="008B470D">
      <w:pPr>
        <w:pStyle w:val="NormalWeb"/>
        <w:spacing w:before="0" w:beforeAutospacing="0" w:after="0" w:afterAutospacing="0"/>
        <w:ind w:left="567" w:hanging="567"/>
        <w:jc w:val="both"/>
        <w:rPr>
          <w:sz w:val="8"/>
          <w:lang w:val="pt-BR"/>
        </w:rPr>
      </w:pPr>
    </w:p>
    <w:p w:rsidR="007B02CF" w:rsidRPr="00346678" w:rsidRDefault="007B02CF" w:rsidP="008B470D">
      <w:pPr>
        <w:pStyle w:val="NormalWeb"/>
        <w:spacing w:before="0" w:beforeAutospacing="0" w:after="0" w:afterAutospacing="0"/>
        <w:ind w:left="567" w:hanging="567"/>
        <w:jc w:val="both"/>
        <w:rPr>
          <w:lang w:val="pt-BR"/>
        </w:rPr>
      </w:pPr>
      <w:r w:rsidRPr="00346678">
        <w:rPr>
          <w:lang w:val="pt-BR"/>
        </w:rPr>
        <w:t>SILVA, R</w:t>
      </w:r>
      <w:r w:rsidR="00FE29B0" w:rsidRPr="00346678">
        <w:rPr>
          <w:lang w:val="pt-BR"/>
        </w:rPr>
        <w:t>enilson</w:t>
      </w:r>
      <w:r w:rsidRPr="00346678">
        <w:rPr>
          <w:lang w:val="pt-BR"/>
        </w:rPr>
        <w:t xml:space="preserve"> R. </w:t>
      </w:r>
      <w:r w:rsidRPr="00346678">
        <w:rPr>
          <w:b/>
          <w:lang w:val="pt-BR"/>
        </w:rPr>
        <w:t>O pólo industrial de Manaus como modelo de desenvolvimento avaliado sob o enfoque da Lei de Kaldor-Verdoorn</w:t>
      </w:r>
      <w:r w:rsidRPr="00346678">
        <w:rPr>
          <w:i/>
          <w:lang w:val="pt-BR"/>
        </w:rPr>
        <w:t xml:space="preserve">. </w:t>
      </w:r>
      <w:r w:rsidRPr="00346678">
        <w:rPr>
          <w:lang w:val="pt-BR"/>
        </w:rPr>
        <w:t>2006</w:t>
      </w:r>
      <w:r w:rsidR="008C6AFC" w:rsidRPr="00346678">
        <w:rPr>
          <w:lang w:val="pt-BR"/>
        </w:rPr>
        <w:t>,</w:t>
      </w:r>
      <w:r w:rsidRPr="00346678">
        <w:rPr>
          <w:lang w:val="pt-BR"/>
        </w:rPr>
        <w:t xml:space="preserve"> 138 </w:t>
      </w:r>
      <w:r w:rsidR="008C6AFC" w:rsidRPr="00346678">
        <w:rPr>
          <w:lang w:val="pt-BR"/>
        </w:rPr>
        <w:t xml:space="preserve">p. </w:t>
      </w:r>
      <w:r w:rsidRPr="00346678">
        <w:rPr>
          <w:lang w:val="pt-BR"/>
        </w:rPr>
        <w:t>Dissertação (Mestrado em Planejamento do Desenvolvimento), Universidade Federal do Pará, Belém, 2006.</w:t>
      </w:r>
    </w:p>
    <w:p w:rsidR="005E29EB" w:rsidRPr="00346678" w:rsidRDefault="005E29EB" w:rsidP="008B470D">
      <w:pPr>
        <w:pStyle w:val="NormalWeb"/>
        <w:spacing w:before="0" w:beforeAutospacing="0" w:after="0" w:afterAutospacing="0"/>
        <w:ind w:left="567" w:hanging="567"/>
        <w:jc w:val="both"/>
        <w:rPr>
          <w:sz w:val="8"/>
          <w:lang w:val="pt-BR"/>
        </w:rPr>
      </w:pPr>
    </w:p>
    <w:p w:rsidR="007B02CF" w:rsidRPr="00346678"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_____. Pobreza no Estado do Amazonas: uma análise espacial. In: </w:t>
      </w:r>
      <w:r w:rsidRPr="00346678">
        <w:rPr>
          <w:rFonts w:ascii="Times New Roman" w:hAnsi="Times New Roman"/>
          <w:b/>
          <w:sz w:val="24"/>
          <w:szCs w:val="24"/>
        </w:rPr>
        <w:t>Anais do VII Enaber</w:t>
      </w:r>
      <w:r w:rsidRPr="00346678">
        <w:rPr>
          <w:rFonts w:ascii="Times New Roman" w:hAnsi="Times New Roman"/>
          <w:sz w:val="24"/>
          <w:szCs w:val="24"/>
        </w:rPr>
        <w:t xml:space="preserve">, São Paulo, 2009. Disponível em: &lt; </w:t>
      </w:r>
      <w:hyperlink r:id="rId10" w:history="1">
        <w:r w:rsidRPr="00346678">
          <w:rPr>
            <w:rFonts w:ascii="Times New Roman" w:hAnsi="Times New Roman"/>
            <w:sz w:val="24"/>
            <w:szCs w:val="24"/>
          </w:rPr>
          <w:t>http://www.enaber.org.br//</w:t>
        </w:r>
      </w:hyperlink>
      <w:r w:rsidRPr="00346678">
        <w:rPr>
          <w:rFonts w:ascii="Times New Roman" w:eastAsia="Dutch811BT" w:hAnsi="Times New Roman"/>
          <w:sz w:val="24"/>
          <w:szCs w:val="24"/>
        </w:rPr>
        <w:t>&gt;. Acesso em: 02 jan. 2010.</w:t>
      </w:r>
      <w:r w:rsidRPr="00346678">
        <w:rPr>
          <w:rFonts w:ascii="Times New Roman" w:hAnsi="Times New Roman"/>
          <w:sz w:val="24"/>
          <w:szCs w:val="24"/>
        </w:rPr>
        <w:t xml:space="preserve">  </w:t>
      </w:r>
    </w:p>
    <w:p w:rsidR="005E29EB" w:rsidRPr="00346678" w:rsidRDefault="005E29EB" w:rsidP="008B470D">
      <w:pPr>
        <w:autoSpaceDE w:val="0"/>
        <w:autoSpaceDN w:val="0"/>
        <w:adjustRightInd w:val="0"/>
        <w:spacing w:after="0" w:line="240" w:lineRule="auto"/>
        <w:ind w:left="567" w:hanging="567"/>
        <w:jc w:val="both"/>
        <w:rPr>
          <w:rFonts w:ascii="Times New Roman" w:hAnsi="Times New Roman"/>
          <w:sz w:val="8"/>
          <w:szCs w:val="24"/>
        </w:rPr>
      </w:pPr>
    </w:p>
    <w:p w:rsidR="006B7821" w:rsidRPr="00346678" w:rsidRDefault="006B7821" w:rsidP="008B470D">
      <w:pPr>
        <w:autoSpaceDE w:val="0"/>
        <w:autoSpaceDN w:val="0"/>
        <w:adjustRightInd w:val="0"/>
        <w:spacing w:after="0" w:line="240" w:lineRule="auto"/>
        <w:ind w:left="567" w:hanging="567"/>
        <w:jc w:val="both"/>
        <w:rPr>
          <w:rFonts w:ascii="Times New Roman" w:hAnsi="Times New Roman"/>
          <w:sz w:val="8"/>
          <w:szCs w:val="24"/>
        </w:rPr>
      </w:pPr>
    </w:p>
    <w:p w:rsidR="006B7821" w:rsidRDefault="000213AF" w:rsidP="008B470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_____</w:t>
      </w:r>
      <w:r w:rsidR="006B7821" w:rsidRPr="00346678">
        <w:rPr>
          <w:rFonts w:ascii="Times New Roman" w:hAnsi="Times New Roman"/>
          <w:sz w:val="24"/>
          <w:szCs w:val="24"/>
        </w:rPr>
        <w:t>.</w:t>
      </w:r>
      <w:r w:rsidR="006B7821" w:rsidRPr="00346678">
        <w:t xml:space="preserve"> </w:t>
      </w:r>
      <w:r w:rsidR="006B7821" w:rsidRPr="00346678">
        <w:rPr>
          <w:rFonts w:ascii="Times New Roman" w:hAnsi="Times New Roman"/>
          <w:b/>
          <w:sz w:val="24"/>
          <w:szCs w:val="24"/>
        </w:rPr>
        <w:t>Aglomerações populacionais na Região Norte do Brasil de 1980 a 2000</w:t>
      </w:r>
      <w:r w:rsidR="006B7821" w:rsidRPr="00346678">
        <w:rPr>
          <w:rFonts w:ascii="Times New Roman" w:hAnsi="Times New Roman"/>
          <w:sz w:val="24"/>
          <w:szCs w:val="24"/>
        </w:rPr>
        <w:t>: uma análise por meio da Nova Geografia Econômica. 2011, 147p. Tese (Doutorado em Economia Aplicada), Universid</w:t>
      </w:r>
      <w:r w:rsidR="006B7821" w:rsidRPr="00346678">
        <w:rPr>
          <w:rFonts w:ascii="Times New Roman" w:hAnsi="Times New Roman"/>
          <w:sz w:val="24"/>
          <w:szCs w:val="24"/>
        </w:rPr>
        <w:t>a</w:t>
      </w:r>
      <w:r w:rsidR="006B7821" w:rsidRPr="00346678">
        <w:rPr>
          <w:rFonts w:ascii="Times New Roman" w:hAnsi="Times New Roman"/>
          <w:sz w:val="24"/>
          <w:szCs w:val="24"/>
        </w:rPr>
        <w:t>de de São Paulo, Piracicaba, 2011.</w:t>
      </w:r>
    </w:p>
    <w:p w:rsidR="007B02CF"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0213AF" w:rsidRPr="00346678" w:rsidRDefault="000213AF" w:rsidP="008B470D">
      <w:pPr>
        <w:autoSpaceDE w:val="0"/>
        <w:autoSpaceDN w:val="0"/>
        <w:adjustRightInd w:val="0"/>
        <w:spacing w:after="0" w:line="240" w:lineRule="auto"/>
        <w:ind w:left="567" w:hanging="567"/>
        <w:jc w:val="both"/>
        <w:rPr>
          <w:rFonts w:ascii="Times New Roman" w:hAnsi="Times New Roman"/>
          <w:sz w:val="24"/>
          <w:szCs w:val="24"/>
        </w:rPr>
      </w:pPr>
      <w:r w:rsidRPr="00346678">
        <w:rPr>
          <w:rFonts w:ascii="Times New Roman" w:hAnsi="Times New Roman"/>
          <w:sz w:val="24"/>
          <w:szCs w:val="24"/>
        </w:rPr>
        <w:t xml:space="preserve">SILVA, Renilson R.; BACHA, </w:t>
      </w:r>
      <w:proofErr w:type="spellStart"/>
      <w:r w:rsidRPr="00346678">
        <w:rPr>
          <w:rFonts w:ascii="Times New Roman" w:hAnsi="Times New Roman"/>
          <w:sz w:val="24"/>
          <w:szCs w:val="24"/>
        </w:rPr>
        <w:t>C.J.C.</w:t>
      </w:r>
      <w:proofErr w:type="spellEnd"/>
      <w:r w:rsidRPr="00346678">
        <w:t xml:space="preserve"> </w:t>
      </w:r>
      <w:r w:rsidRPr="00346678">
        <w:rPr>
          <w:rFonts w:ascii="Times New Roman" w:hAnsi="Times New Roman"/>
          <w:sz w:val="24"/>
          <w:szCs w:val="24"/>
        </w:rPr>
        <w:t xml:space="preserve">Polígonos de Voronoi como alternativa aos problemas das </w:t>
      </w:r>
      <w:r w:rsidRPr="00346678">
        <w:rPr>
          <w:rFonts w:ascii="Times New Roman" w:hAnsi="Times New Roman"/>
          <w:sz w:val="24"/>
          <w:szCs w:val="24"/>
        </w:rPr>
        <w:t>á</w:t>
      </w:r>
      <w:r w:rsidRPr="00346678">
        <w:rPr>
          <w:rFonts w:ascii="Times New Roman" w:hAnsi="Times New Roman"/>
          <w:sz w:val="24"/>
          <w:szCs w:val="24"/>
        </w:rPr>
        <w:t xml:space="preserve">reas mínimas comparáveis: uma análise das mudanças populacionais na Região Norte no Brasil. </w:t>
      </w:r>
      <w:r w:rsidRPr="00346678">
        <w:rPr>
          <w:rFonts w:ascii="Times New Roman" w:hAnsi="Times New Roman"/>
          <w:b/>
          <w:sz w:val="24"/>
          <w:szCs w:val="24"/>
        </w:rPr>
        <w:t>Revista Brasileira de Estudos de População</w:t>
      </w:r>
      <w:r>
        <w:rPr>
          <w:rFonts w:ascii="Times New Roman" w:hAnsi="Times New Roman"/>
          <w:b/>
          <w:sz w:val="24"/>
          <w:szCs w:val="24"/>
        </w:rPr>
        <w:t xml:space="preserve">, </w:t>
      </w:r>
      <w:r w:rsidRPr="000213AF">
        <w:rPr>
          <w:rFonts w:ascii="Times New Roman" w:hAnsi="Times New Roman"/>
          <w:sz w:val="24"/>
          <w:szCs w:val="24"/>
        </w:rPr>
        <w:t>São Paulo,</w:t>
      </w:r>
      <w:r>
        <w:rPr>
          <w:rFonts w:ascii="Times New Roman" w:hAnsi="Times New Roman"/>
          <w:b/>
          <w:sz w:val="24"/>
          <w:szCs w:val="24"/>
        </w:rPr>
        <w:t xml:space="preserve"> </w:t>
      </w:r>
      <w:r w:rsidRPr="000213AF">
        <w:rPr>
          <w:rFonts w:ascii="Times New Roman" w:hAnsi="Times New Roman"/>
          <w:sz w:val="24"/>
          <w:szCs w:val="24"/>
        </w:rPr>
        <w:t>v. 28</w:t>
      </w:r>
      <w:r>
        <w:rPr>
          <w:rFonts w:ascii="Times New Roman" w:hAnsi="Times New Roman"/>
          <w:sz w:val="24"/>
          <w:szCs w:val="24"/>
        </w:rPr>
        <w:t xml:space="preserve">, n.1, </w:t>
      </w:r>
      <w:r w:rsidR="006E22FD">
        <w:rPr>
          <w:rFonts w:ascii="Times New Roman" w:hAnsi="Times New Roman"/>
          <w:sz w:val="24"/>
          <w:szCs w:val="24"/>
        </w:rPr>
        <w:t>p.133-151, 2011.</w:t>
      </w:r>
      <w:r>
        <w:rPr>
          <w:rFonts w:ascii="Times New Roman" w:hAnsi="Times New Roman"/>
          <w:sz w:val="24"/>
          <w:szCs w:val="24"/>
        </w:rPr>
        <w:t xml:space="preserve">  </w:t>
      </w:r>
    </w:p>
    <w:p w:rsidR="000213AF" w:rsidRPr="00B43E65" w:rsidRDefault="000213AF" w:rsidP="008B470D">
      <w:pPr>
        <w:autoSpaceDE w:val="0"/>
        <w:autoSpaceDN w:val="0"/>
        <w:adjustRightInd w:val="0"/>
        <w:spacing w:after="0" w:line="240" w:lineRule="auto"/>
        <w:ind w:left="567" w:hanging="567"/>
        <w:jc w:val="both"/>
        <w:rPr>
          <w:rFonts w:ascii="Times New Roman" w:hAnsi="Times New Roman"/>
          <w:sz w:val="8"/>
          <w:szCs w:val="8"/>
        </w:rPr>
      </w:pPr>
    </w:p>
    <w:p w:rsidR="007B02CF" w:rsidRPr="0056250F" w:rsidRDefault="007B02CF" w:rsidP="008B470D">
      <w:pPr>
        <w:autoSpaceDE w:val="0"/>
        <w:autoSpaceDN w:val="0"/>
        <w:adjustRightInd w:val="0"/>
        <w:spacing w:after="0" w:line="240" w:lineRule="auto"/>
        <w:ind w:left="567" w:hanging="567"/>
        <w:jc w:val="both"/>
        <w:rPr>
          <w:rFonts w:ascii="Times New Roman" w:hAnsi="Times New Roman"/>
          <w:sz w:val="24"/>
          <w:szCs w:val="24"/>
        </w:rPr>
      </w:pPr>
      <w:r w:rsidRPr="0056250F">
        <w:rPr>
          <w:rFonts w:ascii="Times New Roman" w:hAnsi="Times New Roman"/>
          <w:sz w:val="24"/>
          <w:szCs w:val="24"/>
        </w:rPr>
        <w:t>SILVEIRA NETO, R. M. Concentração Industrial Regional, Especialização Geográfica e Geografia Ec</w:t>
      </w:r>
      <w:r w:rsidRPr="0056250F">
        <w:rPr>
          <w:rFonts w:ascii="Times New Roman" w:hAnsi="Times New Roman"/>
          <w:sz w:val="24"/>
          <w:szCs w:val="24"/>
        </w:rPr>
        <w:t>o</w:t>
      </w:r>
      <w:r w:rsidRPr="0056250F">
        <w:rPr>
          <w:rFonts w:ascii="Times New Roman" w:hAnsi="Times New Roman"/>
          <w:sz w:val="24"/>
          <w:szCs w:val="24"/>
        </w:rPr>
        <w:t xml:space="preserve">nômica: Evidências para o Brasil no Período 1950-2000. </w:t>
      </w:r>
      <w:r w:rsidRPr="0056250F">
        <w:rPr>
          <w:rFonts w:ascii="Times New Roman" w:hAnsi="Times New Roman"/>
          <w:b/>
          <w:sz w:val="24"/>
          <w:szCs w:val="24"/>
        </w:rPr>
        <w:t>Revista Econômica do Nordeste</w:t>
      </w:r>
      <w:r w:rsidRPr="0056250F">
        <w:rPr>
          <w:rFonts w:ascii="Times New Roman" w:hAnsi="Times New Roman"/>
          <w:sz w:val="24"/>
          <w:szCs w:val="24"/>
        </w:rPr>
        <w:t>, Fort</w:t>
      </w:r>
      <w:r w:rsidRPr="0056250F">
        <w:rPr>
          <w:rFonts w:ascii="Times New Roman" w:hAnsi="Times New Roman"/>
          <w:sz w:val="24"/>
          <w:szCs w:val="24"/>
        </w:rPr>
        <w:t>a</w:t>
      </w:r>
      <w:r w:rsidRPr="0056250F">
        <w:rPr>
          <w:rFonts w:ascii="Times New Roman" w:hAnsi="Times New Roman"/>
          <w:sz w:val="24"/>
          <w:szCs w:val="24"/>
        </w:rPr>
        <w:t>leza, v. 36, n. 2, p. 189-208, 2005.</w:t>
      </w:r>
    </w:p>
    <w:p w:rsidR="007B02CF" w:rsidRPr="00B43E65" w:rsidRDefault="007B02CF" w:rsidP="008B470D">
      <w:pPr>
        <w:autoSpaceDE w:val="0"/>
        <w:autoSpaceDN w:val="0"/>
        <w:adjustRightInd w:val="0"/>
        <w:spacing w:after="0" w:line="240" w:lineRule="auto"/>
        <w:ind w:left="567" w:hanging="567"/>
        <w:jc w:val="both"/>
        <w:rPr>
          <w:rFonts w:ascii="Times New Roman" w:hAnsi="Times New Roman"/>
          <w:sz w:val="8"/>
          <w:szCs w:val="8"/>
        </w:rPr>
      </w:pPr>
    </w:p>
    <w:p w:rsidR="007B02CF" w:rsidRDefault="007B02CF" w:rsidP="008B470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_____</w:t>
      </w:r>
      <w:r w:rsidRPr="0056250F">
        <w:rPr>
          <w:rFonts w:ascii="Times New Roman" w:hAnsi="Times New Roman"/>
          <w:sz w:val="24"/>
          <w:szCs w:val="24"/>
        </w:rPr>
        <w:t xml:space="preserve">. Concentração e especialização das atividades industriais no Brasil: </w:t>
      </w:r>
      <w:r>
        <w:rPr>
          <w:rFonts w:ascii="Times New Roman" w:hAnsi="Times New Roman"/>
          <w:sz w:val="24"/>
          <w:szCs w:val="24"/>
        </w:rPr>
        <w:t>q</w:t>
      </w:r>
      <w:r w:rsidRPr="0056250F">
        <w:rPr>
          <w:rFonts w:ascii="Times New Roman" w:hAnsi="Times New Roman"/>
          <w:sz w:val="24"/>
          <w:szCs w:val="24"/>
        </w:rPr>
        <w:t xml:space="preserve">uais argumentos econômicos explicam? Evidências para os períodos 1950-1985, 1985-2000. </w:t>
      </w:r>
      <w:r w:rsidRPr="0056250F">
        <w:rPr>
          <w:rFonts w:ascii="Times New Roman" w:hAnsi="Times New Roman"/>
          <w:b/>
          <w:sz w:val="24"/>
          <w:szCs w:val="24"/>
        </w:rPr>
        <w:t>Anais eletrônicos ANPEC</w:t>
      </w:r>
      <w:r w:rsidRPr="0056250F">
        <w:rPr>
          <w:rFonts w:ascii="Times New Roman" w:hAnsi="Times New Roman"/>
          <w:sz w:val="24"/>
          <w:szCs w:val="24"/>
        </w:rPr>
        <w:t>,</w:t>
      </w:r>
      <w:r w:rsidRPr="0056250F">
        <w:rPr>
          <w:rFonts w:ascii="Times New Roman" w:hAnsi="Times New Roman"/>
          <w:b/>
          <w:sz w:val="24"/>
          <w:szCs w:val="24"/>
        </w:rPr>
        <w:t xml:space="preserve"> </w:t>
      </w:r>
      <w:r w:rsidRPr="0056250F">
        <w:rPr>
          <w:rFonts w:ascii="Times New Roman" w:hAnsi="Times New Roman"/>
          <w:sz w:val="24"/>
          <w:szCs w:val="24"/>
        </w:rPr>
        <w:t>Fribu</w:t>
      </w:r>
      <w:r w:rsidRPr="0056250F">
        <w:rPr>
          <w:rFonts w:ascii="Times New Roman" w:hAnsi="Times New Roman"/>
          <w:sz w:val="24"/>
          <w:szCs w:val="24"/>
        </w:rPr>
        <w:t>r</w:t>
      </w:r>
      <w:r w:rsidRPr="0056250F">
        <w:rPr>
          <w:rFonts w:ascii="Times New Roman" w:hAnsi="Times New Roman"/>
          <w:sz w:val="24"/>
          <w:szCs w:val="24"/>
        </w:rPr>
        <w:t>go, 2002.</w:t>
      </w:r>
    </w:p>
    <w:p w:rsidR="0023014B" w:rsidRDefault="0023014B" w:rsidP="008B470D">
      <w:pPr>
        <w:autoSpaceDE w:val="0"/>
        <w:autoSpaceDN w:val="0"/>
        <w:adjustRightInd w:val="0"/>
        <w:spacing w:after="0" w:line="240" w:lineRule="auto"/>
        <w:ind w:left="567" w:hanging="567"/>
        <w:jc w:val="both"/>
        <w:rPr>
          <w:rFonts w:ascii="Times New Roman" w:hAnsi="Times New Roman"/>
          <w:sz w:val="8"/>
          <w:szCs w:val="8"/>
        </w:rPr>
      </w:pPr>
    </w:p>
    <w:p w:rsidR="006B7821" w:rsidRPr="0056250F" w:rsidRDefault="006B7821" w:rsidP="008B470D">
      <w:pPr>
        <w:autoSpaceDE w:val="0"/>
        <w:autoSpaceDN w:val="0"/>
        <w:adjustRightInd w:val="0"/>
        <w:spacing w:after="0" w:line="240" w:lineRule="auto"/>
        <w:ind w:left="567" w:hanging="567"/>
        <w:jc w:val="both"/>
        <w:rPr>
          <w:rFonts w:ascii="Times New Roman" w:eastAsia="Dutch811BT" w:hAnsi="Times New Roman"/>
          <w:sz w:val="24"/>
          <w:szCs w:val="24"/>
        </w:rPr>
      </w:pPr>
      <w:r w:rsidRPr="0056250F">
        <w:rPr>
          <w:rFonts w:ascii="Times New Roman" w:eastAsia="Dutch811BT" w:hAnsi="Times New Roman"/>
          <w:sz w:val="24"/>
          <w:szCs w:val="24"/>
        </w:rPr>
        <w:t>WONG, L.R.(</w:t>
      </w:r>
      <w:r>
        <w:rPr>
          <w:rFonts w:ascii="Times New Roman" w:eastAsia="Dutch811BT" w:hAnsi="Times New Roman"/>
          <w:sz w:val="24"/>
          <w:szCs w:val="24"/>
        </w:rPr>
        <w:t>O</w:t>
      </w:r>
      <w:r w:rsidRPr="0056250F">
        <w:rPr>
          <w:rFonts w:ascii="Times New Roman" w:eastAsia="Dutch811BT" w:hAnsi="Times New Roman"/>
          <w:sz w:val="24"/>
          <w:szCs w:val="24"/>
        </w:rPr>
        <w:t xml:space="preserve">rg.). </w:t>
      </w:r>
      <w:r w:rsidRPr="00F942C0">
        <w:rPr>
          <w:rFonts w:ascii="Times New Roman" w:eastAsia="Dutch811BT" w:hAnsi="Times New Roman"/>
          <w:b/>
          <w:sz w:val="24"/>
          <w:szCs w:val="24"/>
        </w:rPr>
        <w:t xml:space="preserve">O Envelhecimento da população brasileira e o aumento da longevidade </w:t>
      </w:r>
      <w:r w:rsidRPr="0056250F">
        <w:rPr>
          <w:rFonts w:ascii="Times New Roman" w:eastAsia="Dutch811BT" w:hAnsi="Times New Roman"/>
          <w:sz w:val="24"/>
          <w:szCs w:val="24"/>
        </w:rPr>
        <w:t>– subs</w:t>
      </w:r>
      <w:r w:rsidRPr="0056250F">
        <w:rPr>
          <w:rFonts w:ascii="Times New Roman" w:eastAsia="Dutch811BT" w:hAnsi="Times New Roman"/>
          <w:sz w:val="24"/>
          <w:szCs w:val="24"/>
        </w:rPr>
        <w:t>í</w:t>
      </w:r>
      <w:r w:rsidRPr="0056250F">
        <w:rPr>
          <w:rFonts w:ascii="Times New Roman" w:eastAsia="Dutch811BT" w:hAnsi="Times New Roman"/>
          <w:sz w:val="24"/>
          <w:szCs w:val="24"/>
        </w:rPr>
        <w:t>dios para políticas orientadas ao bem-estar do idoso.</w:t>
      </w:r>
      <w:r>
        <w:rPr>
          <w:rFonts w:ascii="Times New Roman" w:eastAsia="Dutch811BT" w:hAnsi="Times New Roman"/>
          <w:sz w:val="24"/>
          <w:szCs w:val="24"/>
        </w:rPr>
        <w:t xml:space="preserve"> Belo Horizonte: UFMG/CEDEPLAR, 2001</w:t>
      </w:r>
      <w:r w:rsidRPr="0056250F">
        <w:rPr>
          <w:rFonts w:ascii="Times New Roman" w:eastAsia="Dutch811BT" w:hAnsi="Times New Roman"/>
          <w:sz w:val="24"/>
          <w:szCs w:val="24"/>
        </w:rPr>
        <w:t>.</w:t>
      </w:r>
    </w:p>
    <w:p w:rsidR="0015045C" w:rsidRDefault="0015045C">
      <w:pPr>
        <w:rPr>
          <w:rFonts w:ascii="Times New Roman" w:hAnsi="Times New Roman"/>
          <w:sz w:val="8"/>
          <w:szCs w:val="8"/>
        </w:rPr>
      </w:pPr>
      <w:r>
        <w:rPr>
          <w:rFonts w:ascii="Times New Roman" w:hAnsi="Times New Roman"/>
          <w:sz w:val="8"/>
          <w:szCs w:val="8"/>
        </w:rPr>
        <w:br w:type="page"/>
      </w:r>
    </w:p>
    <w:p w:rsidR="006B7821" w:rsidRDefault="0015045C" w:rsidP="0015045C">
      <w:pPr>
        <w:autoSpaceDE w:val="0"/>
        <w:autoSpaceDN w:val="0"/>
        <w:adjustRightInd w:val="0"/>
        <w:spacing w:after="0" w:line="240" w:lineRule="auto"/>
        <w:jc w:val="center"/>
        <w:rPr>
          <w:rFonts w:ascii="Times New Roman" w:hAnsi="Times New Roman"/>
          <w:sz w:val="36"/>
          <w:szCs w:val="8"/>
        </w:rPr>
      </w:pPr>
      <w:r w:rsidRPr="0015045C">
        <w:rPr>
          <w:rFonts w:ascii="Times New Roman" w:hAnsi="Times New Roman"/>
          <w:sz w:val="36"/>
          <w:szCs w:val="8"/>
        </w:rPr>
        <w:lastRenderedPageBreak/>
        <w:t>ANEXOS</w:t>
      </w:r>
    </w:p>
    <w:p w:rsidR="0015045C" w:rsidRPr="007F2451" w:rsidRDefault="0015045C" w:rsidP="0015045C">
      <w:pPr>
        <w:pStyle w:val="Legenda"/>
        <w:spacing w:after="120"/>
        <w:rPr>
          <w:rFonts w:ascii="Times New Roman" w:hAnsi="Times New Roman" w:cs="Times New Roman"/>
          <w:b w:val="0"/>
          <w:color w:val="auto"/>
          <w:sz w:val="24"/>
          <w:szCs w:val="24"/>
        </w:rPr>
      </w:pPr>
      <w:proofErr w:type="gramStart"/>
      <w:r w:rsidRPr="007F2451">
        <w:rPr>
          <w:rFonts w:ascii="Times New Roman" w:hAnsi="Times New Roman" w:cs="Times New Roman"/>
          <w:b w:val="0"/>
          <w:color w:val="auto"/>
          <w:sz w:val="24"/>
          <w:szCs w:val="24"/>
        </w:rPr>
        <w:t xml:space="preserve">Tabela </w:t>
      </w:r>
      <w:r w:rsidR="00212729">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 -</w:t>
      </w:r>
      <w:r w:rsidRPr="007F245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Diagnóstico de </w:t>
      </w:r>
      <w:r w:rsidRPr="007F2451">
        <w:rPr>
          <w:rFonts w:ascii="Times New Roman" w:hAnsi="Times New Roman" w:cs="Times New Roman"/>
          <w:b w:val="0"/>
          <w:color w:val="auto"/>
          <w:sz w:val="24"/>
          <w:szCs w:val="24"/>
        </w:rPr>
        <w:t>dependência espacial</w:t>
      </w:r>
      <w:r>
        <w:rPr>
          <w:rFonts w:ascii="Times New Roman" w:hAnsi="Times New Roman" w:cs="Times New Roman"/>
          <w:b w:val="0"/>
          <w:color w:val="auto"/>
          <w:sz w:val="24"/>
          <w:szCs w:val="24"/>
        </w:rPr>
        <w:t xml:space="preserve"> na estimativa para a população </w:t>
      </w:r>
      <w:r w:rsidRPr="007F2451">
        <w:rPr>
          <w:rFonts w:ascii="Times New Roman" w:hAnsi="Times New Roman" w:cs="Times New Roman"/>
          <w:b w:val="0"/>
          <w:color w:val="auto"/>
          <w:sz w:val="24"/>
          <w:szCs w:val="24"/>
        </w:rPr>
        <w:t>rural</w:t>
      </w:r>
      <w:proofErr w:type="gramEnd"/>
    </w:p>
    <w:tbl>
      <w:tblPr>
        <w:tblStyle w:val="Oficial"/>
        <w:tblW w:w="9319" w:type="dxa"/>
        <w:tblLook w:val="04A0"/>
      </w:tblPr>
      <w:tblGrid>
        <w:gridCol w:w="3939"/>
        <w:gridCol w:w="1992"/>
        <w:gridCol w:w="1594"/>
        <w:gridCol w:w="1794"/>
      </w:tblGrid>
      <w:tr w:rsidR="0015045C" w:rsidRPr="00154F87" w:rsidTr="00B90422">
        <w:trPr>
          <w:cnfStyle w:val="100000000000"/>
          <w:trHeight w:val="454"/>
        </w:trPr>
        <w:tc>
          <w:tcPr>
            <w:tcW w:w="3939" w:type="dxa"/>
            <w:vAlign w:val="center"/>
            <w:hideMark/>
          </w:tcPr>
          <w:p w:rsidR="0015045C" w:rsidRPr="00154F87" w:rsidRDefault="0015045C" w:rsidP="00B90422">
            <w:pPr>
              <w:spacing w:line="276" w:lineRule="auto"/>
              <w:jc w:val="center"/>
              <w:rPr>
                <w:color w:val="000000"/>
                <w:sz w:val="22"/>
                <w:szCs w:val="24"/>
                <w:lang w:val="en-CA" w:eastAsia="en-CA"/>
              </w:rPr>
            </w:pPr>
            <w:proofErr w:type="spellStart"/>
            <w:r w:rsidRPr="00154F87">
              <w:rPr>
                <w:color w:val="000000"/>
                <w:sz w:val="22"/>
                <w:szCs w:val="24"/>
                <w:lang w:val="en-CA" w:eastAsia="en-CA"/>
              </w:rPr>
              <w:t>Teste</w:t>
            </w:r>
            <w:proofErr w:type="spellEnd"/>
          </w:p>
        </w:tc>
        <w:tc>
          <w:tcPr>
            <w:tcW w:w="1992" w:type="dxa"/>
            <w:vAlign w:val="center"/>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MI/DF</w:t>
            </w:r>
          </w:p>
        </w:tc>
        <w:tc>
          <w:tcPr>
            <w:tcW w:w="1594" w:type="dxa"/>
            <w:vAlign w:val="center"/>
            <w:hideMark/>
          </w:tcPr>
          <w:p w:rsidR="0015045C" w:rsidRPr="00154F87" w:rsidRDefault="0015045C" w:rsidP="00B90422">
            <w:pPr>
              <w:spacing w:line="276" w:lineRule="auto"/>
              <w:jc w:val="center"/>
              <w:rPr>
                <w:color w:val="000000"/>
                <w:sz w:val="22"/>
                <w:szCs w:val="24"/>
                <w:lang w:val="en-CA" w:eastAsia="en-CA"/>
              </w:rPr>
            </w:pPr>
            <w:proofErr w:type="spellStart"/>
            <w:r w:rsidRPr="00154F87">
              <w:rPr>
                <w:color w:val="000000"/>
                <w:sz w:val="22"/>
                <w:szCs w:val="24"/>
                <w:lang w:val="en-CA" w:eastAsia="en-CA"/>
              </w:rPr>
              <w:t>Valor</w:t>
            </w:r>
            <w:proofErr w:type="spellEnd"/>
          </w:p>
        </w:tc>
        <w:tc>
          <w:tcPr>
            <w:tcW w:w="1794" w:type="dxa"/>
            <w:vAlign w:val="center"/>
            <w:hideMark/>
          </w:tcPr>
          <w:p w:rsidR="0015045C" w:rsidRPr="00154F87" w:rsidRDefault="0015045C" w:rsidP="00B90422">
            <w:pPr>
              <w:spacing w:line="276" w:lineRule="auto"/>
              <w:jc w:val="center"/>
              <w:rPr>
                <w:color w:val="000000"/>
                <w:sz w:val="22"/>
                <w:szCs w:val="24"/>
                <w:lang w:val="en-CA" w:eastAsia="en-CA"/>
              </w:rPr>
            </w:pPr>
            <w:proofErr w:type="spellStart"/>
            <w:r w:rsidRPr="00154F87">
              <w:rPr>
                <w:color w:val="000000"/>
                <w:sz w:val="22"/>
                <w:szCs w:val="24"/>
                <w:lang w:val="en-CA" w:eastAsia="en-CA"/>
              </w:rPr>
              <w:t>Probabilidade</w:t>
            </w:r>
            <w:proofErr w:type="spellEnd"/>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Moran's I (error)</w:t>
            </w:r>
          </w:p>
        </w:tc>
        <w:tc>
          <w:tcPr>
            <w:tcW w:w="1992" w:type="dxa"/>
            <w:hideMark/>
          </w:tcPr>
          <w:p w:rsidR="0015045C" w:rsidRPr="00154F87" w:rsidRDefault="0015045C" w:rsidP="00B90422">
            <w:pPr>
              <w:jc w:val="center"/>
              <w:rPr>
                <w:sz w:val="22"/>
              </w:rPr>
            </w:pPr>
            <w:proofErr w:type="gramStart"/>
            <w:r w:rsidRPr="00154F87">
              <w:rPr>
                <w:sz w:val="22"/>
              </w:rPr>
              <w:t>0,</w:t>
            </w:r>
            <w:proofErr w:type="gramEnd"/>
            <w:r w:rsidRPr="00154F87">
              <w:rPr>
                <w:sz w:val="22"/>
              </w:rPr>
              <w:t>169</w:t>
            </w:r>
          </w:p>
        </w:tc>
        <w:tc>
          <w:tcPr>
            <w:tcW w:w="1594" w:type="dxa"/>
            <w:hideMark/>
          </w:tcPr>
          <w:p w:rsidR="0015045C" w:rsidRPr="00154F87" w:rsidRDefault="0015045C" w:rsidP="00B90422">
            <w:pPr>
              <w:jc w:val="center"/>
              <w:rPr>
                <w:sz w:val="22"/>
              </w:rPr>
            </w:pPr>
            <w:proofErr w:type="gramStart"/>
            <w:r w:rsidRPr="00154F87">
              <w:rPr>
                <w:sz w:val="22"/>
              </w:rPr>
              <w:t>4,</w:t>
            </w:r>
            <w:proofErr w:type="gramEnd"/>
            <w:r w:rsidRPr="00154F87">
              <w:rPr>
                <w:sz w:val="22"/>
              </w:rPr>
              <w:t>488</w:t>
            </w:r>
          </w:p>
        </w:tc>
        <w:tc>
          <w:tcPr>
            <w:tcW w:w="1794" w:type="dxa"/>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0,000***</w:t>
            </w:r>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Lagrange Multiplier (error)</w:t>
            </w:r>
          </w:p>
        </w:tc>
        <w:tc>
          <w:tcPr>
            <w:tcW w:w="1992" w:type="dxa"/>
            <w:hideMark/>
          </w:tcPr>
          <w:p w:rsidR="0015045C" w:rsidRPr="00154F87" w:rsidRDefault="0015045C" w:rsidP="00B90422">
            <w:pPr>
              <w:jc w:val="center"/>
              <w:rPr>
                <w:sz w:val="22"/>
              </w:rPr>
            </w:pPr>
            <w:proofErr w:type="gramStart"/>
            <w:r w:rsidRPr="00154F87">
              <w:rPr>
                <w:sz w:val="22"/>
              </w:rPr>
              <w:t>1,</w:t>
            </w:r>
            <w:proofErr w:type="gramEnd"/>
            <w:r w:rsidRPr="00154F87">
              <w:rPr>
                <w:sz w:val="22"/>
              </w:rPr>
              <w:t>000</w:t>
            </w:r>
          </w:p>
        </w:tc>
        <w:tc>
          <w:tcPr>
            <w:tcW w:w="1594" w:type="dxa"/>
            <w:hideMark/>
          </w:tcPr>
          <w:p w:rsidR="0015045C" w:rsidRPr="00154F87" w:rsidRDefault="0015045C" w:rsidP="00B90422">
            <w:pPr>
              <w:jc w:val="center"/>
              <w:rPr>
                <w:sz w:val="22"/>
              </w:rPr>
            </w:pPr>
            <w:proofErr w:type="gramStart"/>
            <w:r w:rsidRPr="00154F87">
              <w:rPr>
                <w:sz w:val="22"/>
              </w:rPr>
              <w:t>13,</w:t>
            </w:r>
            <w:proofErr w:type="gramEnd"/>
            <w:r w:rsidRPr="00154F87">
              <w:rPr>
                <w:sz w:val="22"/>
              </w:rPr>
              <w:t>985</w:t>
            </w:r>
          </w:p>
        </w:tc>
        <w:tc>
          <w:tcPr>
            <w:tcW w:w="1794" w:type="dxa"/>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0,000***</w:t>
            </w:r>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Robust LM (error)</w:t>
            </w:r>
          </w:p>
        </w:tc>
        <w:tc>
          <w:tcPr>
            <w:tcW w:w="1992" w:type="dxa"/>
            <w:hideMark/>
          </w:tcPr>
          <w:p w:rsidR="0015045C" w:rsidRPr="00154F87" w:rsidRDefault="0015045C" w:rsidP="00B90422">
            <w:pPr>
              <w:jc w:val="center"/>
              <w:rPr>
                <w:sz w:val="22"/>
              </w:rPr>
            </w:pPr>
            <w:proofErr w:type="gramStart"/>
            <w:r w:rsidRPr="00154F87">
              <w:rPr>
                <w:sz w:val="22"/>
              </w:rPr>
              <w:t>1,</w:t>
            </w:r>
            <w:proofErr w:type="gramEnd"/>
            <w:r w:rsidRPr="00154F87">
              <w:rPr>
                <w:sz w:val="22"/>
              </w:rPr>
              <w:t>000</w:t>
            </w:r>
          </w:p>
        </w:tc>
        <w:tc>
          <w:tcPr>
            <w:tcW w:w="1594" w:type="dxa"/>
            <w:hideMark/>
          </w:tcPr>
          <w:p w:rsidR="0015045C" w:rsidRPr="00154F87" w:rsidRDefault="0015045C" w:rsidP="00B90422">
            <w:pPr>
              <w:jc w:val="center"/>
              <w:rPr>
                <w:sz w:val="22"/>
              </w:rPr>
            </w:pPr>
            <w:proofErr w:type="gramStart"/>
            <w:r w:rsidRPr="00154F87">
              <w:rPr>
                <w:sz w:val="22"/>
              </w:rPr>
              <w:t>1,</w:t>
            </w:r>
            <w:proofErr w:type="gramEnd"/>
            <w:r w:rsidRPr="00154F87">
              <w:rPr>
                <w:sz w:val="22"/>
              </w:rPr>
              <w:t>605</w:t>
            </w:r>
          </w:p>
        </w:tc>
        <w:tc>
          <w:tcPr>
            <w:tcW w:w="1794" w:type="dxa"/>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0,205***</w:t>
            </w:r>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Lagrange Multiplier (lag)</w:t>
            </w:r>
          </w:p>
        </w:tc>
        <w:tc>
          <w:tcPr>
            <w:tcW w:w="1992" w:type="dxa"/>
            <w:hideMark/>
          </w:tcPr>
          <w:p w:rsidR="0015045C" w:rsidRPr="00154F87" w:rsidRDefault="0015045C" w:rsidP="00B90422">
            <w:pPr>
              <w:jc w:val="center"/>
              <w:rPr>
                <w:sz w:val="22"/>
              </w:rPr>
            </w:pPr>
            <w:proofErr w:type="gramStart"/>
            <w:r w:rsidRPr="00154F87">
              <w:rPr>
                <w:sz w:val="22"/>
              </w:rPr>
              <w:t>1,</w:t>
            </w:r>
            <w:proofErr w:type="gramEnd"/>
            <w:r w:rsidRPr="00154F87">
              <w:rPr>
                <w:sz w:val="22"/>
              </w:rPr>
              <w:t>000</w:t>
            </w:r>
          </w:p>
        </w:tc>
        <w:tc>
          <w:tcPr>
            <w:tcW w:w="1594" w:type="dxa"/>
            <w:hideMark/>
          </w:tcPr>
          <w:p w:rsidR="0015045C" w:rsidRPr="00154F87" w:rsidRDefault="0015045C" w:rsidP="00B90422">
            <w:pPr>
              <w:jc w:val="center"/>
              <w:rPr>
                <w:sz w:val="22"/>
              </w:rPr>
            </w:pPr>
            <w:proofErr w:type="gramStart"/>
            <w:r w:rsidRPr="00154F87">
              <w:rPr>
                <w:sz w:val="22"/>
              </w:rPr>
              <w:t>20,</w:t>
            </w:r>
            <w:proofErr w:type="gramEnd"/>
            <w:r w:rsidRPr="00154F87">
              <w:rPr>
                <w:sz w:val="22"/>
              </w:rPr>
              <w:t>216</w:t>
            </w:r>
          </w:p>
        </w:tc>
        <w:tc>
          <w:tcPr>
            <w:tcW w:w="1794" w:type="dxa"/>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0,000***</w:t>
            </w:r>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Robust LM (lag)</w:t>
            </w:r>
          </w:p>
        </w:tc>
        <w:tc>
          <w:tcPr>
            <w:tcW w:w="1992" w:type="dxa"/>
            <w:hideMark/>
          </w:tcPr>
          <w:p w:rsidR="0015045C" w:rsidRPr="00154F87" w:rsidRDefault="0015045C" w:rsidP="00B90422">
            <w:pPr>
              <w:jc w:val="center"/>
              <w:rPr>
                <w:sz w:val="22"/>
              </w:rPr>
            </w:pPr>
            <w:proofErr w:type="gramStart"/>
            <w:r w:rsidRPr="00154F87">
              <w:rPr>
                <w:sz w:val="22"/>
              </w:rPr>
              <w:t>1,</w:t>
            </w:r>
            <w:proofErr w:type="gramEnd"/>
            <w:r w:rsidRPr="00154F87">
              <w:rPr>
                <w:sz w:val="22"/>
              </w:rPr>
              <w:t>000</w:t>
            </w:r>
          </w:p>
        </w:tc>
        <w:tc>
          <w:tcPr>
            <w:tcW w:w="1594" w:type="dxa"/>
            <w:hideMark/>
          </w:tcPr>
          <w:p w:rsidR="0015045C" w:rsidRPr="00154F87" w:rsidRDefault="0015045C" w:rsidP="00B90422">
            <w:pPr>
              <w:jc w:val="center"/>
              <w:rPr>
                <w:sz w:val="22"/>
              </w:rPr>
            </w:pPr>
            <w:proofErr w:type="gramStart"/>
            <w:r w:rsidRPr="00154F87">
              <w:rPr>
                <w:sz w:val="22"/>
              </w:rPr>
              <w:t>7,</w:t>
            </w:r>
            <w:proofErr w:type="gramEnd"/>
            <w:r w:rsidRPr="00154F87">
              <w:rPr>
                <w:sz w:val="22"/>
              </w:rPr>
              <w:t>836</w:t>
            </w:r>
          </w:p>
        </w:tc>
        <w:tc>
          <w:tcPr>
            <w:tcW w:w="1794" w:type="dxa"/>
            <w:hideMark/>
          </w:tcPr>
          <w:p w:rsidR="0015045C" w:rsidRPr="00154F87" w:rsidRDefault="0015045C" w:rsidP="00B90422">
            <w:pPr>
              <w:spacing w:line="276" w:lineRule="auto"/>
              <w:jc w:val="center"/>
              <w:rPr>
                <w:color w:val="000000"/>
                <w:sz w:val="22"/>
                <w:szCs w:val="24"/>
                <w:lang w:val="en-CA" w:eastAsia="en-CA"/>
              </w:rPr>
            </w:pPr>
            <w:r w:rsidRPr="00154F87">
              <w:rPr>
                <w:color w:val="000000"/>
                <w:sz w:val="22"/>
                <w:szCs w:val="24"/>
                <w:lang w:val="en-CA" w:eastAsia="en-CA"/>
              </w:rPr>
              <w:t>0,005***</w:t>
            </w:r>
          </w:p>
        </w:tc>
      </w:tr>
      <w:tr w:rsidR="0015045C" w:rsidRPr="00154F87" w:rsidTr="00B90422">
        <w:trPr>
          <w:trHeight w:val="227"/>
        </w:trPr>
        <w:tc>
          <w:tcPr>
            <w:tcW w:w="3939" w:type="dxa"/>
            <w:hideMark/>
          </w:tcPr>
          <w:p w:rsidR="0015045C" w:rsidRPr="00154F87" w:rsidRDefault="0015045C" w:rsidP="00B90422">
            <w:pPr>
              <w:spacing w:line="276" w:lineRule="auto"/>
              <w:rPr>
                <w:color w:val="000000"/>
                <w:sz w:val="22"/>
                <w:szCs w:val="24"/>
                <w:lang w:val="en-CA" w:eastAsia="en-CA"/>
              </w:rPr>
            </w:pPr>
            <w:r w:rsidRPr="00154F87">
              <w:rPr>
                <w:color w:val="000000"/>
                <w:sz w:val="22"/>
                <w:szCs w:val="24"/>
                <w:lang w:val="en-CA" w:eastAsia="en-CA"/>
              </w:rPr>
              <w:t>Lagrange Multiplier (SARMA)</w:t>
            </w:r>
          </w:p>
        </w:tc>
        <w:tc>
          <w:tcPr>
            <w:tcW w:w="1992" w:type="dxa"/>
            <w:hideMark/>
          </w:tcPr>
          <w:p w:rsidR="0015045C" w:rsidRPr="00154F87" w:rsidRDefault="0015045C" w:rsidP="00B90422">
            <w:pPr>
              <w:jc w:val="center"/>
              <w:rPr>
                <w:sz w:val="22"/>
              </w:rPr>
            </w:pPr>
            <w:proofErr w:type="gramStart"/>
            <w:r w:rsidRPr="00154F87">
              <w:rPr>
                <w:sz w:val="22"/>
              </w:rPr>
              <w:t>2,</w:t>
            </w:r>
            <w:proofErr w:type="gramEnd"/>
            <w:r w:rsidRPr="00154F87">
              <w:rPr>
                <w:sz w:val="22"/>
              </w:rPr>
              <w:t>000</w:t>
            </w:r>
          </w:p>
        </w:tc>
        <w:tc>
          <w:tcPr>
            <w:tcW w:w="1594" w:type="dxa"/>
            <w:hideMark/>
          </w:tcPr>
          <w:p w:rsidR="0015045C" w:rsidRPr="00154F87" w:rsidRDefault="0015045C" w:rsidP="00B90422">
            <w:pPr>
              <w:jc w:val="center"/>
              <w:rPr>
                <w:sz w:val="22"/>
              </w:rPr>
            </w:pPr>
            <w:proofErr w:type="gramStart"/>
            <w:r w:rsidRPr="00154F87">
              <w:rPr>
                <w:sz w:val="22"/>
              </w:rPr>
              <w:t>21,</w:t>
            </w:r>
            <w:proofErr w:type="gramEnd"/>
            <w:r w:rsidRPr="00154F87">
              <w:rPr>
                <w:sz w:val="22"/>
              </w:rPr>
              <w:t>820</w:t>
            </w:r>
          </w:p>
        </w:tc>
        <w:tc>
          <w:tcPr>
            <w:tcW w:w="1794" w:type="dxa"/>
            <w:hideMark/>
          </w:tcPr>
          <w:p w:rsidR="0015045C" w:rsidRPr="00154F87" w:rsidRDefault="0015045C" w:rsidP="00B90422">
            <w:pPr>
              <w:spacing w:line="276" w:lineRule="auto"/>
              <w:jc w:val="center"/>
              <w:rPr>
                <w:sz w:val="22"/>
                <w:szCs w:val="24"/>
                <w:lang w:val="en-CA" w:eastAsia="en-CA"/>
              </w:rPr>
            </w:pPr>
            <w:r w:rsidRPr="00154F87">
              <w:rPr>
                <w:sz w:val="22"/>
                <w:szCs w:val="24"/>
                <w:lang w:val="en-CA" w:eastAsia="en-CA"/>
              </w:rPr>
              <w:t>0,000***</w:t>
            </w:r>
          </w:p>
        </w:tc>
      </w:tr>
    </w:tbl>
    <w:p w:rsidR="0015045C" w:rsidRDefault="0015045C" w:rsidP="0015045C">
      <w:pPr>
        <w:pStyle w:val="TEXTO1"/>
        <w:spacing w:line="240" w:lineRule="auto"/>
        <w:rPr>
          <w:sz w:val="20"/>
          <w:szCs w:val="24"/>
        </w:rPr>
      </w:pPr>
      <w:r w:rsidRPr="006D3E59">
        <w:rPr>
          <w:sz w:val="20"/>
          <w:szCs w:val="24"/>
        </w:rPr>
        <w:t>Fonte: Elabora</w:t>
      </w:r>
      <w:r>
        <w:rPr>
          <w:sz w:val="20"/>
          <w:szCs w:val="24"/>
        </w:rPr>
        <w:t>da</w:t>
      </w:r>
      <w:r w:rsidRPr="006D3E59">
        <w:rPr>
          <w:sz w:val="20"/>
          <w:szCs w:val="24"/>
        </w:rPr>
        <w:t xml:space="preserve"> com base nos dados da pesquisa</w:t>
      </w:r>
      <w:r>
        <w:rPr>
          <w:sz w:val="20"/>
          <w:szCs w:val="24"/>
        </w:rPr>
        <w:t xml:space="preserve"> e programa </w:t>
      </w:r>
      <w:proofErr w:type="spellStart"/>
      <w:proofErr w:type="gramStart"/>
      <w:r>
        <w:rPr>
          <w:sz w:val="20"/>
          <w:szCs w:val="24"/>
        </w:rPr>
        <w:t>SpaceStat</w:t>
      </w:r>
      <w:proofErr w:type="spellEnd"/>
      <w:proofErr w:type="gramEnd"/>
      <w:r>
        <w:rPr>
          <w:sz w:val="20"/>
          <w:szCs w:val="24"/>
        </w:rPr>
        <w:t>.</w:t>
      </w:r>
    </w:p>
    <w:p w:rsidR="0015045C" w:rsidRDefault="0015045C" w:rsidP="0006206E">
      <w:pPr>
        <w:pStyle w:val="TEXTO1"/>
        <w:spacing w:line="240" w:lineRule="auto"/>
        <w:rPr>
          <w:sz w:val="20"/>
          <w:szCs w:val="24"/>
        </w:rPr>
      </w:pPr>
      <w:r>
        <w:rPr>
          <w:sz w:val="20"/>
          <w:szCs w:val="24"/>
        </w:rPr>
        <w:t>Notas: *** significativo a 1%; ** significativo a 5%; *significativo a 10%.</w:t>
      </w:r>
    </w:p>
    <w:p w:rsidR="0015045C" w:rsidRDefault="0015045C" w:rsidP="0015045C">
      <w:pPr>
        <w:autoSpaceDE w:val="0"/>
        <w:autoSpaceDN w:val="0"/>
        <w:adjustRightInd w:val="0"/>
        <w:spacing w:after="0" w:line="240" w:lineRule="auto"/>
        <w:jc w:val="center"/>
        <w:rPr>
          <w:sz w:val="20"/>
          <w:szCs w:val="24"/>
        </w:rPr>
      </w:pPr>
    </w:p>
    <w:p w:rsidR="0015045C" w:rsidRPr="007F2451" w:rsidRDefault="0015045C" w:rsidP="0015045C">
      <w:pPr>
        <w:pStyle w:val="Legenda"/>
        <w:rPr>
          <w:rFonts w:ascii="Times New Roman" w:hAnsi="Times New Roman" w:cs="Times New Roman"/>
          <w:b w:val="0"/>
          <w:color w:val="auto"/>
          <w:sz w:val="24"/>
          <w:szCs w:val="24"/>
        </w:rPr>
      </w:pPr>
      <w:bookmarkStart w:id="68" w:name="tabela12"/>
      <w:bookmarkStart w:id="69" w:name="_Toc282373878"/>
      <w:r w:rsidRPr="007F2451">
        <w:rPr>
          <w:rFonts w:ascii="Times New Roman" w:hAnsi="Times New Roman" w:cs="Times New Roman"/>
          <w:b w:val="0"/>
          <w:color w:val="auto"/>
          <w:sz w:val="24"/>
          <w:szCs w:val="24"/>
        </w:rPr>
        <w:t xml:space="preserve">Tabela </w:t>
      </w:r>
      <w:r>
        <w:rPr>
          <w:rFonts w:ascii="Times New Roman" w:hAnsi="Times New Roman" w:cs="Times New Roman"/>
          <w:b w:val="0"/>
          <w:noProof/>
          <w:color w:val="auto"/>
          <w:sz w:val="24"/>
          <w:szCs w:val="24"/>
        </w:rPr>
        <w:t>4</w:t>
      </w:r>
      <w:bookmarkEnd w:id="68"/>
      <w:r>
        <w:rPr>
          <w:rFonts w:ascii="Times New Roman" w:hAnsi="Times New Roman" w:cs="Times New Roman"/>
          <w:b w:val="0"/>
          <w:color w:val="auto"/>
          <w:sz w:val="24"/>
          <w:szCs w:val="24"/>
        </w:rPr>
        <w:t xml:space="preserve"> -</w:t>
      </w:r>
      <w:r w:rsidRPr="007F2451">
        <w:rPr>
          <w:rFonts w:ascii="Times New Roman" w:hAnsi="Times New Roman" w:cs="Times New Roman"/>
          <w:b w:val="0"/>
          <w:color w:val="auto"/>
          <w:sz w:val="24"/>
          <w:szCs w:val="24"/>
        </w:rPr>
        <w:t xml:space="preserve"> Teste</w:t>
      </w:r>
      <w:r>
        <w:rPr>
          <w:rFonts w:ascii="Times New Roman" w:hAnsi="Times New Roman" w:cs="Times New Roman"/>
          <w:b w:val="0"/>
          <w:color w:val="auto"/>
          <w:sz w:val="24"/>
          <w:szCs w:val="24"/>
        </w:rPr>
        <w:t xml:space="preserve"> para </w:t>
      </w:r>
      <w:proofErr w:type="spellStart"/>
      <w:r w:rsidRPr="007F2451">
        <w:rPr>
          <w:rFonts w:ascii="Times New Roman" w:hAnsi="Times New Roman" w:cs="Times New Roman"/>
          <w:b w:val="0"/>
          <w:color w:val="auto"/>
          <w:sz w:val="24"/>
          <w:szCs w:val="24"/>
        </w:rPr>
        <w:t>heterocedasticidade</w:t>
      </w:r>
      <w:proofErr w:type="spellEnd"/>
      <w:r w:rsidRPr="007F2451">
        <w:rPr>
          <w:rFonts w:ascii="Times New Roman" w:hAnsi="Times New Roman" w:cs="Times New Roman"/>
          <w:b w:val="0"/>
          <w:color w:val="auto"/>
          <w:sz w:val="24"/>
          <w:szCs w:val="24"/>
        </w:rPr>
        <w:t xml:space="preserve"> com defasagem espacial</w:t>
      </w:r>
      <w:r>
        <w:rPr>
          <w:rFonts w:ascii="Times New Roman" w:hAnsi="Times New Roman" w:cs="Times New Roman"/>
          <w:b w:val="0"/>
          <w:color w:val="auto"/>
          <w:sz w:val="24"/>
          <w:szCs w:val="24"/>
        </w:rPr>
        <w:t xml:space="preserve"> e dependência espacial</w:t>
      </w:r>
      <w:bookmarkEnd w:id="69"/>
      <w:r w:rsidR="0006206E">
        <w:rPr>
          <w:rFonts w:ascii="Times New Roman" w:hAnsi="Times New Roman" w:cs="Times New Roman"/>
          <w:b w:val="0"/>
          <w:color w:val="auto"/>
          <w:sz w:val="24"/>
          <w:szCs w:val="24"/>
        </w:rPr>
        <w:t xml:space="preserve"> (rural)</w:t>
      </w:r>
    </w:p>
    <w:tbl>
      <w:tblPr>
        <w:tblStyle w:val="Oficial"/>
        <w:tblW w:w="5000" w:type="pct"/>
        <w:tblLook w:val="04A0"/>
      </w:tblPr>
      <w:tblGrid>
        <w:gridCol w:w="5118"/>
        <w:gridCol w:w="836"/>
        <w:gridCol w:w="2057"/>
        <w:gridCol w:w="2409"/>
      </w:tblGrid>
      <w:tr w:rsidR="0015045C" w:rsidRPr="0032068E" w:rsidTr="00B90422">
        <w:trPr>
          <w:cnfStyle w:val="100000000000"/>
          <w:trHeight w:val="454"/>
        </w:trPr>
        <w:tc>
          <w:tcPr>
            <w:tcW w:w="2456" w:type="pct"/>
            <w:vAlign w:val="center"/>
            <w:hideMark/>
          </w:tcPr>
          <w:p w:rsidR="0015045C" w:rsidRPr="0032068E" w:rsidRDefault="0015045C" w:rsidP="00B90422">
            <w:pPr>
              <w:spacing w:line="276" w:lineRule="auto"/>
              <w:jc w:val="center"/>
              <w:rPr>
                <w:bCs/>
                <w:color w:val="000000"/>
                <w:szCs w:val="24"/>
                <w:lang w:val="en-CA" w:eastAsia="en-CA"/>
              </w:rPr>
            </w:pPr>
            <w:proofErr w:type="spellStart"/>
            <w:r w:rsidRPr="0032068E">
              <w:rPr>
                <w:bCs/>
                <w:color w:val="000000"/>
                <w:szCs w:val="24"/>
                <w:lang w:val="en-CA" w:eastAsia="en-CA"/>
              </w:rPr>
              <w:t>Teste</w:t>
            </w:r>
            <w:proofErr w:type="spellEnd"/>
          </w:p>
        </w:tc>
        <w:tc>
          <w:tcPr>
            <w:tcW w:w="401" w:type="pct"/>
            <w:noWrap/>
            <w:vAlign w:val="center"/>
            <w:hideMark/>
          </w:tcPr>
          <w:p w:rsidR="0015045C" w:rsidRPr="0032068E" w:rsidRDefault="0015045C" w:rsidP="00B90422">
            <w:pPr>
              <w:spacing w:line="276" w:lineRule="auto"/>
              <w:jc w:val="center"/>
              <w:rPr>
                <w:color w:val="000000"/>
                <w:szCs w:val="24"/>
                <w:lang w:val="en-CA" w:eastAsia="en-CA"/>
              </w:rPr>
            </w:pPr>
            <w:r w:rsidRPr="0032068E">
              <w:rPr>
                <w:color w:val="000000"/>
                <w:szCs w:val="24"/>
                <w:lang w:val="en-CA" w:eastAsia="en-CA"/>
              </w:rPr>
              <w:t>GL</w:t>
            </w:r>
          </w:p>
        </w:tc>
        <w:tc>
          <w:tcPr>
            <w:tcW w:w="987" w:type="pct"/>
            <w:noWrap/>
            <w:vAlign w:val="center"/>
            <w:hideMark/>
          </w:tcPr>
          <w:p w:rsidR="0015045C" w:rsidRPr="0032068E" w:rsidRDefault="0015045C" w:rsidP="00B90422">
            <w:pPr>
              <w:spacing w:line="276" w:lineRule="auto"/>
              <w:jc w:val="center"/>
              <w:rPr>
                <w:color w:val="000000"/>
                <w:szCs w:val="24"/>
                <w:lang w:val="en-CA" w:eastAsia="en-CA"/>
              </w:rPr>
            </w:pPr>
            <w:proofErr w:type="spellStart"/>
            <w:r w:rsidRPr="0032068E">
              <w:rPr>
                <w:color w:val="000000"/>
                <w:szCs w:val="24"/>
                <w:lang w:val="en-CA" w:eastAsia="en-CA"/>
              </w:rPr>
              <w:t>Coeficiente</w:t>
            </w:r>
            <w:proofErr w:type="spellEnd"/>
          </w:p>
        </w:tc>
        <w:tc>
          <w:tcPr>
            <w:tcW w:w="1157" w:type="pct"/>
            <w:noWrap/>
            <w:vAlign w:val="center"/>
            <w:hideMark/>
          </w:tcPr>
          <w:p w:rsidR="0015045C" w:rsidRPr="0032068E" w:rsidRDefault="0015045C" w:rsidP="00B90422">
            <w:pPr>
              <w:spacing w:line="276" w:lineRule="auto"/>
              <w:jc w:val="center"/>
              <w:rPr>
                <w:color w:val="000000"/>
                <w:szCs w:val="24"/>
                <w:lang w:val="en-CA" w:eastAsia="en-CA"/>
              </w:rPr>
            </w:pPr>
            <w:proofErr w:type="spellStart"/>
            <w:r w:rsidRPr="0032068E">
              <w:rPr>
                <w:color w:val="000000"/>
                <w:szCs w:val="24"/>
                <w:lang w:val="en-CA" w:eastAsia="en-CA"/>
              </w:rPr>
              <w:t>Probabilidade</w:t>
            </w:r>
            <w:proofErr w:type="spellEnd"/>
          </w:p>
        </w:tc>
      </w:tr>
      <w:tr w:rsidR="0015045C" w:rsidRPr="00FA4B28" w:rsidTr="00B90422">
        <w:trPr>
          <w:trHeight w:val="20"/>
        </w:trPr>
        <w:tc>
          <w:tcPr>
            <w:tcW w:w="2456" w:type="pct"/>
            <w:vAlign w:val="center"/>
            <w:hideMark/>
          </w:tcPr>
          <w:p w:rsidR="0015045C" w:rsidRPr="0032068E" w:rsidRDefault="0015045C" w:rsidP="00B90422">
            <w:pPr>
              <w:spacing w:line="276" w:lineRule="auto"/>
              <w:rPr>
                <w:rFonts w:eastAsia="Times New Roman" w:cs="Times New Roman"/>
                <w:bCs/>
                <w:szCs w:val="24"/>
                <w:lang w:val="en-CA" w:eastAsia="en-CA"/>
              </w:rPr>
            </w:pPr>
            <w:proofErr w:type="spellStart"/>
            <w:r w:rsidRPr="0032068E">
              <w:rPr>
                <w:rFonts w:eastAsia="Times New Roman" w:cs="Times New Roman"/>
                <w:bCs/>
                <w:szCs w:val="24"/>
                <w:lang w:val="en-CA" w:eastAsia="en-CA"/>
              </w:rPr>
              <w:t>Breusch</w:t>
            </w:r>
            <w:proofErr w:type="spellEnd"/>
            <w:r w:rsidRPr="0032068E">
              <w:rPr>
                <w:rFonts w:eastAsia="Times New Roman" w:cs="Times New Roman"/>
                <w:bCs/>
                <w:szCs w:val="24"/>
                <w:lang w:val="en-CA" w:eastAsia="en-CA"/>
              </w:rPr>
              <w:t>-Pagan Test</w:t>
            </w:r>
          </w:p>
        </w:tc>
        <w:tc>
          <w:tcPr>
            <w:tcW w:w="401" w:type="pct"/>
            <w:vAlign w:val="center"/>
            <w:hideMark/>
          </w:tcPr>
          <w:p w:rsidR="0015045C" w:rsidRPr="00F96B7A" w:rsidRDefault="0015045C" w:rsidP="00B90422">
            <w:pPr>
              <w:spacing w:line="276" w:lineRule="auto"/>
              <w:jc w:val="center"/>
              <w:rPr>
                <w:color w:val="000000"/>
                <w:szCs w:val="24"/>
              </w:rPr>
            </w:pPr>
            <w:r w:rsidRPr="00F96B7A">
              <w:rPr>
                <w:color w:val="000000"/>
                <w:szCs w:val="24"/>
              </w:rPr>
              <w:t>1</w:t>
            </w:r>
            <w:r>
              <w:rPr>
                <w:color w:val="000000"/>
                <w:szCs w:val="24"/>
              </w:rPr>
              <w:t>2</w:t>
            </w:r>
          </w:p>
        </w:tc>
        <w:tc>
          <w:tcPr>
            <w:tcW w:w="987" w:type="pct"/>
            <w:vAlign w:val="center"/>
            <w:hideMark/>
          </w:tcPr>
          <w:p w:rsidR="0015045C" w:rsidRPr="00F96B7A" w:rsidRDefault="0015045C" w:rsidP="00B90422">
            <w:pPr>
              <w:spacing w:line="276" w:lineRule="auto"/>
              <w:jc w:val="center"/>
              <w:rPr>
                <w:color w:val="000000"/>
                <w:szCs w:val="24"/>
              </w:rPr>
            </w:pPr>
            <w:r>
              <w:rPr>
                <w:color w:val="000000"/>
                <w:szCs w:val="24"/>
              </w:rPr>
              <w:t>17,09</w:t>
            </w:r>
          </w:p>
        </w:tc>
        <w:tc>
          <w:tcPr>
            <w:tcW w:w="1157" w:type="pct"/>
            <w:vAlign w:val="center"/>
            <w:hideMark/>
          </w:tcPr>
          <w:p w:rsidR="0015045C" w:rsidRPr="00F96B7A" w:rsidRDefault="0015045C" w:rsidP="00B90422">
            <w:pPr>
              <w:spacing w:line="276" w:lineRule="auto"/>
              <w:jc w:val="center"/>
              <w:rPr>
                <w:color w:val="000000"/>
                <w:szCs w:val="24"/>
              </w:rPr>
            </w:pPr>
            <w:r w:rsidRPr="00F96B7A">
              <w:rPr>
                <w:color w:val="000000"/>
                <w:szCs w:val="24"/>
              </w:rPr>
              <w:t>0</w:t>
            </w:r>
            <w:r>
              <w:rPr>
                <w:color w:val="000000"/>
                <w:szCs w:val="24"/>
              </w:rPr>
              <w:t>,10*</w:t>
            </w:r>
            <w:r w:rsidRPr="00054DF8">
              <w:rPr>
                <w:color w:val="FFFFFF" w:themeColor="background1"/>
                <w:szCs w:val="24"/>
              </w:rPr>
              <w:t>00</w:t>
            </w:r>
          </w:p>
        </w:tc>
      </w:tr>
      <w:tr w:rsidR="0015045C" w:rsidRPr="00FA4B28" w:rsidTr="00B90422">
        <w:trPr>
          <w:trHeight w:val="20"/>
        </w:trPr>
        <w:tc>
          <w:tcPr>
            <w:tcW w:w="2456" w:type="pct"/>
            <w:vAlign w:val="center"/>
            <w:hideMark/>
          </w:tcPr>
          <w:p w:rsidR="0015045C" w:rsidRPr="0032068E" w:rsidRDefault="0015045C" w:rsidP="00B90422">
            <w:pPr>
              <w:spacing w:line="276" w:lineRule="auto"/>
              <w:rPr>
                <w:rFonts w:eastAsia="Times New Roman" w:cs="Times New Roman"/>
                <w:bCs/>
                <w:szCs w:val="24"/>
                <w:lang w:val="en-CA" w:eastAsia="en-CA"/>
              </w:rPr>
            </w:pPr>
            <w:r w:rsidRPr="0032068E">
              <w:rPr>
                <w:rFonts w:eastAsia="Times New Roman" w:cs="Times New Roman"/>
                <w:bCs/>
                <w:szCs w:val="24"/>
                <w:lang w:val="en-CA" w:eastAsia="en-CA"/>
              </w:rPr>
              <w:t>Spatial B-P Test</w:t>
            </w:r>
          </w:p>
        </w:tc>
        <w:tc>
          <w:tcPr>
            <w:tcW w:w="401" w:type="pct"/>
            <w:vAlign w:val="center"/>
            <w:hideMark/>
          </w:tcPr>
          <w:p w:rsidR="0015045C" w:rsidRPr="00F96B7A" w:rsidRDefault="0015045C" w:rsidP="00B90422">
            <w:pPr>
              <w:spacing w:line="276" w:lineRule="auto"/>
              <w:jc w:val="center"/>
              <w:rPr>
                <w:color w:val="000000"/>
                <w:szCs w:val="24"/>
              </w:rPr>
            </w:pPr>
            <w:r w:rsidRPr="00F96B7A">
              <w:rPr>
                <w:color w:val="000000"/>
                <w:szCs w:val="24"/>
              </w:rPr>
              <w:t>1</w:t>
            </w:r>
            <w:r>
              <w:rPr>
                <w:color w:val="000000"/>
                <w:szCs w:val="24"/>
              </w:rPr>
              <w:t>2</w:t>
            </w:r>
          </w:p>
        </w:tc>
        <w:tc>
          <w:tcPr>
            <w:tcW w:w="987" w:type="pct"/>
            <w:vAlign w:val="center"/>
            <w:hideMark/>
          </w:tcPr>
          <w:p w:rsidR="0015045C" w:rsidRPr="00F96B7A" w:rsidRDefault="0015045C" w:rsidP="00B90422">
            <w:pPr>
              <w:spacing w:line="276" w:lineRule="auto"/>
              <w:jc w:val="center"/>
              <w:rPr>
                <w:color w:val="000000"/>
                <w:szCs w:val="24"/>
              </w:rPr>
            </w:pPr>
            <w:r>
              <w:rPr>
                <w:color w:val="000000"/>
                <w:szCs w:val="24"/>
              </w:rPr>
              <w:t>17,09</w:t>
            </w:r>
          </w:p>
        </w:tc>
        <w:tc>
          <w:tcPr>
            <w:tcW w:w="1157" w:type="pct"/>
            <w:vAlign w:val="center"/>
            <w:hideMark/>
          </w:tcPr>
          <w:p w:rsidR="0015045C" w:rsidRPr="00F96B7A" w:rsidRDefault="0015045C" w:rsidP="00B90422">
            <w:pPr>
              <w:spacing w:line="276" w:lineRule="auto"/>
              <w:jc w:val="center"/>
              <w:rPr>
                <w:color w:val="000000"/>
                <w:szCs w:val="24"/>
              </w:rPr>
            </w:pPr>
            <w:r>
              <w:rPr>
                <w:color w:val="000000"/>
                <w:szCs w:val="24"/>
              </w:rPr>
              <w:t>0,1</w:t>
            </w:r>
            <w:r w:rsidRPr="00F96B7A">
              <w:rPr>
                <w:color w:val="000000"/>
                <w:szCs w:val="24"/>
              </w:rPr>
              <w:t>0</w:t>
            </w:r>
            <w:r>
              <w:rPr>
                <w:color w:val="000000"/>
                <w:szCs w:val="24"/>
              </w:rPr>
              <w:t>*</w:t>
            </w:r>
            <w:r w:rsidRPr="00054DF8">
              <w:rPr>
                <w:color w:val="FFFFFF" w:themeColor="background1"/>
                <w:szCs w:val="24"/>
              </w:rPr>
              <w:t>00</w:t>
            </w:r>
          </w:p>
        </w:tc>
      </w:tr>
      <w:tr w:rsidR="0015045C" w:rsidRPr="00FA4B28" w:rsidTr="00B90422">
        <w:trPr>
          <w:trHeight w:val="20"/>
        </w:trPr>
        <w:tc>
          <w:tcPr>
            <w:tcW w:w="2456" w:type="pct"/>
            <w:vAlign w:val="center"/>
            <w:hideMark/>
          </w:tcPr>
          <w:p w:rsidR="0015045C" w:rsidRPr="0032068E" w:rsidRDefault="0015045C" w:rsidP="00B90422">
            <w:pPr>
              <w:rPr>
                <w:rFonts w:eastAsia="Times New Roman" w:cs="Times New Roman"/>
                <w:bCs/>
                <w:szCs w:val="24"/>
                <w:lang w:val="en-CA" w:eastAsia="en-CA"/>
              </w:rPr>
            </w:pPr>
            <w:r w:rsidRPr="0032068E">
              <w:rPr>
                <w:rFonts w:eastAsia="Times New Roman" w:cs="Times New Roman"/>
                <w:bCs/>
                <w:szCs w:val="24"/>
                <w:lang w:val="en-CA" w:eastAsia="en-CA"/>
              </w:rPr>
              <w:t>Likelihood Ratio (LR)</w:t>
            </w:r>
          </w:p>
        </w:tc>
        <w:tc>
          <w:tcPr>
            <w:tcW w:w="401" w:type="pct"/>
            <w:vAlign w:val="center"/>
            <w:hideMark/>
          </w:tcPr>
          <w:p w:rsidR="0015045C" w:rsidRPr="00F96B7A" w:rsidRDefault="0015045C" w:rsidP="00B90422">
            <w:pPr>
              <w:spacing w:line="276" w:lineRule="auto"/>
              <w:jc w:val="center"/>
              <w:rPr>
                <w:bCs/>
                <w:szCs w:val="24"/>
                <w:lang w:val="en-CA" w:eastAsia="en-CA"/>
              </w:rPr>
            </w:pPr>
            <w:r>
              <w:rPr>
                <w:bCs/>
                <w:szCs w:val="24"/>
                <w:lang w:val="en-CA" w:eastAsia="en-CA"/>
              </w:rPr>
              <w:t>1</w:t>
            </w:r>
          </w:p>
        </w:tc>
        <w:tc>
          <w:tcPr>
            <w:tcW w:w="987" w:type="pct"/>
            <w:vAlign w:val="center"/>
            <w:hideMark/>
          </w:tcPr>
          <w:p w:rsidR="0015045C" w:rsidRPr="00F96B7A" w:rsidRDefault="0015045C" w:rsidP="00B90422">
            <w:pPr>
              <w:spacing w:line="276" w:lineRule="auto"/>
              <w:jc w:val="center"/>
              <w:rPr>
                <w:color w:val="000000"/>
                <w:szCs w:val="24"/>
              </w:rPr>
            </w:pPr>
            <w:r>
              <w:rPr>
                <w:color w:val="000000"/>
                <w:szCs w:val="24"/>
              </w:rPr>
              <w:t>15,88</w:t>
            </w:r>
          </w:p>
        </w:tc>
        <w:tc>
          <w:tcPr>
            <w:tcW w:w="1157" w:type="pct"/>
            <w:vAlign w:val="center"/>
            <w:hideMark/>
          </w:tcPr>
          <w:p w:rsidR="0015045C" w:rsidRPr="00F96B7A" w:rsidRDefault="0015045C" w:rsidP="00B90422">
            <w:pPr>
              <w:spacing w:line="276" w:lineRule="auto"/>
              <w:jc w:val="center"/>
              <w:rPr>
                <w:color w:val="000000"/>
                <w:szCs w:val="24"/>
              </w:rPr>
            </w:pPr>
            <w:r w:rsidRPr="00F96B7A">
              <w:rPr>
                <w:color w:val="000000"/>
                <w:szCs w:val="24"/>
              </w:rPr>
              <w:t>0</w:t>
            </w:r>
            <w:r>
              <w:rPr>
                <w:color w:val="000000"/>
                <w:szCs w:val="24"/>
              </w:rPr>
              <w:t>,00***</w:t>
            </w:r>
          </w:p>
        </w:tc>
      </w:tr>
      <w:tr w:rsidR="0015045C" w:rsidRPr="00FA4B28" w:rsidTr="00B90422">
        <w:trPr>
          <w:trHeight w:val="20"/>
        </w:trPr>
        <w:tc>
          <w:tcPr>
            <w:tcW w:w="2456" w:type="pct"/>
            <w:vAlign w:val="center"/>
            <w:hideMark/>
          </w:tcPr>
          <w:p w:rsidR="0015045C" w:rsidRPr="0032068E" w:rsidRDefault="0015045C" w:rsidP="00B90422">
            <w:pPr>
              <w:rPr>
                <w:rFonts w:eastAsia="Times New Roman" w:cs="Times New Roman"/>
                <w:bCs/>
                <w:szCs w:val="24"/>
                <w:lang w:val="en-CA" w:eastAsia="en-CA"/>
              </w:rPr>
            </w:pPr>
            <w:proofErr w:type="spellStart"/>
            <w:r w:rsidRPr="0032068E">
              <w:rPr>
                <w:rFonts w:eastAsia="Times New Roman" w:cs="Times New Roman"/>
                <w:bCs/>
                <w:szCs w:val="24"/>
                <w:lang w:val="en-CA" w:eastAsia="en-CA"/>
              </w:rPr>
              <w:t>Multiplicador</w:t>
            </w:r>
            <w:proofErr w:type="spellEnd"/>
            <w:r w:rsidRPr="0032068E">
              <w:rPr>
                <w:rFonts w:eastAsia="Times New Roman" w:cs="Times New Roman"/>
                <w:bCs/>
                <w:szCs w:val="24"/>
                <w:lang w:val="en-CA" w:eastAsia="en-CA"/>
              </w:rPr>
              <w:t xml:space="preserve"> de </w:t>
            </w:r>
            <w:proofErr w:type="spellStart"/>
            <w:r w:rsidRPr="0032068E">
              <w:rPr>
                <w:rFonts w:eastAsia="Times New Roman" w:cs="Times New Roman"/>
                <w:bCs/>
                <w:szCs w:val="24"/>
                <w:lang w:val="en-CA" w:eastAsia="en-CA"/>
              </w:rPr>
              <w:t>lagrange</w:t>
            </w:r>
            <w:proofErr w:type="spellEnd"/>
            <w:r w:rsidRPr="0032068E">
              <w:rPr>
                <w:rFonts w:eastAsia="Times New Roman" w:cs="Times New Roman"/>
                <w:bCs/>
                <w:szCs w:val="24"/>
                <w:lang w:val="en-CA" w:eastAsia="en-CA"/>
              </w:rPr>
              <w:t xml:space="preserve"> (ML)</w:t>
            </w:r>
          </w:p>
        </w:tc>
        <w:tc>
          <w:tcPr>
            <w:tcW w:w="401" w:type="pct"/>
            <w:vAlign w:val="center"/>
            <w:hideMark/>
          </w:tcPr>
          <w:p w:rsidR="0015045C" w:rsidRDefault="0015045C" w:rsidP="00B90422">
            <w:pPr>
              <w:spacing w:line="276" w:lineRule="auto"/>
              <w:jc w:val="center"/>
              <w:rPr>
                <w:bCs/>
                <w:szCs w:val="24"/>
                <w:lang w:val="en-CA" w:eastAsia="en-CA"/>
              </w:rPr>
            </w:pPr>
            <w:r>
              <w:rPr>
                <w:bCs/>
                <w:szCs w:val="24"/>
                <w:lang w:val="en-CA" w:eastAsia="en-CA"/>
              </w:rPr>
              <w:t>1</w:t>
            </w:r>
          </w:p>
        </w:tc>
        <w:tc>
          <w:tcPr>
            <w:tcW w:w="987" w:type="pct"/>
            <w:vAlign w:val="center"/>
            <w:hideMark/>
          </w:tcPr>
          <w:p w:rsidR="0015045C" w:rsidRPr="00F96B7A" w:rsidRDefault="0015045C" w:rsidP="00B90422">
            <w:pPr>
              <w:spacing w:line="276" w:lineRule="auto"/>
              <w:jc w:val="center"/>
              <w:rPr>
                <w:color w:val="000000"/>
                <w:szCs w:val="24"/>
              </w:rPr>
            </w:pPr>
            <w:r>
              <w:rPr>
                <w:color w:val="000000"/>
                <w:szCs w:val="24"/>
              </w:rPr>
              <w:t>0,16</w:t>
            </w:r>
          </w:p>
        </w:tc>
        <w:tc>
          <w:tcPr>
            <w:tcW w:w="1157" w:type="pct"/>
            <w:vAlign w:val="center"/>
            <w:hideMark/>
          </w:tcPr>
          <w:p w:rsidR="0015045C" w:rsidRPr="00F96B7A" w:rsidRDefault="0015045C" w:rsidP="00B90422">
            <w:pPr>
              <w:spacing w:line="276" w:lineRule="auto"/>
              <w:jc w:val="center"/>
              <w:rPr>
                <w:color w:val="000000"/>
                <w:szCs w:val="24"/>
              </w:rPr>
            </w:pPr>
            <w:proofErr w:type="gramStart"/>
            <w:r>
              <w:rPr>
                <w:color w:val="000000"/>
                <w:szCs w:val="24"/>
              </w:rPr>
              <w:t>0,</w:t>
            </w:r>
            <w:proofErr w:type="gramEnd"/>
            <w:r>
              <w:rPr>
                <w:color w:val="000000"/>
                <w:szCs w:val="24"/>
              </w:rPr>
              <w:t>69</w:t>
            </w:r>
            <w:r w:rsidRPr="00054DF8">
              <w:rPr>
                <w:color w:val="FFFFFF" w:themeColor="background1"/>
                <w:szCs w:val="24"/>
              </w:rPr>
              <w:t>0</w:t>
            </w:r>
            <w:r>
              <w:rPr>
                <w:color w:val="FFFFFF" w:themeColor="background1"/>
                <w:szCs w:val="24"/>
              </w:rPr>
              <w:t>0</w:t>
            </w:r>
            <w:r w:rsidRPr="00054DF8">
              <w:rPr>
                <w:color w:val="FFFFFF" w:themeColor="background1"/>
                <w:szCs w:val="24"/>
              </w:rPr>
              <w:t>0</w:t>
            </w:r>
          </w:p>
        </w:tc>
      </w:tr>
    </w:tbl>
    <w:p w:rsidR="0015045C" w:rsidRDefault="0015045C" w:rsidP="0015045C">
      <w:pPr>
        <w:pStyle w:val="TEXTO1"/>
        <w:spacing w:line="240" w:lineRule="auto"/>
        <w:rPr>
          <w:sz w:val="20"/>
          <w:szCs w:val="24"/>
        </w:rPr>
      </w:pPr>
      <w:r w:rsidRPr="006D3E59">
        <w:rPr>
          <w:sz w:val="20"/>
          <w:szCs w:val="24"/>
        </w:rPr>
        <w:t>Fonte: Elabora</w:t>
      </w:r>
      <w:r>
        <w:rPr>
          <w:sz w:val="20"/>
          <w:szCs w:val="24"/>
        </w:rPr>
        <w:t>da</w:t>
      </w:r>
      <w:r w:rsidRPr="006D3E59">
        <w:rPr>
          <w:sz w:val="20"/>
          <w:szCs w:val="24"/>
        </w:rPr>
        <w:t xml:space="preserve"> com base nos dados da pesquisa</w:t>
      </w:r>
      <w:r>
        <w:rPr>
          <w:sz w:val="20"/>
          <w:szCs w:val="24"/>
        </w:rPr>
        <w:t xml:space="preserve"> e programa </w:t>
      </w:r>
      <w:proofErr w:type="spellStart"/>
      <w:proofErr w:type="gramStart"/>
      <w:r>
        <w:rPr>
          <w:sz w:val="20"/>
          <w:szCs w:val="24"/>
        </w:rPr>
        <w:t>SpaceStat</w:t>
      </w:r>
      <w:proofErr w:type="spellEnd"/>
      <w:proofErr w:type="gramEnd"/>
      <w:r>
        <w:rPr>
          <w:sz w:val="20"/>
          <w:szCs w:val="24"/>
        </w:rPr>
        <w:t>.</w:t>
      </w:r>
    </w:p>
    <w:p w:rsidR="0015045C" w:rsidRDefault="0015045C" w:rsidP="0015045C">
      <w:pPr>
        <w:pStyle w:val="TEXTO1"/>
        <w:spacing w:after="200" w:line="240" w:lineRule="auto"/>
        <w:rPr>
          <w:sz w:val="20"/>
          <w:szCs w:val="24"/>
        </w:rPr>
      </w:pPr>
      <w:r>
        <w:rPr>
          <w:sz w:val="20"/>
          <w:szCs w:val="24"/>
        </w:rPr>
        <w:t>Notas: *** significativo a 1%; ** significativo a 5%; *significativo a 10%.</w:t>
      </w:r>
    </w:p>
    <w:p w:rsidR="0006206E" w:rsidRPr="007F2451" w:rsidRDefault="0006206E" w:rsidP="0006206E">
      <w:pPr>
        <w:pStyle w:val="Legenda"/>
        <w:spacing w:after="0"/>
        <w:ind w:left="1276" w:hanging="1276"/>
        <w:rPr>
          <w:rFonts w:ascii="Times New Roman" w:hAnsi="Times New Roman" w:cs="Times New Roman"/>
          <w:b w:val="0"/>
          <w:color w:val="auto"/>
          <w:sz w:val="24"/>
          <w:szCs w:val="24"/>
        </w:rPr>
      </w:pPr>
      <w:bookmarkStart w:id="70" w:name="_Ref275867268"/>
      <w:bookmarkStart w:id="71" w:name="_Toc282373884"/>
      <w:proofErr w:type="gramStart"/>
      <w:r w:rsidRPr="007F2451">
        <w:rPr>
          <w:rFonts w:ascii="Times New Roman" w:hAnsi="Times New Roman" w:cs="Times New Roman"/>
          <w:b w:val="0"/>
          <w:color w:val="auto"/>
          <w:sz w:val="24"/>
          <w:szCs w:val="24"/>
        </w:rPr>
        <w:t xml:space="preserve">Tabela </w:t>
      </w:r>
      <w:r w:rsidR="00212729">
        <w:rPr>
          <w:rFonts w:ascii="Times New Roman" w:hAnsi="Times New Roman" w:cs="Times New Roman"/>
          <w:b w:val="0"/>
          <w:color w:val="auto"/>
          <w:sz w:val="24"/>
          <w:szCs w:val="24"/>
        </w:rPr>
        <w:t>5</w:t>
      </w:r>
      <w:bookmarkEnd w:id="70"/>
      <w:r>
        <w:rPr>
          <w:rFonts w:ascii="Times New Roman" w:hAnsi="Times New Roman" w:cs="Times New Roman"/>
          <w:b w:val="0"/>
          <w:color w:val="auto"/>
          <w:sz w:val="24"/>
          <w:szCs w:val="24"/>
        </w:rPr>
        <w:t xml:space="preserve"> -</w:t>
      </w:r>
      <w:r w:rsidRPr="007F245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Diagnóstico de </w:t>
      </w:r>
      <w:r w:rsidRPr="007F2451">
        <w:rPr>
          <w:rFonts w:ascii="Times New Roman" w:hAnsi="Times New Roman" w:cs="Times New Roman"/>
          <w:b w:val="0"/>
          <w:color w:val="auto"/>
          <w:sz w:val="24"/>
          <w:szCs w:val="24"/>
        </w:rPr>
        <w:t>dependência espacial</w:t>
      </w:r>
      <w:r w:rsidRPr="00287B4B">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na estimativa para a população </w:t>
      </w:r>
      <w:r w:rsidRPr="007F2451">
        <w:rPr>
          <w:rFonts w:ascii="Times New Roman" w:hAnsi="Times New Roman" w:cs="Times New Roman"/>
          <w:b w:val="0"/>
          <w:color w:val="auto"/>
          <w:sz w:val="24"/>
          <w:szCs w:val="24"/>
        </w:rPr>
        <w:t>urban</w:t>
      </w:r>
      <w:r>
        <w:rPr>
          <w:rFonts w:ascii="Times New Roman" w:hAnsi="Times New Roman" w:cs="Times New Roman"/>
          <w:b w:val="0"/>
          <w:color w:val="auto"/>
          <w:sz w:val="24"/>
          <w:szCs w:val="24"/>
        </w:rPr>
        <w:t>a</w:t>
      </w:r>
      <w:bookmarkEnd w:id="71"/>
      <w:proofErr w:type="gramEnd"/>
    </w:p>
    <w:tbl>
      <w:tblPr>
        <w:tblStyle w:val="Oficial"/>
        <w:tblW w:w="9319" w:type="dxa"/>
        <w:tblLook w:val="04A0"/>
      </w:tblPr>
      <w:tblGrid>
        <w:gridCol w:w="3939"/>
        <w:gridCol w:w="1992"/>
        <w:gridCol w:w="1594"/>
        <w:gridCol w:w="1794"/>
      </w:tblGrid>
      <w:tr w:rsidR="0006206E" w:rsidRPr="004C19BC" w:rsidTr="00B90422">
        <w:trPr>
          <w:cnfStyle w:val="100000000000"/>
          <w:trHeight w:val="454"/>
        </w:trPr>
        <w:tc>
          <w:tcPr>
            <w:tcW w:w="3939" w:type="dxa"/>
            <w:vAlign w:val="center"/>
            <w:hideMark/>
          </w:tcPr>
          <w:p w:rsidR="0006206E" w:rsidRPr="004C19BC" w:rsidRDefault="0006206E" w:rsidP="00B90422">
            <w:pPr>
              <w:jc w:val="center"/>
              <w:rPr>
                <w:color w:val="000000"/>
                <w:szCs w:val="24"/>
                <w:lang w:val="en-CA" w:eastAsia="en-CA"/>
              </w:rPr>
            </w:pPr>
            <w:r w:rsidRPr="004C19BC">
              <w:rPr>
                <w:color w:val="000000"/>
                <w:szCs w:val="24"/>
                <w:lang w:val="en-CA" w:eastAsia="en-CA"/>
              </w:rPr>
              <w:t>Test</w:t>
            </w:r>
          </w:p>
        </w:tc>
        <w:tc>
          <w:tcPr>
            <w:tcW w:w="1992" w:type="dxa"/>
            <w:vAlign w:val="center"/>
            <w:hideMark/>
          </w:tcPr>
          <w:p w:rsidR="0006206E" w:rsidRPr="004C19BC" w:rsidRDefault="0006206E" w:rsidP="00B90422">
            <w:pPr>
              <w:jc w:val="center"/>
              <w:rPr>
                <w:color w:val="000000"/>
                <w:szCs w:val="24"/>
                <w:lang w:val="en-CA" w:eastAsia="en-CA"/>
              </w:rPr>
            </w:pPr>
            <w:r w:rsidRPr="004C19BC">
              <w:rPr>
                <w:color w:val="000000"/>
                <w:szCs w:val="24"/>
                <w:lang w:val="en-CA" w:eastAsia="en-CA"/>
              </w:rPr>
              <w:t>MI/DF</w:t>
            </w:r>
          </w:p>
        </w:tc>
        <w:tc>
          <w:tcPr>
            <w:tcW w:w="1594" w:type="dxa"/>
            <w:vAlign w:val="center"/>
            <w:hideMark/>
          </w:tcPr>
          <w:p w:rsidR="0006206E" w:rsidRPr="004C19BC" w:rsidRDefault="0006206E" w:rsidP="00B90422">
            <w:pPr>
              <w:jc w:val="center"/>
              <w:rPr>
                <w:color w:val="000000"/>
                <w:szCs w:val="24"/>
                <w:lang w:val="en-CA" w:eastAsia="en-CA"/>
              </w:rPr>
            </w:pPr>
            <w:proofErr w:type="spellStart"/>
            <w:r w:rsidRPr="004C19BC">
              <w:rPr>
                <w:color w:val="000000"/>
                <w:szCs w:val="24"/>
                <w:lang w:val="en-CA" w:eastAsia="en-CA"/>
              </w:rPr>
              <w:t>Valor</w:t>
            </w:r>
            <w:proofErr w:type="spellEnd"/>
          </w:p>
        </w:tc>
        <w:tc>
          <w:tcPr>
            <w:tcW w:w="1794" w:type="dxa"/>
            <w:vAlign w:val="center"/>
            <w:hideMark/>
          </w:tcPr>
          <w:p w:rsidR="0006206E" w:rsidRPr="004C19BC" w:rsidRDefault="0006206E" w:rsidP="00B90422">
            <w:pPr>
              <w:jc w:val="center"/>
              <w:rPr>
                <w:color w:val="000000"/>
                <w:szCs w:val="24"/>
                <w:lang w:val="en-CA" w:eastAsia="en-CA"/>
              </w:rPr>
            </w:pPr>
            <w:proofErr w:type="spellStart"/>
            <w:r w:rsidRPr="004C19BC">
              <w:rPr>
                <w:color w:val="000000"/>
                <w:szCs w:val="24"/>
                <w:lang w:val="en-CA" w:eastAsia="en-CA"/>
              </w:rPr>
              <w:t>Probabilidade</w:t>
            </w:r>
            <w:proofErr w:type="spellEnd"/>
          </w:p>
        </w:tc>
      </w:tr>
      <w:tr w:rsidR="0006206E" w:rsidRPr="004C19BC" w:rsidTr="00B90422">
        <w:trPr>
          <w:trHeight w:val="333"/>
        </w:trPr>
        <w:tc>
          <w:tcPr>
            <w:tcW w:w="3939" w:type="dxa"/>
            <w:hideMark/>
          </w:tcPr>
          <w:p w:rsidR="0006206E" w:rsidRPr="004C19BC" w:rsidRDefault="0006206E" w:rsidP="00B90422">
            <w:pPr>
              <w:rPr>
                <w:color w:val="000000"/>
                <w:szCs w:val="24"/>
                <w:lang w:val="en-CA" w:eastAsia="en-CA"/>
              </w:rPr>
            </w:pPr>
            <w:r w:rsidRPr="004C19BC">
              <w:rPr>
                <w:color w:val="000000"/>
                <w:szCs w:val="24"/>
                <w:lang w:val="en-CA" w:eastAsia="en-CA"/>
              </w:rPr>
              <w:t>Moran's I (error)</w:t>
            </w:r>
          </w:p>
        </w:tc>
        <w:tc>
          <w:tcPr>
            <w:tcW w:w="1992" w:type="dxa"/>
            <w:hideMark/>
          </w:tcPr>
          <w:p w:rsidR="0006206E" w:rsidRPr="00600728" w:rsidRDefault="0006206E" w:rsidP="00B90422">
            <w:pPr>
              <w:jc w:val="center"/>
            </w:pPr>
            <w:proofErr w:type="gramStart"/>
            <w:r w:rsidRPr="00600728">
              <w:t>0</w:t>
            </w:r>
            <w:r>
              <w:t>,</w:t>
            </w:r>
            <w:proofErr w:type="gramEnd"/>
            <w:r w:rsidRPr="00600728">
              <w:t>1</w:t>
            </w:r>
            <w:r>
              <w:t>05</w:t>
            </w:r>
          </w:p>
        </w:tc>
        <w:tc>
          <w:tcPr>
            <w:tcW w:w="1594" w:type="dxa"/>
            <w:hideMark/>
          </w:tcPr>
          <w:p w:rsidR="0006206E" w:rsidRPr="00AD7A9C" w:rsidRDefault="0006206E" w:rsidP="00B90422">
            <w:pPr>
              <w:jc w:val="center"/>
            </w:pPr>
            <w:proofErr w:type="gramStart"/>
            <w:r w:rsidRPr="00AD7A9C">
              <w:t>3</w:t>
            </w:r>
            <w:r>
              <w:t>,</w:t>
            </w:r>
            <w:proofErr w:type="gramEnd"/>
            <w:r w:rsidRPr="00AD7A9C">
              <w:t>014</w:t>
            </w:r>
          </w:p>
        </w:tc>
        <w:tc>
          <w:tcPr>
            <w:tcW w:w="1794" w:type="dxa"/>
            <w:hideMark/>
          </w:tcPr>
          <w:p w:rsidR="0006206E" w:rsidRPr="004C19BC" w:rsidRDefault="0006206E" w:rsidP="00B90422">
            <w:pPr>
              <w:jc w:val="center"/>
              <w:rPr>
                <w:color w:val="000000"/>
                <w:szCs w:val="24"/>
                <w:lang w:val="en-CA" w:eastAsia="en-CA"/>
              </w:rPr>
            </w:pPr>
            <w:r w:rsidRPr="004C19BC">
              <w:rPr>
                <w:color w:val="000000"/>
                <w:szCs w:val="24"/>
                <w:lang w:val="en-CA" w:eastAsia="en-CA"/>
              </w:rPr>
              <w:t>0</w:t>
            </w:r>
            <w:r>
              <w:rPr>
                <w:color w:val="000000"/>
                <w:szCs w:val="24"/>
                <w:lang w:val="en-CA" w:eastAsia="en-CA"/>
              </w:rPr>
              <w:t>,</w:t>
            </w:r>
            <w:r w:rsidRPr="004C19BC">
              <w:rPr>
                <w:color w:val="000000"/>
                <w:szCs w:val="24"/>
                <w:lang w:val="en-CA" w:eastAsia="en-CA"/>
              </w:rPr>
              <w:t>00</w:t>
            </w:r>
            <w:r>
              <w:rPr>
                <w:color w:val="000000"/>
                <w:szCs w:val="24"/>
                <w:lang w:val="en-CA" w:eastAsia="en-CA"/>
              </w:rPr>
              <w:t>0***</w:t>
            </w:r>
          </w:p>
        </w:tc>
      </w:tr>
      <w:tr w:rsidR="0006206E" w:rsidRPr="0030458F" w:rsidTr="00B90422">
        <w:trPr>
          <w:trHeight w:val="333"/>
        </w:trPr>
        <w:tc>
          <w:tcPr>
            <w:tcW w:w="3939" w:type="dxa"/>
            <w:hideMark/>
          </w:tcPr>
          <w:p w:rsidR="0006206E" w:rsidRPr="0030458F" w:rsidRDefault="0006206E" w:rsidP="00B90422">
            <w:pPr>
              <w:rPr>
                <w:color w:val="000000"/>
                <w:szCs w:val="24"/>
                <w:lang w:val="en-CA" w:eastAsia="en-CA"/>
              </w:rPr>
            </w:pPr>
            <w:r w:rsidRPr="0030458F">
              <w:rPr>
                <w:color w:val="000000"/>
                <w:szCs w:val="24"/>
                <w:lang w:val="en-CA" w:eastAsia="en-CA"/>
              </w:rPr>
              <w:t>Lagrange Multiplier (error)</w:t>
            </w:r>
          </w:p>
        </w:tc>
        <w:tc>
          <w:tcPr>
            <w:tcW w:w="1992" w:type="dxa"/>
            <w:hideMark/>
          </w:tcPr>
          <w:p w:rsidR="0006206E" w:rsidRPr="00600728" w:rsidRDefault="0006206E" w:rsidP="00B90422">
            <w:pPr>
              <w:jc w:val="center"/>
            </w:pPr>
            <w:proofErr w:type="gramStart"/>
            <w:r w:rsidRPr="00600728">
              <w:t>1</w:t>
            </w:r>
            <w:r>
              <w:t>,</w:t>
            </w:r>
            <w:proofErr w:type="gramEnd"/>
            <w:r w:rsidRPr="00600728">
              <w:t>000</w:t>
            </w:r>
          </w:p>
        </w:tc>
        <w:tc>
          <w:tcPr>
            <w:tcW w:w="1594" w:type="dxa"/>
            <w:hideMark/>
          </w:tcPr>
          <w:p w:rsidR="0006206E" w:rsidRPr="00AD7A9C" w:rsidRDefault="0006206E" w:rsidP="00B90422">
            <w:pPr>
              <w:jc w:val="center"/>
            </w:pPr>
            <w:proofErr w:type="gramStart"/>
            <w:r w:rsidRPr="00AD7A9C">
              <w:t>5</w:t>
            </w:r>
            <w:r>
              <w:t>,</w:t>
            </w:r>
            <w:proofErr w:type="gramEnd"/>
            <w:r w:rsidRPr="00AD7A9C">
              <w:t>478</w:t>
            </w:r>
          </w:p>
        </w:tc>
        <w:tc>
          <w:tcPr>
            <w:tcW w:w="1794" w:type="dxa"/>
            <w:hideMark/>
          </w:tcPr>
          <w:p w:rsidR="0006206E" w:rsidRPr="0030458F" w:rsidRDefault="0006206E" w:rsidP="00B90422">
            <w:pPr>
              <w:jc w:val="center"/>
              <w:rPr>
                <w:color w:val="000000"/>
                <w:szCs w:val="24"/>
                <w:lang w:val="en-CA" w:eastAsia="en-CA"/>
              </w:rPr>
            </w:pPr>
            <w:r w:rsidRPr="0030458F">
              <w:rPr>
                <w:color w:val="000000"/>
                <w:szCs w:val="24"/>
                <w:lang w:val="en-CA" w:eastAsia="en-CA"/>
              </w:rPr>
              <w:t>0</w:t>
            </w:r>
            <w:r>
              <w:rPr>
                <w:color w:val="000000"/>
                <w:szCs w:val="24"/>
                <w:lang w:val="en-CA" w:eastAsia="en-CA"/>
              </w:rPr>
              <w:t>,</w:t>
            </w:r>
            <w:r w:rsidRPr="0030458F">
              <w:rPr>
                <w:color w:val="000000"/>
                <w:szCs w:val="24"/>
                <w:lang w:val="en-CA" w:eastAsia="en-CA"/>
              </w:rPr>
              <w:t>0</w:t>
            </w:r>
            <w:r>
              <w:rPr>
                <w:color w:val="000000"/>
                <w:szCs w:val="24"/>
                <w:lang w:val="en-CA" w:eastAsia="en-CA"/>
              </w:rPr>
              <w:t>01</w:t>
            </w:r>
            <w:r w:rsidRPr="0030458F">
              <w:rPr>
                <w:color w:val="000000"/>
                <w:szCs w:val="24"/>
                <w:lang w:val="en-CA" w:eastAsia="en-CA"/>
              </w:rPr>
              <w:t>*</w:t>
            </w:r>
            <w:r>
              <w:rPr>
                <w:color w:val="000000"/>
                <w:szCs w:val="24"/>
                <w:lang w:val="en-CA" w:eastAsia="en-CA"/>
              </w:rPr>
              <w:t>**</w:t>
            </w:r>
          </w:p>
        </w:tc>
      </w:tr>
      <w:tr w:rsidR="0006206E" w:rsidRPr="004C19BC" w:rsidTr="00B90422">
        <w:trPr>
          <w:trHeight w:val="333"/>
        </w:trPr>
        <w:tc>
          <w:tcPr>
            <w:tcW w:w="3939" w:type="dxa"/>
            <w:hideMark/>
          </w:tcPr>
          <w:p w:rsidR="0006206E" w:rsidRPr="004C19BC" w:rsidRDefault="0006206E" w:rsidP="00B90422">
            <w:pPr>
              <w:rPr>
                <w:color w:val="000000"/>
                <w:szCs w:val="24"/>
                <w:lang w:val="en-CA" w:eastAsia="en-CA"/>
              </w:rPr>
            </w:pPr>
            <w:r w:rsidRPr="004C19BC">
              <w:rPr>
                <w:color w:val="000000"/>
                <w:szCs w:val="24"/>
                <w:lang w:val="en-CA" w:eastAsia="en-CA"/>
              </w:rPr>
              <w:t>Robust LM (error)</w:t>
            </w:r>
          </w:p>
        </w:tc>
        <w:tc>
          <w:tcPr>
            <w:tcW w:w="1992" w:type="dxa"/>
            <w:hideMark/>
          </w:tcPr>
          <w:p w:rsidR="0006206E" w:rsidRPr="00600728" w:rsidRDefault="0006206E" w:rsidP="00B90422">
            <w:pPr>
              <w:jc w:val="center"/>
            </w:pPr>
            <w:proofErr w:type="gramStart"/>
            <w:r w:rsidRPr="00600728">
              <w:t>1</w:t>
            </w:r>
            <w:r>
              <w:t>,</w:t>
            </w:r>
            <w:proofErr w:type="gramEnd"/>
            <w:r w:rsidRPr="00600728">
              <w:t>000</w:t>
            </w:r>
          </w:p>
        </w:tc>
        <w:tc>
          <w:tcPr>
            <w:tcW w:w="1594" w:type="dxa"/>
            <w:hideMark/>
          </w:tcPr>
          <w:p w:rsidR="0006206E" w:rsidRPr="00AD7A9C" w:rsidRDefault="0006206E" w:rsidP="00B90422">
            <w:pPr>
              <w:jc w:val="center"/>
            </w:pPr>
            <w:proofErr w:type="gramStart"/>
            <w:r w:rsidRPr="00AD7A9C">
              <w:t>0</w:t>
            </w:r>
            <w:r>
              <w:t>,</w:t>
            </w:r>
            <w:proofErr w:type="gramEnd"/>
            <w:r w:rsidRPr="00AD7A9C">
              <w:t>933</w:t>
            </w:r>
          </w:p>
        </w:tc>
        <w:tc>
          <w:tcPr>
            <w:tcW w:w="1794" w:type="dxa"/>
            <w:hideMark/>
          </w:tcPr>
          <w:p w:rsidR="0006206E" w:rsidRPr="004C19BC" w:rsidRDefault="0006206E" w:rsidP="00B90422">
            <w:pPr>
              <w:jc w:val="center"/>
              <w:rPr>
                <w:color w:val="000000"/>
                <w:szCs w:val="24"/>
                <w:lang w:val="en-CA" w:eastAsia="en-CA"/>
              </w:rPr>
            </w:pPr>
            <w:r w:rsidRPr="004C19BC">
              <w:rPr>
                <w:color w:val="000000"/>
                <w:szCs w:val="24"/>
                <w:lang w:val="en-CA" w:eastAsia="en-CA"/>
              </w:rPr>
              <w:t>0</w:t>
            </w:r>
            <w:r>
              <w:rPr>
                <w:color w:val="000000"/>
                <w:szCs w:val="24"/>
                <w:lang w:val="en-CA" w:eastAsia="en-CA"/>
              </w:rPr>
              <w:t>,334</w:t>
            </w:r>
            <w:r w:rsidRPr="008C100D">
              <w:rPr>
                <w:color w:val="FFFFFF" w:themeColor="background1"/>
                <w:szCs w:val="24"/>
                <w:lang w:val="en-CA" w:eastAsia="en-CA"/>
              </w:rPr>
              <w:t>000</w:t>
            </w:r>
          </w:p>
        </w:tc>
      </w:tr>
      <w:tr w:rsidR="0006206E" w:rsidRPr="0030458F" w:rsidTr="00B90422">
        <w:trPr>
          <w:trHeight w:val="333"/>
        </w:trPr>
        <w:tc>
          <w:tcPr>
            <w:tcW w:w="3939" w:type="dxa"/>
            <w:hideMark/>
          </w:tcPr>
          <w:p w:rsidR="0006206E" w:rsidRPr="0030458F" w:rsidRDefault="0006206E" w:rsidP="00B90422">
            <w:pPr>
              <w:rPr>
                <w:color w:val="000000"/>
                <w:szCs w:val="24"/>
                <w:lang w:val="en-CA" w:eastAsia="en-CA"/>
              </w:rPr>
            </w:pPr>
            <w:r w:rsidRPr="0030458F">
              <w:rPr>
                <w:color w:val="000000"/>
                <w:szCs w:val="24"/>
                <w:lang w:val="en-CA" w:eastAsia="en-CA"/>
              </w:rPr>
              <w:t>Lagrange Multiplier (lag)</w:t>
            </w:r>
          </w:p>
        </w:tc>
        <w:tc>
          <w:tcPr>
            <w:tcW w:w="1992" w:type="dxa"/>
            <w:hideMark/>
          </w:tcPr>
          <w:p w:rsidR="0006206E" w:rsidRPr="00600728" w:rsidRDefault="0006206E" w:rsidP="00B90422">
            <w:pPr>
              <w:jc w:val="center"/>
            </w:pPr>
            <w:proofErr w:type="gramStart"/>
            <w:r w:rsidRPr="00600728">
              <w:t>1</w:t>
            </w:r>
            <w:r>
              <w:t>,</w:t>
            </w:r>
            <w:proofErr w:type="gramEnd"/>
            <w:r w:rsidRPr="00600728">
              <w:t>000</w:t>
            </w:r>
          </w:p>
        </w:tc>
        <w:tc>
          <w:tcPr>
            <w:tcW w:w="1594" w:type="dxa"/>
            <w:hideMark/>
          </w:tcPr>
          <w:p w:rsidR="0006206E" w:rsidRPr="00AD7A9C" w:rsidRDefault="0006206E" w:rsidP="00B90422">
            <w:pPr>
              <w:jc w:val="center"/>
            </w:pPr>
            <w:proofErr w:type="gramStart"/>
            <w:r w:rsidRPr="00AD7A9C">
              <w:t>8</w:t>
            </w:r>
            <w:r>
              <w:t>,</w:t>
            </w:r>
            <w:proofErr w:type="gramEnd"/>
            <w:r w:rsidRPr="00AD7A9C">
              <w:t>918</w:t>
            </w:r>
          </w:p>
        </w:tc>
        <w:tc>
          <w:tcPr>
            <w:tcW w:w="1794" w:type="dxa"/>
            <w:hideMark/>
          </w:tcPr>
          <w:p w:rsidR="0006206E" w:rsidRPr="0030458F" w:rsidRDefault="0006206E" w:rsidP="00B90422">
            <w:pPr>
              <w:jc w:val="center"/>
              <w:rPr>
                <w:color w:val="000000"/>
                <w:szCs w:val="24"/>
                <w:lang w:val="en-CA" w:eastAsia="en-CA"/>
              </w:rPr>
            </w:pPr>
            <w:r w:rsidRPr="0030458F">
              <w:rPr>
                <w:color w:val="000000"/>
                <w:szCs w:val="24"/>
                <w:lang w:val="en-CA" w:eastAsia="en-CA"/>
              </w:rPr>
              <w:t>0</w:t>
            </w:r>
            <w:r>
              <w:rPr>
                <w:color w:val="000000"/>
                <w:szCs w:val="24"/>
                <w:lang w:val="en-CA" w:eastAsia="en-CA"/>
              </w:rPr>
              <w:t>,</w:t>
            </w:r>
            <w:r w:rsidRPr="0030458F">
              <w:rPr>
                <w:color w:val="000000"/>
                <w:szCs w:val="24"/>
                <w:lang w:val="en-CA" w:eastAsia="en-CA"/>
              </w:rPr>
              <w:t>00</w:t>
            </w:r>
            <w:r>
              <w:rPr>
                <w:color w:val="000000"/>
                <w:szCs w:val="24"/>
                <w:lang w:val="en-CA" w:eastAsia="en-CA"/>
              </w:rPr>
              <w:t>0</w:t>
            </w:r>
            <w:r w:rsidRPr="0030458F">
              <w:rPr>
                <w:color w:val="000000"/>
                <w:szCs w:val="24"/>
                <w:lang w:val="en-CA" w:eastAsia="en-CA"/>
              </w:rPr>
              <w:t>*</w:t>
            </w:r>
            <w:r>
              <w:rPr>
                <w:color w:val="000000"/>
                <w:szCs w:val="24"/>
                <w:lang w:val="en-CA" w:eastAsia="en-CA"/>
              </w:rPr>
              <w:t>**</w:t>
            </w:r>
          </w:p>
        </w:tc>
      </w:tr>
      <w:tr w:rsidR="0006206E" w:rsidRPr="004C19BC" w:rsidTr="00B90422">
        <w:trPr>
          <w:trHeight w:val="333"/>
        </w:trPr>
        <w:tc>
          <w:tcPr>
            <w:tcW w:w="3939" w:type="dxa"/>
            <w:hideMark/>
          </w:tcPr>
          <w:p w:rsidR="0006206E" w:rsidRPr="004C19BC" w:rsidRDefault="0006206E" w:rsidP="00B90422">
            <w:pPr>
              <w:rPr>
                <w:color w:val="000000"/>
                <w:szCs w:val="24"/>
                <w:lang w:val="en-CA" w:eastAsia="en-CA"/>
              </w:rPr>
            </w:pPr>
            <w:r w:rsidRPr="004C19BC">
              <w:rPr>
                <w:color w:val="000000"/>
                <w:szCs w:val="24"/>
                <w:lang w:val="en-CA" w:eastAsia="en-CA"/>
              </w:rPr>
              <w:t>Robust LM (lag)</w:t>
            </w:r>
          </w:p>
        </w:tc>
        <w:tc>
          <w:tcPr>
            <w:tcW w:w="1992" w:type="dxa"/>
            <w:hideMark/>
          </w:tcPr>
          <w:p w:rsidR="0006206E" w:rsidRPr="00600728" w:rsidRDefault="0006206E" w:rsidP="00B90422">
            <w:pPr>
              <w:jc w:val="center"/>
            </w:pPr>
            <w:proofErr w:type="gramStart"/>
            <w:r w:rsidRPr="00600728">
              <w:t>1</w:t>
            </w:r>
            <w:r>
              <w:t>,</w:t>
            </w:r>
            <w:proofErr w:type="gramEnd"/>
            <w:r w:rsidRPr="00600728">
              <w:t>000</w:t>
            </w:r>
          </w:p>
        </w:tc>
        <w:tc>
          <w:tcPr>
            <w:tcW w:w="1594" w:type="dxa"/>
            <w:hideMark/>
          </w:tcPr>
          <w:p w:rsidR="0006206E" w:rsidRPr="00AD7A9C" w:rsidRDefault="0006206E" w:rsidP="00B90422">
            <w:pPr>
              <w:jc w:val="center"/>
            </w:pPr>
            <w:proofErr w:type="gramStart"/>
            <w:r w:rsidRPr="00AD7A9C">
              <w:t>4</w:t>
            </w:r>
            <w:r>
              <w:t>,</w:t>
            </w:r>
            <w:proofErr w:type="gramEnd"/>
            <w:r w:rsidRPr="00AD7A9C">
              <w:t>373</w:t>
            </w:r>
          </w:p>
        </w:tc>
        <w:tc>
          <w:tcPr>
            <w:tcW w:w="1794" w:type="dxa"/>
            <w:hideMark/>
          </w:tcPr>
          <w:p w:rsidR="0006206E" w:rsidRPr="004C19BC" w:rsidRDefault="0006206E" w:rsidP="00B90422">
            <w:pPr>
              <w:jc w:val="center"/>
              <w:rPr>
                <w:color w:val="000000"/>
                <w:szCs w:val="24"/>
                <w:lang w:val="en-CA" w:eastAsia="en-CA"/>
              </w:rPr>
            </w:pPr>
            <w:r w:rsidRPr="004C19BC">
              <w:rPr>
                <w:color w:val="000000"/>
                <w:szCs w:val="24"/>
                <w:lang w:val="en-CA" w:eastAsia="en-CA"/>
              </w:rPr>
              <w:t>0</w:t>
            </w:r>
            <w:r>
              <w:rPr>
                <w:color w:val="000000"/>
                <w:szCs w:val="24"/>
                <w:lang w:val="en-CA" w:eastAsia="en-CA"/>
              </w:rPr>
              <w:t>,</w:t>
            </w:r>
            <w:r w:rsidRPr="004C19BC">
              <w:rPr>
                <w:color w:val="000000"/>
                <w:szCs w:val="24"/>
                <w:lang w:val="en-CA" w:eastAsia="en-CA"/>
              </w:rPr>
              <w:t>0</w:t>
            </w:r>
            <w:r>
              <w:rPr>
                <w:color w:val="000000"/>
                <w:szCs w:val="24"/>
                <w:lang w:val="en-CA" w:eastAsia="en-CA"/>
              </w:rPr>
              <w:t>37**</w:t>
            </w:r>
            <w:r w:rsidRPr="00F87036">
              <w:rPr>
                <w:color w:val="FFFFFF" w:themeColor="background1"/>
                <w:szCs w:val="24"/>
                <w:lang w:val="en-CA" w:eastAsia="en-CA"/>
              </w:rPr>
              <w:t>0</w:t>
            </w:r>
            <w:r>
              <w:rPr>
                <w:color w:val="000000"/>
                <w:szCs w:val="24"/>
                <w:lang w:val="en-CA" w:eastAsia="en-CA"/>
              </w:rPr>
              <w:t xml:space="preserve"> </w:t>
            </w:r>
          </w:p>
        </w:tc>
      </w:tr>
      <w:tr w:rsidR="0006206E" w:rsidRPr="004C19BC" w:rsidTr="00B90422">
        <w:trPr>
          <w:trHeight w:val="333"/>
        </w:trPr>
        <w:tc>
          <w:tcPr>
            <w:tcW w:w="3939" w:type="dxa"/>
            <w:hideMark/>
          </w:tcPr>
          <w:p w:rsidR="0006206E" w:rsidRPr="004C19BC" w:rsidRDefault="0006206E" w:rsidP="00B90422">
            <w:pPr>
              <w:rPr>
                <w:color w:val="000000"/>
                <w:szCs w:val="24"/>
                <w:lang w:val="en-CA" w:eastAsia="en-CA"/>
              </w:rPr>
            </w:pPr>
            <w:r w:rsidRPr="004C19BC">
              <w:rPr>
                <w:color w:val="000000"/>
                <w:szCs w:val="24"/>
                <w:lang w:val="en-CA" w:eastAsia="en-CA"/>
              </w:rPr>
              <w:t>Lagrange Multiplier (SARMA)</w:t>
            </w:r>
          </w:p>
        </w:tc>
        <w:tc>
          <w:tcPr>
            <w:tcW w:w="1992" w:type="dxa"/>
            <w:hideMark/>
          </w:tcPr>
          <w:p w:rsidR="0006206E" w:rsidRPr="00600728" w:rsidRDefault="0006206E" w:rsidP="00B90422">
            <w:pPr>
              <w:jc w:val="center"/>
            </w:pPr>
            <w:proofErr w:type="gramStart"/>
            <w:r w:rsidRPr="00600728">
              <w:t>2</w:t>
            </w:r>
            <w:r>
              <w:t>,</w:t>
            </w:r>
            <w:proofErr w:type="gramEnd"/>
            <w:r w:rsidRPr="00600728">
              <w:t>000</w:t>
            </w:r>
          </w:p>
        </w:tc>
        <w:tc>
          <w:tcPr>
            <w:tcW w:w="1594" w:type="dxa"/>
            <w:hideMark/>
          </w:tcPr>
          <w:p w:rsidR="0006206E" w:rsidRDefault="0006206E" w:rsidP="00B90422">
            <w:pPr>
              <w:jc w:val="center"/>
            </w:pPr>
            <w:proofErr w:type="gramStart"/>
            <w:r w:rsidRPr="00AD7A9C">
              <w:t>9</w:t>
            </w:r>
            <w:r>
              <w:t>,</w:t>
            </w:r>
            <w:proofErr w:type="gramEnd"/>
            <w:r w:rsidRPr="00AD7A9C">
              <w:t>850</w:t>
            </w:r>
          </w:p>
        </w:tc>
        <w:tc>
          <w:tcPr>
            <w:tcW w:w="1794" w:type="dxa"/>
            <w:hideMark/>
          </w:tcPr>
          <w:p w:rsidR="0006206E" w:rsidRPr="004C19BC" w:rsidRDefault="0006206E" w:rsidP="00B90422">
            <w:pPr>
              <w:jc w:val="center"/>
              <w:rPr>
                <w:szCs w:val="24"/>
                <w:lang w:val="en-CA" w:eastAsia="en-CA"/>
              </w:rPr>
            </w:pPr>
            <w:r w:rsidRPr="004C19BC">
              <w:rPr>
                <w:szCs w:val="24"/>
                <w:lang w:val="en-CA" w:eastAsia="en-CA"/>
              </w:rPr>
              <w:t>0</w:t>
            </w:r>
            <w:r>
              <w:rPr>
                <w:szCs w:val="24"/>
                <w:lang w:val="en-CA" w:eastAsia="en-CA"/>
              </w:rPr>
              <w:t>,</w:t>
            </w:r>
            <w:r w:rsidRPr="004C19BC">
              <w:rPr>
                <w:szCs w:val="24"/>
                <w:lang w:val="en-CA" w:eastAsia="en-CA"/>
              </w:rPr>
              <w:t>00</w:t>
            </w:r>
            <w:r>
              <w:rPr>
                <w:szCs w:val="24"/>
                <w:lang w:val="en-CA" w:eastAsia="en-CA"/>
              </w:rPr>
              <w:t>7</w:t>
            </w:r>
            <w:r w:rsidRPr="00742ECD">
              <w:rPr>
                <w:szCs w:val="24"/>
                <w:lang w:val="en-CA" w:eastAsia="en-CA"/>
              </w:rPr>
              <w:t>*</w:t>
            </w:r>
            <w:r>
              <w:rPr>
                <w:szCs w:val="24"/>
                <w:lang w:val="en-CA" w:eastAsia="en-CA"/>
              </w:rPr>
              <w:t>**</w:t>
            </w:r>
          </w:p>
        </w:tc>
      </w:tr>
    </w:tbl>
    <w:p w:rsidR="0006206E" w:rsidRDefault="0006206E" w:rsidP="0006206E">
      <w:pPr>
        <w:pStyle w:val="TEXTO1"/>
        <w:spacing w:line="240" w:lineRule="auto"/>
        <w:rPr>
          <w:sz w:val="20"/>
          <w:szCs w:val="24"/>
        </w:rPr>
      </w:pPr>
      <w:r w:rsidRPr="006D3E59">
        <w:rPr>
          <w:sz w:val="20"/>
          <w:szCs w:val="24"/>
        </w:rPr>
        <w:t>Fonte: Elabora</w:t>
      </w:r>
      <w:r>
        <w:rPr>
          <w:sz w:val="20"/>
          <w:szCs w:val="24"/>
        </w:rPr>
        <w:t>da</w:t>
      </w:r>
      <w:r w:rsidRPr="006D3E59">
        <w:rPr>
          <w:sz w:val="20"/>
          <w:szCs w:val="24"/>
        </w:rPr>
        <w:t xml:space="preserve"> com base nos dados da pesquisa</w:t>
      </w:r>
      <w:r>
        <w:rPr>
          <w:sz w:val="20"/>
          <w:szCs w:val="24"/>
        </w:rPr>
        <w:t xml:space="preserve"> e programa </w:t>
      </w:r>
      <w:proofErr w:type="spellStart"/>
      <w:proofErr w:type="gramStart"/>
      <w:r>
        <w:rPr>
          <w:sz w:val="20"/>
          <w:szCs w:val="24"/>
        </w:rPr>
        <w:t>SpaceStat</w:t>
      </w:r>
      <w:proofErr w:type="spellEnd"/>
      <w:proofErr w:type="gramEnd"/>
      <w:r>
        <w:rPr>
          <w:sz w:val="20"/>
          <w:szCs w:val="24"/>
        </w:rPr>
        <w:t>.</w:t>
      </w:r>
    </w:p>
    <w:p w:rsidR="0006206E" w:rsidRDefault="0006206E" w:rsidP="0006206E">
      <w:pPr>
        <w:pStyle w:val="TEXTO1"/>
        <w:spacing w:after="240" w:line="240" w:lineRule="auto"/>
        <w:rPr>
          <w:sz w:val="20"/>
          <w:szCs w:val="24"/>
        </w:rPr>
      </w:pPr>
      <w:r>
        <w:rPr>
          <w:sz w:val="20"/>
          <w:szCs w:val="24"/>
        </w:rPr>
        <w:t>Notas: *** significativo a 1%; ** significativo a 5%; *significativo a 10%.</w:t>
      </w:r>
    </w:p>
    <w:p w:rsidR="0006206E" w:rsidRPr="008C100D" w:rsidRDefault="0006206E" w:rsidP="0006206E">
      <w:pPr>
        <w:pStyle w:val="Legenda"/>
        <w:rPr>
          <w:rFonts w:ascii="Times New Roman" w:hAnsi="Times New Roman" w:cs="Times New Roman"/>
          <w:b w:val="0"/>
          <w:color w:val="auto"/>
          <w:sz w:val="24"/>
          <w:szCs w:val="24"/>
          <w:lang w:eastAsia="en-CA"/>
        </w:rPr>
      </w:pPr>
      <w:bookmarkStart w:id="72" w:name="_Ref280022615"/>
      <w:bookmarkStart w:id="73" w:name="_Toc282373887"/>
      <w:r w:rsidRPr="008C100D">
        <w:rPr>
          <w:rFonts w:ascii="Times New Roman" w:hAnsi="Times New Roman" w:cs="Times New Roman"/>
          <w:b w:val="0"/>
          <w:color w:val="auto"/>
          <w:sz w:val="24"/>
          <w:szCs w:val="24"/>
        </w:rPr>
        <w:t xml:space="preserve">Tabela </w:t>
      </w:r>
      <w:r w:rsidR="00212729">
        <w:rPr>
          <w:rFonts w:ascii="Times New Roman" w:hAnsi="Times New Roman" w:cs="Times New Roman"/>
          <w:b w:val="0"/>
          <w:color w:val="auto"/>
          <w:sz w:val="24"/>
          <w:szCs w:val="24"/>
        </w:rPr>
        <w:t>6</w:t>
      </w:r>
      <w:bookmarkEnd w:id="72"/>
      <w:r>
        <w:rPr>
          <w:rFonts w:ascii="Times New Roman" w:hAnsi="Times New Roman" w:cs="Times New Roman"/>
          <w:b w:val="0"/>
          <w:color w:val="auto"/>
          <w:sz w:val="24"/>
          <w:szCs w:val="24"/>
        </w:rPr>
        <w:t xml:space="preserve"> - </w:t>
      </w:r>
      <w:r w:rsidRPr="008C100D">
        <w:rPr>
          <w:rFonts w:ascii="Times New Roman" w:hAnsi="Times New Roman" w:cs="Times New Roman"/>
          <w:b w:val="0"/>
          <w:color w:val="auto"/>
          <w:sz w:val="24"/>
          <w:szCs w:val="24"/>
        </w:rPr>
        <w:t xml:space="preserve">Teste para </w:t>
      </w:r>
      <w:proofErr w:type="spellStart"/>
      <w:r w:rsidRPr="008C100D">
        <w:rPr>
          <w:rFonts w:ascii="Times New Roman" w:hAnsi="Times New Roman" w:cs="Times New Roman"/>
          <w:b w:val="0"/>
          <w:color w:val="auto"/>
          <w:sz w:val="24"/>
          <w:szCs w:val="24"/>
        </w:rPr>
        <w:t>heterocedasticidade</w:t>
      </w:r>
      <w:proofErr w:type="spellEnd"/>
      <w:r w:rsidRPr="008C100D">
        <w:rPr>
          <w:rFonts w:ascii="Times New Roman" w:hAnsi="Times New Roman" w:cs="Times New Roman"/>
          <w:b w:val="0"/>
          <w:color w:val="auto"/>
          <w:sz w:val="24"/>
          <w:szCs w:val="24"/>
        </w:rPr>
        <w:t xml:space="preserve"> com </w:t>
      </w:r>
      <w:r>
        <w:rPr>
          <w:rFonts w:ascii="Times New Roman" w:hAnsi="Times New Roman" w:cs="Times New Roman"/>
          <w:b w:val="0"/>
          <w:color w:val="auto"/>
          <w:sz w:val="24"/>
          <w:szCs w:val="24"/>
        </w:rPr>
        <w:t xml:space="preserve">erro </w:t>
      </w:r>
      <w:r w:rsidRPr="008C100D">
        <w:rPr>
          <w:rFonts w:ascii="Times New Roman" w:hAnsi="Times New Roman" w:cs="Times New Roman"/>
          <w:b w:val="0"/>
          <w:color w:val="auto"/>
          <w:sz w:val="24"/>
          <w:szCs w:val="24"/>
        </w:rPr>
        <w:t>espacial e dependência espacial</w:t>
      </w:r>
      <w:bookmarkEnd w:id="73"/>
      <w:r>
        <w:rPr>
          <w:rFonts w:ascii="Times New Roman" w:hAnsi="Times New Roman" w:cs="Times New Roman"/>
          <w:b w:val="0"/>
          <w:color w:val="auto"/>
          <w:sz w:val="24"/>
          <w:szCs w:val="24"/>
        </w:rPr>
        <w:t xml:space="preserve"> (urbano)</w:t>
      </w:r>
    </w:p>
    <w:tbl>
      <w:tblPr>
        <w:tblStyle w:val="Oficial"/>
        <w:tblW w:w="5000" w:type="pct"/>
        <w:tblLook w:val="04A0"/>
      </w:tblPr>
      <w:tblGrid>
        <w:gridCol w:w="5118"/>
        <w:gridCol w:w="836"/>
        <w:gridCol w:w="2057"/>
        <w:gridCol w:w="2409"/>
      </w:tblGrid>
      <w:tr w:rsidR="0006206E" w:rsidRPr="0032068E" w:rsidTr="00B90422">
        <w:trPr>
          <w:cnfStyle w:val="100000000000"/>
          <w:trHeight w:val="303"/>
        </w:trPr>
        <w:tc>
          <w:tcPr>
            <w:tcW w:w="2456" w:type="pct"/>
            <w:vAlign w:val="center"/>
            <w:hideMark/>
          </w:tcPr>
          <w:p w:rsidR="0006206E" w:rsidRPr="0032068E" w:rsidRDefault="0006206E" w:rsidP="00B90422">
            <w:pPr>
              <w:spacing w:line="276" w:lineRule="auto"/>
              <w:jc w:val="center"/>
              <w:rPr>
                <w:bCs/>
                <w:color w:val="000000"/>
                <w:szCs w:val="24"/>
                <w:lang w:val="en-CA" w:eastAsia="en-CA"/>
              </w:rPr>
            </w:pPr>
            <w:proofErr w:type="spellStart"/>
            <w:r w:rsidRPr="0032068E">
              <w:rPr>
                <w:bCs/>
                <w:color w:val="000000"/>
                <w:szCs w:val="24"/>
                <w:lang w:val="en-CA" w:eastAsia="en-CA"/>
              </w:rPr>
              <w:t>Teste</w:t>
            </w:r>
            <w:proofErr w:type="spellEnd"/>
          </w:p>
        </w:tc>
        <w:tc>
          <w:tcPr>
            <w:tcW w:w="401" w:type="pct"/>
            <w:noWrap/>
            <w:vAlign w:val="center"/>
            <w:hideMark/>
          </w:tcPr>
          <w:p w:rsidR="0006206E" w:rsidRPr="0032068E" w:rsidRDefault="0006206E" w:rsidP="00B90422">
            <w:pPr>
              <w:spacing w:line="276" w:lineRule="auto"/>
              <w:jc w:val="center"/>
              <w:rPr>
                <w:color w:val="000000"/>
                <w:szCs w:val="24"/>
                <w:lang w:val="en-CA" w:eastAsia="en-CA"/>
              </w:rPr>
            </w:pPr>
            <w:r w:rsidRPr="0032068E">
              <w:rPr>
                <w:color w:val="000000"/>
                <w:szCs w:val="24"/>
                <w:lang w:val="en-CA" w:eastAsia="en-CA"/>
              </w:rPr>
              <w:t>GL</w:t>
            </w:r>
          </w:p>
        </w:tc>
        <w:tc>
          <w:tcPr>
            <w:tcW w:w="987" w:type="pct"/>
            <w:noWrap/>
            <w:vAlign w:val="center"/>
            <w:hideMark/>
          </w:tcPr>
          <w:p w:rsidR="0006206E" w:rsidRPr="0032068E" w:rsidRDefault="0006206E" w:rsidP="00B90422">
            <w:pPr>
              <w:spacing w:line="276" w:lineRule="auto"/>
              <w:jc w:val="center"/>
              <w:rPr>
                <w:color w:val="000000"/>
                <w:szCs w:val="24"/>
                <w:lang w:val="en-CA" w:eastAsia="en-CA"/>
              </w:rPr>
            </w:pPr>
            <w:proofErr w:type="spellStart"/>
            <w:r w:rsidRPr="0032068E">
              <w:rPr>
                <w:color w:val="000000"/>
                <w:szCs w:val="24"/>
                <w:lang w:val="en-CA" w:eastAsia="en-CA"/>
              </w:rPr>
              <w:t>Coeficiente</w:t>
            </w:r>
            <w:proofErr w:type="spellEnd"/>
          </w:p>
        </w:tc>
        <w:tc>
          <w:tcPr>
            <w:tcW w:w="1156" w:type="pct"/>
            <w:noWrap/>
            <w:vAlign w:val="center"/>
            <w:hideMark/>
          </w:tcPr>
          <w:p w:rsidR="0006206E" w:rsidRPr="0032068E" w:rsidRDefault="0006206E" w:rsidP="00B90422">
            <w:pPr>
              <w:spacing w:line="276" w:lineRule="auto"/>
              <w:jc w:val="center"/>
              <w:rPr>
                <w:color w:val="000000"/>
                <w:szCs w:val="24"/>
                <w:lang w:val="en-CA" w:eastAsia="en-CA"/>
              </w:rPr>
            </w:pPr>
            <w:proofErr w:type="spellStart"/>
            <w:r w:rsidRPr="0032068E">
              <w:rPr>
                <w:color w:val="000000"/>
                <w:szCs w:val="24"/>
                <w:lang w:val="en-CA" w:eastAsia="en-CA"/>
              </w:rPr>
              <w:t>Probabilidade</w:t>
            </w:r>
            <w:proofErr w:type="spellEnd"/>
          </w:p>
        </w:tc>
      </w:tr>
      <w:tr w:rsidR="0006206E" w:rsidRPr="00FA4B28" w:rsidTr="00B90422">
        <w:trPr>
          <w:trHeight w:val="20"/>
        </w:trPr>
        <w:tc>
          <w:tcPr>
            <w:tcW w:w="2456" w:type="pct"/>
            <w:vAlign w:val="center"/>
            <w:hideMark/>
          </w:tcPr>
          <w:p w:rsidR="0006206E" w:rsidRPr="0032068E" w:rsidRDefault="0006206E" w:rsidP="00B90422">
            <w:pPr>
              <w:spacing w:line="276" w:lineRule="auto"/>
              <w:rPr>
                <w:rFonts w:eastAsia="Times New Roman" w:cs="Times New Roman"/>
                <w:bCs/>
                <w:szCs w:val="24"/>
                <w:lang w:val="en-CA" w:eastAsia="en-CA"/>
              </w:rPr>
            </w:pPr>
            <w:proofErr w:type="spellStart"/>
            <w:r w:rsidRPr="0032068E">
              <w:rPr>
                <w:rFonts w:eastAsia="Times New Roman" w:cs="Times New Roman"/>
                <w:bCs/>
                <w:szCs w:val="24"/>
                <w:lang w:val="en-CA" w:eastAsia="en-CA"/>
              </w:rPr>
              <w:t>Breusch</w:t>
            </w:r>
            <w:proofErr w:type="spellEnd"/>
            <w:r w:rsidRPr="0032068E">
              <w:rPr>
                <w:rFonts w:eastAsia="Times New Roman" w:cs="Times New Roman"/>
                <w:bCs/>
                <w:szCs w:val="24"/>
                <w:lang w:val="en-CA" w:eastAsia="en-CA"/>
              </w:rPr>
              <w:t>-Pagan Test</w:t>
            </w:r>
          </w:p>
        </w:tc>
        <w:tc>
          <w:tcPr>
            <w:tcW w:w="401" w:type="pct"/>
            <w:vAlign w:val="center"/>
            <w:hideMark/>
          </w:tcPr>
          <w:p w:rsidR="0006206E" w:rsidRPr="00F96B7A" w:rsidRDefault="0006206E" w:rsidP="00B90422">
            <w:pPr>
              <w:spacing w:line="276" w:lineRule="auto"/>
              <w:jc w:val="center"/>
              <w:rPr>
                <w:color w:val="000000"/>
                <w:szCs w:val="24"/>
              </w:rPr>
            </w:pPr>
            <w:r w:rsidRPr="00F96B7A">
              <w:rPr>
                <w:color w:val="000000"/>
                <w:szCs w:val="24"/>
              </w:rPr>
              <w:t>1</w:t>
            </w:r>
            <w:r>
              <w:rPr>
                <w:color w:val="000000"/>
                <w:szCs w:val="24"/>
              </w:rPr>
              <w:t>2</w:t>
            </w:r>
          </w:p>
        </w:tc>
        <w:tc>
          <w:tcPr>
            <w:tcW w:w="987" w:type="pct"/>
            <w:hideMark/>
          </w:tcPr>
          <w:p w:rsidR="0006206E" w:rsidRPr="00FC4140" w:rsidRDefault="0006206E" w:rsidP="00B90422">
            <w:pPr>
              <w:jc w:val="center"/>
            </w:pPr>
            <w:r w:rsidRPr="00FC4140">
              <w:t>16</w:t>
            </w:r>
            <w:r>
              <w:t>,</w:t>
            </w:r>
            <w:r w:rsidRPr="00FC4140">
              <w:t>46</w:t>
            </w:r>
          </w:p>
        </w:tc>
        <w:tc>
          <w:tcPr>
            <w:tcW w:w="1156" w:type="pct"/>
            <w:vAlign w:val="center"/>
            <w:hideMark/>
          </w:tcPr>
          <w:p w:rsidR="0006206E" w:rsidRPr="00F96B7A" w:rsidRDefault="0006206E" w:rsidP="00B90422">
            <w:pPr>
              <w:spacing w:line="276" w:lineRule="auto"/>
              <w:jc w:val="center"/>
              <w:rPr>
                <w:color w:val="000000"/>
                <w:szCs w:val="24"/>
              </w:rPr>
            </w:pPr>
            <w:proofErr w:type="gramStart"/>
            <w:r w:rsidRPr="00F96B7A">
              <w:rPr>
                <w:color w:val="000000"/>
                <w:szCs w:val="24"/>
              </w:rPr>
              <w:t>0</w:t>
            </w:r>
            <w:r>
              <w:rPr>
                <w:color w:val="000000"/>
                <w:szCs w:val="24"/>
              </w:rPr>
              <w:t>,</w:t>
            </w:r>
            <w:proofErr w:type="gramEnd"/>
            <w:r>
              <w:rPr>
                <w:color w:val="000000"/>
                <w:szCs w:val="24"/>
              </w:rPr>
              <w:t>13</w:t>
            </w:r>
            <w:r w:rsidRPr="00CC33CC">
              <w:rPr>
                <w:color w:val="FFFFFF" w:themeColor="background1"/>
                <w:szCs w:val="24"/>
              </w:rPr>
              <w:t>000</w:t>
            </w:r>
          </w:p>
        </w:tc>
      </w:tr>
      <w:tr w:rsidR="0006206E" w:rsidRPr="00FA4B28" w:rsidTr="00B90422">
        <w:trPr>
          <w:trHeight w:val="20"/>
        </w:trPr>
        <w:tc>
          <w:tcPr>
            <w:tcW w:w="2456" w:type="pct"/>
            <w:vAlign w:val="center"/>
            <w:hideMark/>
          </w:tcPr>
          <w:p w:rsidR="0006206E" w:rsidRPr="0032068E" w:rsidRDefault="0006206E" w:rsidP="00B90422">
            <w:pPr>
              <w:spacing w:line="276" w:lineRule="auto"/>
              <w:rPr>
                <w:rFonts w:eastAsia="Times New Roman" w:cs="Times New Roman"/>
                <w:bCs/>
                <w:szCs w:val="24"/>
                <w:lang w:val="en-CA" w:eastAsia="en-CA"/>
              </w:rPr>
            </w:pPr>
            <w:r w:rsidRPr="0032068E">
              <w:rPr>
                <w:rFonts w:eastAsia="Times New Roman" w:cs="Times New Roman"/>
                <w:bCs/>
                <w:szCs w:val="24"/>
                <w:lang w:val="en-CA" w:eastAsia="en-CA"/>
              </w:rPr>
              <w:t>Spatial B-P Test</w:t>
            </w:r>
          </w:p>
        </w:tc>
        <w:tc>
          <w:tcPr>
            <w:tcW w:w="401" w:type="pct"/>
            <w:vAlign w:val="center"/>
            <w:hideMark/>
          </w:tcPr>
          <w:p w:rsidR="0006206E" w:rsidRPr="00F96B7A" w:rsidRDefault="0006206E" w:rsidP="00B90422">
            <w:pPr>
              <w:spacing w:line="276" w:lineRule="auto"/>
              <w:jc w:val="center"/>
              <w:rPr>
                <w:color w:val="000000"/>
                <w:szCs w:val="24"/>
              </w:rPr>
            </w:pPr>
            <w:r w:rsidRPr="00F96B7A">
              <w:rPr>
                <w:color w:val="000000"/>
                <w:szCs w:val="24"/>
              </w:rPr>
              <w:t>1</w:t>
            </w:r>
            <w:r>
              <w:rPr>
                <w:color w:val="000000"/>
                <w:szCs w:val="24"/>
              </w:rPr>
              <w:t>2</w:t>
            </w:r>
          </w:p>
        </w:tc>
        <w:tc>
          <w:tcPr>
            <w:tcW w:w="987" w:type="pct"/>
            <w:hideMark/>
          </w:tcPr>
          <w:p w:rsidR="0006206E" w:rsidRDefault="0006206E" w:rsidP="00B90422">
            <w:pPr>
              <w:jc w:val="center"/>
            </w:pPr>
            <w:r w:rsidRPr="00FC4140">
              <w:t>16</w:t>
            </w:r>
            <w:r>
              <w:t>,</w:t>
            </w:r>
            <w:r w:rsidRPr="00FC4140">
              <w:t>46</w:t>
            </w:r>
          </w:p>
        </w:tc>
        <w:tc>
          <w:tcPr>
            <w:tcW w:w="1156" w:type="pct"/>
            <w:vAlign w:val="center"/>
            <w:hideMark/>
          </w:tcPr>
          <w:p w:rsidR="0006206E" w:rsidRPr="00F96B7A" w:rsidRDefault="0006206E" w:rsidP="00B90422">
            <w:pPr>
              <w:spacing w:line="276" w:lineRule="auto"/>
              <w:jc w:val="center"/>
              <w:rPr>
                <w:color w:val="000000"/>
                <w:szCs w:val="24"/>
              </w:rPr>
            </w:pPr>
            <w:proofErr w:type="gramStart"/>
            <w:r>
              <w:rPr>
                <w:color w:val="000000"/>
                <w:szCs w:val="24"/>
              </w:rPr>
              <w:t>0,</w:t>
            </w:r>
            <w:proofErr w:type="gramEnd"/>
            <w:r>
              <w:rPr>
                <w:color w:val="000000"/>
                <w:szCs w:val="24"/>
              </w:rPr>
              <w:t>13</w:t>
            </w:r>
            <w:r w:rsidRPr="00CC33CC">
              <w:rPr>
                <w:color w:val="FFFFFF" w:themeColor="background1"/>
                <w:szCs w:val="24"/>
              </w:rPr>
              <w:t>000</w:t>
            </w:r>
          </w:p>
        </w:tc>
      </w:tr>
      <w:tr w:rsidR="0006206E" w:rsidRPr="00FA4B28" w:rsidTr="00B90422">
        <w:trPr>
          <w:trHeight w:val="20"/>
        </w:trPr>
        <w:tc>
          <w:tcPr>
            <w:tcW w:w="2456" w:type="pct"/>
            <w:tcBorders>
              <w:bottom w:val="nil"/>
            </w:tcBorders>
            <w:vAlign w:val="center"/>
            <w:hideMark/>
          </w:tcPr>
          <w:p w:rsidR="0006206E" w:rsidRPr="0032068E" w:rsidRDefault="0006206E" w:rsidP="00B90422">
            <w:pPr>
              <w:rPr>
                <w:rFonts w:eastAsia="Times New Roman" w:cs="Times New Roman"/>
                <w:bCs/>
                <w:szCs w:val="24"/>
                <w:lang w:val="en-CA" w:eastAsia="en-CA"/>
              </w:rPr>
            </w:pPr>
            <w:r w:rsidRPr="0032068E">
              <w:rPr>
                <w:rFonts w:eastAsia="Times New Roman" w:cs="Times New Roman"/>
                <w:bCs/>
                <w:szCs w:val="24"/>
                <w:lang w:val="en-CA" w:eastAsia="en-CA"/>
              </w:rPr>
              <w:t>Likelihood Ratio (LR)</w:t>
            </w:r>
          </w:p>
        </w:tc>
        <w:tc>
          <w:tcPr>
            <w:tcW w:w="401" w:type="pct"/>
            <w:tcBorders>
              <w:bottom w:val="nil"/>
            </w:tcBorders>
            <w:vAlign w:val="center"/>
            <w:hideMark/>
          </w:tcPr>
          <w:p w:rsidR="0006206E" w:rsidRPr="00F96B7A" w:rsidRDefault="0006206E" w:rsidP="00B90422">
            <w:pPr>
              <w:spacing w:line="276" w:lineRule="auto"/>
              <w:jc w:val="center"/>
              <w:rPr>
                <w:bCs/>
                <w:szCs w:val="24"/>
                <w:lang w:val="en-CA" w:eastAsia="en-CA"/>
              </w:rPr>
            </w:pPr>
            <w:r>
              <w:rPr>
                <w:bCs/>
                <w:szCs w:val="24"/>
                <w:lang w:val="en-CA" w:eastAsia="en-CA"/>
              </w:rPr>
              <w:t>1</w:t>
            </w:r>
          </w:p>
        </w:tc>
        <w:tc>
          <w:tcPr>
            <w:tcW w:w="987" w:type="pct"/>
            <w:tcBorders>
              <w:bottom w:val="nil"/>
            </w:tcBorders>
            <w:vAlign w:val="center"/>
            <w:hideMark/>
          </w:tcPr>
          <w:p w:rsidR="0006206E" w:rsidRPr="00F96B7A" w:rsidRDefault="0006206E" w:rsidP="00B90422">
            <w:pPr>
              <w:spacing w:line="276" w:lineRule="auto"/>
              <w:jc w:val="center"/>
              <w:rPr>
                <w:color w:val="000000"/>
                <w:szCs w:val="24"/>
              </w:rPr>
            </w:pPr>
            <w:r>
              <w:rPr>
                <w:color w:val="000000"/>
                <w:szCs w:val="24"/>
              </w:rPr>
              <w:t>15,58</w:t>
            </w:r>
          </w:p>
        </w:tc>
        <w:tc>
          <w:tcPr>
            <w:tcW w:w="1156" w:type="pct"/>
            <w:tcBorders>
              <w:bottom w:val="nil"/>
            </w:tcBorders>
            <w:vAlign w:val="center"/>
            <w:hideMark/>
          </w:tcPr>
          <w:p w:rsidR="0006206E" w:rsidRPr="00F96B7A" w:rsidRDefault="0006206E" w:rsidP="00B90422">
            <w:pPr>
              <w:spacing w:line="276" w:lineRule="auto"/>
              <w:jc w:val="center"/>
              <w:rPr>
                <w:color w:val="000000"/>
                <w:szCs w:val="24"/>
              </w:rPr>
            </w:pPr>
            <w:r w:rsidRPr="00F96B7A">
              <w:rPr>
                <w:color w:val="000000"/>
                <w:szCs w:val="24"/>
              </w:rPr>
              <w:t>0</w:t>
            </w:r>
            <w:r>
              <w:rPr>
                <w:color w:val="000000"/>
                <w:szCs w:val="24"/>
              </w:rPr>
              <w:t>,0</w:t>
            </w:r>
            <w:r w:rsidRPr="00F96B7A">
              <w:rPr>
                <w:color w:val="000000"/>
                <w:szCs w:val="24"/>
              </w:rPr>
              <w:t>0</w:t>
            </w:r>
            <w:r>
              <w:rPr>
                <w:color w:val="000000"/>
                <w:szCs w:val="24"/>
              </w:rPr>
              <w:t>***</w:t>
            </w:r>
          </w:p>
        </w:tc>
      </w:tr>
      <w:tr w:rsidR="0006206E" w:rsidRPr="00FA4B28" w:rsidTr="00B90422">
        <w:trPr>
          <w:trHeight w:val="20"/>
        </w:trPr>
        <w:tc>
          <w:tcPr>
            <w:tcW w:w="2456" w:type="pct"/>
            <w:tcBorders>
              <w:bottom w:val="single" w:sz="4" w:space="0" w:color="auto"/>
            </w:tcBorders>
            <w:vAlign w:val="center"/>
            <w:hideMark/>
          </w:tcPr>
          <w:p w:rsidR="0006206E" w:rsidRPr="0032068E" w:rsidRDefault="0006206E" w:rsidP="00B90422">
            <w:pPr>
              <w:rPr>
                <w:rFonts w:eastAsia="Times New Roman" w:cs="Times New Roman"/>
                <w:bCs/>
                <w:szCs w:val="24"/>
                <w:lang w:val="en-CA" w:eastAsia="en-CA"/>
              </w:rPr>
            </w:pPr>
            <w:proofErr w:type="spellStart"/>
            <w:r w:rsidRPr="0032068E">
              <w:rPr>
                <w:rFonts w:eastAsia="Times New Roman" w:cs="Times New Roman"/>
                <w:bCs/>
                <w:szCs w:val="24"/>
                <w:lang w:val="en-CA" w:eastAsia="en-CA"/>
              </w:rPr>
              <w:t>Multiplicador</w:t>
            </w:r>
            <w:proofErr w:type="spellEnd"/>
            <w:r w:rsidRPr="0032068E">
              <w:rPr>
                <w:rFonts w:eastAsia="Times New Roman" w:cs="Times New Roman"/>
                <w:bCs/>
                <w:szCs w:val="24"/>
                <w:lang w:val="en-CA" w:eastAsia="en-CA"/>
              </w:rPr>
              <w:t xml:space="preserve"> de </w:t>
            </w:r>
            <w:proofErr w:type="spellStart"/>
            <w:r w:rsidRPr="0032068E">
              <w:rPr>
                <w:rFonts w:eastAsia="Times New Roman" w:cs="Times New Roman"/>
                <w:bCs/>
                <w:szCs w:val="24"/>
                <w:lang w:val="en-CA" w:eastAsia="en-CA"/>
              </w:rPr>
              <w:t>lagrange</w:t>
            </w:r>
            <w:proofErr w:type="spellEnd"/>
            <w:r w:rsidRPr="0032068E">
              <w:rPr>
                <w:rFonts w:eastAsia="Times New Roman" w:cs="Times New Roman"/>
                <w:bCs/>
                <w:szCs w:val="24"/>
                <w:lang w:val="en-CA" w:eastAsia="en-CA"/>
              </w:rPr>
              <w:t xml:space="preserve"> (ML)</w:t>
            </w:r>
          </w:p>
        </w:tc>
        <w:tc>
          <w:tcPr>
            <w:tcW w:w="401" w:type="pct"/>
            <w:tcBorders>
              <w:bottom w:val="single" w:sz="4" w:space="0" w:color="auto"/>
            </w:tcBorders>
            <w:vAlign w:val="center"/>
            <w:hideMark/>
          </w:tcPr>
          <w:p w:rsidR="0006206E" w:rsidRDefault="0006206E" w:rsidP="00B90422">
            <w:pPr>
              <w:spacing w:line="276" w:lineRule="auto"/>
              <w:jc w:val="center"/>
              <w:rPr>
                <w:bCs/>
                <w:szCs w:val="24"/>
                <w:lang w:val="en-CA" w:eastAsia="en-CA"/>
              </w:rPr>
            </w:pPr>
            <w:r>
              <w:rPr>
                <w:bCs/>
                <w:szCs w:val="24"/>
                <w:lang w:val="en-CA" w:eastAsia="en-CA"/>
              </w:rPr>
              <w:t>1</w:t>
            </w:r>
          </w:p>
        </w:tc>
        <w:tc>
          <w:tcPr>
            <w:tcW w:w="987" w:type="pct"/>
            <w:tcBorders>
              <w:bottom w:val="single" w:sz="4" w:space="0" w:color="auto"/>
            </w:tcBorders>
            <w:vAlign w:val="center"/>
            <w:hideMark/>
          </w:tcPr>
          <w:p w:rsidR="0006206E" w:rsidRPr="00F96B7A" w:rsidRDefault="0006206E" w:rsidP="00B90422">
            <w:pPr>
              <w:spacing w:line="276" w:lineRule="auto"/>
              <w:jc w:val="center"/>
              <w:rPr>
                <w:color w:val="000000"/>
                <w:szCs w:val="24"/>
              </w:rPr>
            </w:pPr>
            <w:r>
              <w:rPr>
                <w:color w:val="000000"/>
                <w:szCs w:val="24"/>
              </w:rPr>
              <w:t>3,69</w:t>
            </w:r>
          </w:p>
        </w:tc>
        <w:tc>
          <w:tcPr>
            <w:tcW w:w="1156" w:type="pct"/>
            <w:tcBorders>
              <w:bottom w:val="single" w:sz="4" w:space="0" w:color="auto"/>
            </w:tcBorders>
            <w:vAlign w:val="center"/>
            <w:hideMark/>
          </w:tcPr>
          <w:p w:rsidR="0006206E" w:rsidRPr="00F96B7A" w:rsidRDefault="0006206E" w:rsidP="00B90422">
            <w:pPr>
              <w:spacing w:line="276" w:lineRule="auto"/>
              <w:jc w:val="center"/>
              <w:rPr>
                <w:color w:val="000000"/>
                <w:szCs w:val="24"/>
              </w:rPr>
            </w:pPr>
            <w:proofErr w:type="gramStart"/>
            <w:r>
              <w:rPr>
                <w:color w:val="000000"/>
                <w:szCs w:val="24"/>
              </w:rPr>
              <w:t>0,</w:t>
            </w:r>
            <w:proofErr w:type="gramEnd"/>
            <w:r>
              <w:rPr>
                <w:color w:val="000000"/>
                <w:szCs w:val="24"/>
              </w:rPr>
              <w:t>60</w:t>
            </w:r>
            <w:r w:rsidRPr="00CC33CC">
              <w:rPr>
                <w:color w:val="FFFFFF" w:themeColor="background1"/>
                <w:szCs w:val="24"/>
              </w:rPr>
              <w:t>000</w:t>
            </w:r>
          </w:p>
        </w:tc>
      </w:tr>
    </w:tbl>
    <w:p w:rsidR="0006206E" w:rsidRDefault="0006206E" w:rsidP="0006206E">
      <w:pPr>
        <w:pStyle w:val="TEXTO1"/>
        <w:spacing w:line="240" w:lineRule="auto"/>
        <w:rPr>
          <w:sz w:val="20"/>
          <w:szCs w:val="24"/>
        </w:rPr>
      </w:pPr>
      <w:r w:rsidRPr="006D3E59">
        <w:rPr>
          <w:sz w:val="20"/>
          <w:szCs w:val="24"/>
        </w:rPr>
        <w:t>Fonte: Elabora</w:t>
      </w:r>
      <w:r>
        <w:rPr>
          <w:sz w:val="20"/>
          <w:szCs w:val="24"/>
        </w:rPr>
        <w:t>da</w:t>
      </w:r>
      <w:r w:rsidRPr="006D3E59">
        <w:rPr>
          <w:sz w:val="20"/>
          <w:szCs w:val="24"/>
        </w:rPr>
        <w:t xml:space="preserve"> com base nos dados da pesquisa</w:t>
      </w:r>
      <w:r>
        <w:rPr>
          <w:sz w:val="20"/>
          <w:szCs w:val="24"/>
        </w:rPr>
        <w:t xml:space="preserve"> e programa </w:t>
      </w:r>
      <w:proofErr w:type="spellStart"/>
      <w:proofErr w:type="gramStart"/>
      <w:r>
        <w:rPr>
          <w:sz w:val="20"/>
          <w:szCs w:val="24"/>
        </w:rPr>
        <w:t>SpaceStat</w:t>
      </w:r>
      <w:proofErr w:type="spellEnd"/>
      <w:proofErr w:type="gramEnd"/>
      <w:r>
        <w:rPr>
          <w:sz w:val="20"/>
          <w:szCs w:val="24"/>
        </w:rPr>
        <w:t>.</w:t>
      </w:r>
    </w:p>
    <w:p w:rsidR="0006206E" w:rsidRDefault="0006206E" w:rsidP="0006206E">
      <w:pPr>
        <w:pStyle w:val="TEXTO1"/>
        <w:spacing w:after="200" w:line="240" w:lineRule="auto"/>
        <w:rPr>
          <w:sz w:val="20"/>
          <w:szCs w:val="24"/>
        </w:rPr>
      </w:pPr>
      <w:r>
        <w:rPr>
          <w:sz w:val="20"/>
          <w:szCs w:val="24"/>
        </w:rPr>
        <w:t>Notas: *** significativo a 1%; ** significativo a 5%; *significativo a 10%.</w:t>
      </w:r>
    </w:p>
    <w:p w:rsidR="0006206E" w:rsidRDefault="0006206E" w:rsidP="0006206E">
      <w:pPr>
        <w:pStyle w:val="TEXTO1"/>
        <w:spacing w:after="200" w:line="240" w:lineRule="auto"/>
        <w:rPr>
          <w:sz w:val="20"/>
          <w:szCs w:val="24"/>
        </w:rPr>
      </w:pPr>
    </w:p>
    <w:p w:rsidR="0015045C" w:rsidRPr="0015045C" w:rsidRDefault="0015045C" w:rsidP="0006206E">
      <w:pPr>
        <w:pStyle w:val="Legenda"/>
        <w:rPr>
          <w:rFonts w:ascii="Times New Roman" w:hAnsi="Times New Roman"/>
          <w:sz w:val="36"/>
          <w:szCs w:val="8"/>
        </w:rPr>
      </w:pPr>
    </w:p>
    <w:sectPr w:rsidR="0015045C" w:rsidRPr="0015045C" w:rsidSect="00C255EC">
      <w:headerReference w:type="even" r:id="rId11"/>
      <w:headerReference w:type="default" r:id="rId12"/>
      <w:pgSz w:w="11906" w:h="16838" w:code="9"/>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0C" w:rsidRDefault="00B0350C" w:rsidP="006F0FD9">
      <w:pPr>
        <w:spacing w:after="0" w:line="240" w:lineRule="auto"/>
      </w:pPr>
      <w:r>
        <w:separator/>
      </w:r>
    </w:p>
  </w:endnote>
  <w:endnote w:type="continuationSeparator" w:id="0">
    <w:p w:rsidR="00B0350C" w:rsidRDefault="00B0350C" w:rsidP="006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Dutch811B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0C" w:rsidRDefault="00B0350C" w:rsidP="006F0FD9">
      <w:pPr>
        <w:spacing w:after="0" w:line="240" w:lineRule="auto"/>
      </w:pPr>
      <w:r>
        <w:separator/>
      </w:r>
    </w:p>
  </w:footnote>
  <w:footnote w:type="continuationSeparator" w:id="0">
    <w:p w:rsidR="00B0350C" w:rsidRDefault="00B0350C" w:rsidP="006F0FD9">
      <w:pPr>
        <w:spacing w:after="0" w:line="240" w:lineRule="auto"/>
      </w:pPr>
      <w:r>
        <w:continuationSeparator/>
      </w:r>
    </w:p>
  </w:footnote>
  <w:footnote w:id="1">
    <w:p w:rsidR="00B0350C" w:rsidRPr="00FC5440" w:rsidRDefault="00B0350C" w:rsidP="00C255EC">
      <w:pPr>
        <w:pStyle w:val="Textodenotaderodap"/>
        <w:rPr>
          <w:rFonts w:ascii="Times New Roman" w:hAnsi="Times New Roman" w:cs="Times New Roman"/>
        </w:rPr>
      </w:pPr>
      <w:r w:rsidRPr="00FC5440">
        <w:rPr>
          <w:rStyle w:val="Refdenotaderodap"/>
          <w:rFonts w:ascii="Times New Roman" w:hAnsi="Times New Roman" w:cs="Times New Roman"/>
        </w:rPr>
        <w:footnoteRef/>
      </w:r>
      <w:r w:rsidRPr="00FC5440">
        <w:rPr>
          <w:rFonts w:ascii="Times New Roman" w:hAnsi="Times New Roman" w:cs="Times New Roman"/>
        </w:rPr>
        <w:t xml:space="preserve"> </w:t>
      </w:r>
      <w:r w:rsidR="00880AA0" w:rsidRPr="00FC5440">
        <w:rPr>
          <w:rFonts w:ascii="Times New Roman" w:hAnsi="Times New Roman"/>
        </w:rPr>
        <w:t>Prof</w:t>
      </w:r>
      <w:r w:rsidR="00880AA0">
        <w:rPr>
          <w:rFonts w:ascii="Times New Roman" w:hAnsi="Times New Roman"/>
        </w:rPr>
        <w:t>essor da</w:t>
      </w:r>
      <w:r w:rsidR="00880AA0" w:rsidRPr="00FC5440">
        <w:rPr>
          <w:rFonts w:ascii="Times New Roman" w:hAnsi="Times New Roman"/>
        </w:rPr>
        <w:t xml:space="preserve"> Universidade Federal do Amazonas e técnico da Superintendência da Zona Franca de Manaus. </w:t>
      </w:r>
      <w:proofErr w:type="spellStart"/>
      <w:proofErr w:type="gramStart"/>
      <w:r w:rsidR="00880AA0" w:rsidRPr="00FC5440">
        <w:rPr>
          <w:rFonts w:ascii="Times New Roman" w:hAnsi="Times New Roman"/>
        </w:rPr>
        <w:t>E-mail</w:t>
      </w:r>
      <w:proofErr w:type="spellEnd"/>
      <w:r w:rsidR="00880AA0" w:rsidRPr="00FC5440">
        <w:rPr>
          <w:rFonts w:ascii="Times New Roman" w:hAnsi="Times New Roman"/>
        </w:rPr>
        <w:t>:</w:t>
      </w:r>
      <w:proofErr w:type="gramEnd"/>
      <w:r w:rsidR="00880AA0" w:rsidRPr="00FC5440">
        <w:rPr>
          <w:rFonts w:ascii="Times New Roman" w:hAnsi="Times New Roman"/>
        </w:rPr>
        <w:t>renilsonsilva@uol.com.br</w:t>
      </w:r>
      <w:r w:rsidRPr="00FC5440">
        <w:rPr>
          <w:rFonts w:ascii="Times New Roman" w:hAnsi="Times New Roman" w:cs="Times New Roman"/>
        </w:rPr>
        <w:tab/>
      </w:r>
    </w:p>
  </w:footnote>
  <w:footnote w:id="2">
    <w:p w:rsidR="00B0350C" w:rsidRDefault="00B0350C" w:rsidP="00C255EC">
      <w:pPr>
        <w:pStyle w:val="Textodenotaderodap"/>
      </w:pPr>
      <w:r w:rsidRPr="00FC5440">
        <w:rPr>
          <w:rStyle w:val="Refdenotaderodap"/>
          <w:rFonts w:ascii="Times New Roman" w:hAnsi="Times New Roman" w:cs="Times New Roman"/>
        </w:rPr>
        <w:footnoteRef/>
      </w:r>
      <w:r w:rsidRPr="00FC5440">
        <w:rPr>
          <w:rFonts w:ascii="Times New Roman" w:hAnsi="Times New Roman" w:cs="Times New Roman"/>
        </w:rPr>
        <w:t xml:space="preserve"> </w:t>
      </w:r>
      <w:r w:rsidR="00880AA0" w:rsidRPr="00FC5440">
        <w:rPr>
          <w:rFonts w:ascii="Times New Roman" w:hAnsi="Times New Roman"/>
        </w:rPr>
        <w:t>Prof</w:t>
      </w:r>
      <w:r w:rsidR="00880AA0">
        <w:rPr>
          <w:rFonts w:ascii="Times New Roman" w:hAnsi="Times New Roman"/>
        </w:rPr>
        <w:t>essor da ESALQ/USP</w:t>
      </w:r>
      <w:r w:rsidR="00880AA0" w:rsidRPr="00FC5440">
        <w:rPr>
          <w:rFonts w:ascii="Times New Roman" w:hAnsi="Times New Roman"/>
        </w:rPr>
        <w:t xml:space="preserve">. </w:t>
      </w:r>
      <w:proofErr w:type="spellStart"/>
      <w:r w:rsidR="00880AA0" w:rsidRPr="00FC5440">
        <w:rPr>
          <w:rFonts w:ascii="Times New Roman" w:hAnsi="Times New Roman"/>
        </w:rPr>
        <w:t>E-mail</w:t>
      </w:r>
      <w:proofErr w:type="spellEnd"/>
      <w:r w:rsidR="00880AA0" w:rsidRPr="00FC5440">
        <w:rPr>
          <w:rFonts w:ascii="Times New Roman" w:hAnsi="Times New Roman"/>
        </w:rPr>
        <w:t>: cjcbacha@esalq.usp.br</w:t>
      </w:r>
    </w:p>
  </w:footnote>
  <w:footnote w:id="3">
    <w:p w:rsidR="00B0350C" w:rsidRPr="005F6199" w:rsidRDefault="00B0350C" w:rsidP="00E8719B">
      <w:pPr>
        <w:pStyle w:val="Textodenotaderodap"/>
        <w:jc w:val="both"/>
        <w:rPr>
          <w:rFonts w:ascii="Times New Roman" w:hAnsi="Times New Roman" w:cs="Times New Roman"/>
        </w:rPr>
      </w:pPr>
      <w:r w:rsidRPr="005F6199">
        <w:rPr>
          <w:rStyle w:val="Refdenotaderodap"/>
          <w:rFonts w:ascii="Times New Roman" w:hAnsi="Times New Roman" w:cs="Times New Roman"/>
        </w:rPr>
        <w:footnoteRef/>
      </w:r>
      <w:r w:rsidRPr="005F6199">
        <w:rPr>
          <w:rFonts w:ascii="Times New Roman" w:hAnsi="Times New Roman" w:cs="Times New Roman"/>
        </w:rPr>
        <w:t xml:space="preserve"> </w:t>
      </w:r>
      <w:r w:rsidR="00D76195" w:rsidRPr="00D76195">
        <w:rPr>
          <w:rFonts w:ascii="Times New Roman" w:hAnsi="Times New Roman" w:cs="Times New Roman"/>
        </w:rPr>
        <w:t>Este autor, no trabalho de 2002, avaliou a localização industrial brasileira por meio dos efeitos de economias externa sobre o crescimento do emprego da indústria de transformação, no período de 1994 a 2002. No trabalho seguinte, testou os argumentos da NGE para a concentração regional no Brasil no período de 1950 a 2000.</w:t>
      </w:r>
    </w:p>
  </w:footnote>
  <w:footnote w:id="4">
    <w:p w:rsidR="00B0350C" w:rsidRPr="004531A2" w:rsidRDefault="00B0350C">
      <w:pPr>
        <w:pStyle w:val="Textodenotaderodap"/>
        <w:rPr>
          <w:rFonts w:ascii="Times New Roman" w:hAnsi="Times New Roman" w:cs="Times New Roman"/>
        </w:rPr>
      </w:pPr>
      <w:r w:rsidRPr="004531A2">
        <w:rPr>
          <w:rStyle w:val="Refdenotaderodap"/>
          <w:rFonts w:ascii="Times New Roman" w:hAnsi="Times New Roman" w:cs="Times New Roman"/>
        </w:rPr>
        <w:footnoteRef/>
      </w:r>
      <w:r w:rsidRPr="004531A2">
        <w:rPr>
          <w:rFonts w:ascii="Times New Roman" w:hAnsi="Times New Roman" w:cs="Times New Roman"/>
        </w:rPr>
        <w:t xml:space="preserve"> O cálculo de </w:t>
      </w:r>
      <w:proofErr w:type="spellStart"/>
      <w:proofErr w:type="gramStart"/>
      <w:r w:rsidRPr="004531A2">
        <w:rPr>
          <w:rFonts w:ascii="Times New Roman" w:hAnsi="Times New Roman" w:cs="Times New Roman"/>
          <w:i/>
        </w:rPr>
        <w:t>W</w:t>
      </w:r>
      <w:r w:rsidRPr="004531A2">
        <w:rPr>
          <w:rFonts w:ascii="Times New Roman" w:hAnsi="Times New Roman" w:cs="Times New Roman"/>
          <w:i/>
          <w:vertAlign w:val="subscript"/>
        </w:rPr>
        <w:t>j</w:t>
      </w:r>
      <w:r>
        <w:rPr>
          <w:rFonts w:ascii="Times New Roman" w:hAnsi="Times New Roman" w:cs="Times New Roman"/>
          <w:i/>
          <w:vertAlign w:val="subscript"/>
        </w:rPr>
        <w:t>R</w:t>
      </w:r>
      <w:proofErr w:type="spellEnd"/>
      <w:proofErr w:type="gramEnd"/>
      <w:r w:rsidRPr="004531A2">
        <w:rPr>
          <w:rFonts w:ascii="Times New Roman" w:hAnsi="Times New Roman" w:cs="Times New Roman"/>
        </w:rPr>
        <w:t xml:space="preserve"> </w:t>
      </w:r>
      <w:r>
        <w:rPr>
          <w:rFonts w:ascii="Times New Roman" w:hAnsi="Times New Roman" w:cs="Times New Roman"/>
        </w:rPr>
        <w:t xml:space="preserve">segue a </w:t>
      </w:r>
      <w:r w:rsidRPr="004531A2">
        <w:rPr>
          <w:rFonts w:ascii="Times New Roman" w:hAnsi="Times New Roman" w:cs="Times New Roman"/>
        </w:rPr>
        <w:t>mesma form</w:t>
      </w:r>
      <w:r>
        <w:rPr>
          <w:rFonts w:ascii="Times New Roman" w:hAnsi="Times New Roman" w:cs="Times New Roman"/>
        </w:rPr>
        <w:t xml:space="preserve">ulação dos </w:t>
      </w:r>
      <w:r w:rsidRPr="004531A2">
        <w:rPr>
          <w:rFonts w:ascii="Times New Roman" w:hAnsi="Times New Roman" w:cs="Times New Roman"/>
        </w:rPr>
        <w:t>índices para os municípios da Região Norte.</w:t>
      </w:r>
    </w:p>
  </w:footnote>
  <w:footnote w:id="5">
    <w:p w:rsidR="00B0350C" w:rsidRDefault="00B0350C" w:rsidP="004358BE">
      <w:pPr>
        <w:pStyle w:val="Textodenotaderodap"/>
        <w:jc w:val="both"/>
      </w:pPr>
      <w:r>
        <w:rPr>
          <w:rStyle w:val="Refdenotaderodap"/>
        </w:rPr>
        <w:footnoteRef/>
      </w:r>
      <w:r>
        <w:t xml:space="preserve"> </w:t>
      </w:r>
      <w:r>
        <w:rPr>
          <w:rFonts w:ascii="Times New Roman" w:hAnsi="Times New Roman" w:cs="Times New Roman"/>
        </w:rPr>
        <w:t>Essas cidades, não necessariamente, eram capitais em 1980</w:t>
      </w:r>
      <w:r w:rsidRPr="006B403E">
        <w:rPr>
          <w:rFonts w:ascii="Times New Roman" w:hAnsi="Times New Roman" w:cs="Times New Roman"/>
        </w:rPr>
        <w:t>.</w:t>
      </w:r>
    </w:p>
  </w:footnote>
  <w:footnote w:id="6">
    <w:p w:rsidR="00B0350C" w:rsidRPr="00CA2BC9" w:rsidRDefault="00B0350C" w:rsidP="00CA2BC9">
      <w:pPr>
        <w:pStyle w:val="Textodenotaderodap"/>
        <w:jc w:val="both"/>
        <w:rPr>
          <w:rFonts w:ascii="Times New Roman" w:hAnsi="Times New Roman" w:cs="Times New Roman"/>
        </w:rPr>
      </w:pPr>
      <w:r w:rsidRPr="00CA2BC9">
        <w:rPr>
          <w:rStyle w:val="Refdenotaderodap"/>
          <w:rFonts w:ascii="Times New Roman" w:hAnsi="Times New Roman" w:cs="Times New Roman"/>
        </w:rPr>
        <w:footnoteRef/>
      </w:r>
      <w:r w:rsidRPr="00CA2BC9">
        <w:rPr>
          <w:rFonts w:ascii="Times New Roman" w:hAnsi="Times New Roman" w:cs="Times New Roman"/>
        </w:rPr>
        <w:t xml:space="preserve"> O</w:t>
      </w:r>
      <w:r>
        <w:rPr>
          <w:rFonts w:ascii="Times New Roman" w:hAnsi="Times New Roman" w:cs="Times New Roman"/>
        </w:rPr>
        <w:t>s</w:t>
      </w:r>
      <w:r w:rsidRPr="00CA2BC9">
        <w:rPr>
          <w:rFonts w:ascii="Times New Roman" w:hAnsi="Times New Roman" w:cs="Times New Roman"/>
        </w:rPr>
        <w:t xml:space="preserve"> subscrito</w:t>
      </w:r>
      <w:r>
        <w:rPr>
          <w:rFonts w:ascii="Times New Roman" w:hAnsi="Times New Roman" w:cs="Times New Roman"/>
        </w:rPr>
        <w:t>s</w:t>
      </w:r>
      <w:r w:rsidRPr="00CA2BC9">
        <w:rPr>
          <w:rFonts w:ascii="Times New Roman" w:hAnsi="Times New Roman" w:cs="Times New Roman"/>
        </w:rPr>
        <w:t xml:space="preserve"> </w:t>
      </w:r>
      <w:r w:rsidRPr="00CA2BC9">
        <w:rPr>
          <w:rFonts w:ascii="Times New Roman" w:hAnsi="Times New Roman" w:cs="Times New Roman"/>
          <w:i/>
        </w:rPr>
        <w:t>i</w:t>
      </w:r>
      <w:r w:rsidRPr="00CA2BC9">
        <w:rPr>
          <w:rFonts w:ascii="Times New Roman" w:hAnsi="Times New Roman" w:cs="Times New Roman"/>
        </w:rPr>
        <w:t xml:space="preserve"> e </w:t>
      </w:r>
      <w:r w:rsidRPr="00CA2BC9">
        <w:rPr>
          <w:rFonts w:ascii="Times New Roman" w:hAnsi="Times New Roman" w:cs="Times New Roman"/>
          <w:i/>
        </w:rPr>
        <w:t>j</w:t>
      </w:r>
      <w:r w:rsidRPr="00CA2BC9">
        <w:rPr>
          <w:rFonts w:ascii="Times New Roman" w:hAnsi="Times New Roman" w:cs="Times New Roman"/>
        </w:rPr>
        <w:t xml:space="preserve"> </w:t>
      </w:r>
      <w:r>
        <w:rPr>
          <w:rFonts w:ascii="Times New Roman" w:hAnsi="Times New Roman" w:cs="Times New Roman"/>
        </w:rPr>
        <w:t xml:space="preserve">são </w:t>
      </w:r>
      <w:r w:rsidRPr="00CA2BC9">
        <w:rPr>
          <w:rFonts w:ascii="Times New Roman" w:hAnsi="Times New Roman" w:cs="Times New Roman"/>
        </w:rPr>
        <w:t>utilizado</w:t>
      </w:r>
      <w:r>
        <w:rPr>
          <w:rFonts w:ascii="Times New Roman" w:hAnsi="Times New Roman" w:cs="Times New Roman"/>
        </w:rPr>
        <w:t>s</w:t>
      </w:r>
      <w:r w:rsidRPr="00CA2BC9">
        <w:rPr>
          <w:rFonts w:ascii="Times New Roman" w:hAnsi="Times New Roman" w:cs="Times New Roman"/>
        </w:rPr>
        <w:t xml:space="preserve"> na literatura, por convenção, para definir uma região </w:t>
      </w:r>
      <w:r w:rsidRPr="00CA2BC9">
        <w:rPr>
          <w:rFonts w:ascii="Times New Roman" w:hAnsi="Times New Roman" w:cs="Times New Roman"/>
          <w:i/>
        </w:rPr>
        <w:t>i</w:t>
      </w:r>
      <w:r w:rsidRPr="00CA2BC9">
        <w:rPr>
          <w:rFonts w:ascii="Times New Roman" w:hAnsi="Times New Roman" w:cs="Times New Roman"/>
        </w:rPr>
        <w:t xml:space="preserve"> de outra </w:t>
      </w:r>
      <w:r w:rsidRPr="00CA2BC9">
        <w:rPr>
          <w:rFonts w:ascii="Times New Roman" w:hAnsi="Times New Roman" w:cs="Times New Roman"/>
          <w:i/>
        </w:rPr>
        <w:t>j</w:t>
      </w:r>
      <w:r w:rsidRPr="00CA2BC9">
        <w:rPr>
          <w:rFonts w:ascii="Times New Roman" w:hAnsi="Times New Roman" w:cs="Times New Roman"/>
        </w:rPr>
        <w:t xml:space="preserve">. Portanto, no cálculo do índice de acessibilidade </w:t>
      </w:r>
      <w:r>
        <w:rPr>
          <w:rFonts w:ascii="Times New Roman" w:hAnsi="Times New Roman" w:cs="Times New Roman"/>
        </w:rPr>
        <w:t xml:space="preserve">foi utilizado o mesmo </w:t>
      </w:r>
      <w:r w:rsidRPr="00CA2BC9">
        <w:rPr>
          <w:rFonts w:ascii="Times New Roman" w:hAnsi="Times New Roman" w:cs="Times New Roman"/>
          <w:i/>
        </w:rPr>
        <w:t>j</w:t>
      </w:r>
      <w:r w:rsidRPr="00CA2BC9">
        <w:rPr>
          <w:rFonts w:ascii="Times New Roman" w:hAnsi="Times New Roman" w:cs="Times New Roman"/>
        </w:rPr>
        <w:t xml:space="preserve"> </w:t>
      </w:r>
      <w:r>
        <w:rPr>
          <w:rFonts w:ascii="Times New Roman" w:hAnsi="Times New Roman" w:cs="Times New Roman"/>
        </w:rPr>
        <w:t xml:space="preserve">para identificar o mercado a ser atingido a partir de </w:t>
      </w:r>
      <w:r w:rsidRPr="00CA2BC9">
        <w:rPr>
          <w:rFonts w:ascii="Times New Roman" w:hAnsi="Times New Roman" w:cs="Times New Roman"/>
          <w:i/>
        </w:rPr>
        <w:t>i</w:t>
      </w:r>
      <w:r>
        <w:rPr>
          <w:rFonts w:ascii="Times New Roman" w:hAnsi="Times New Roman" w:cs="Times New Roman"/>
          <w:i/>
        </w:rPr>
        <w:t>.</w:t>
      </w:r>
    </w:p>
  </w:footnote>
  <w:footnote w:id="7">
    <w:p w:rsidR="00B0350C" w:rsidRDefault="00B0350C" w:rsidP="00D75DC1">
      <w:pPr>
        <w:pStyle w:val="Textodenotaderodap"/>
        <w:jc w:val="both"/>
      </w:pPr>
      <w:r>
        <w:rPr>
          <w:rStyle w:val="Refdenotaderodap"/>
        </w:rPr>
        <w:footnoteRef/>
      </w:r>
      <w:r>
        <w:t xml:space="preserve"> </w:t>
      </w:r>
      <w:r w:rsidRPr="00D75DC1">
        <w:rPr>
          <w:rFonts w:ascii="Times New Roman" w:hAnsi="Times New Roman" w:cs="Times New Roman"/>
        </w:rPr>
        <w:t>A distribuição dos erros é normal, com média zero, variância constante</w:t>
      </w:r>
      <w:r>
        <w:rPr>
          <w:rFonts w:ascii="Times New Roman" w:hAnsi="Times New Roman" w:cs="Times New Roman"/>
        </w:rPr>
        <w:t xml:space="preserve">, </w:t>
      </w:r>
      <w:r w:rsidRPr="00D75DC1">
        <w:rPr>
          <w:rFonts w:ascii="Times New Roman" w:hAnsi="Times New Roman" w:cs="Times New Roman"/>
        </w:rPr>
        <w:t>independentes e identicamente distribuídos.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286"/>
      <w:docPartObj>
        <w:docPartGallery w:val="Page Numbers (Top of Page)"/>
        <w:docPartUnique/>
      </w:docPartObj>
    </w:sdtPr>
    <w:sdtContent>
      <w:p w:rsidR="00B0350C" w:rsidRDefault="00B0350C">
        <w:pPr>
          <w:pStyle w:val="Cabealho"/>
        </w:pPr>
        <w:r w:rsidRPr="00DB43F5">
          <w:rPr>
            <w:rFonts w:ascii="Times New Roman" w:hAnsi="Times New Roman" w:cs="Times New Roman"/>
            <w:sz w:val="20"/>
            <w:szCs w:val="20"/>
          </w:rPr>
          <w:fldChar w:fldCharType="begin"/>
        </w:r>
        <w:r w:rsidRPr="00DB43F5">
          <w:rPr>
            <w:rFonts w:ascii="Times New Roman" w:hAnsi="Times New Roman" w:cs="Times New Roman"/>
            <w:sz w:val="20"/>
            <w:szCs w:val="20"/>
          </w:rPr>
          <w:instrText xml:space="preserve"> PAGE   \* MERGEFORMAT </w:instrText>
        </w:r>
        <w:r w:rsidRPr="00DB43F5">
          <w:rPr>
            <w:rFonts w:ascii="Times New Roman" w:hAnsi="Times New Roman" w:cs="Times New Roman"/>
            <w:sz w:val="20"/>
            <w:szCs w:val="20"/>
          </w:rPr>
          <w:fldChar w:fldCharType="separate"/>
        </w:r>
        <w:r w:rsidR="00BB05DC">
          <w:rPr>
            <w:rFonts w:ascii="Times New Roman" w:hAnsi="Times New Roman" w:cs="Times New Roman"/>
            <w:noProof/>
            <w:sz w:val="20"/>
            <w:szCs w:val="20"/>
          </w:rPr>
          <w:t>6</w:t>
        </w:r>
        <w:r w:rsidRPr="00DB43F5">
          <w:rPr>
            <w:rFonts w:ascii="Times New Roman" w:hAnsi="Times New Roman" w:cs="Times New Roman"/>
            <w:sz w:val="20"/>
            <w:szCs w:val="20"/>
          </w:rPr>
          <w:fldChar w:fldCharType="end"/>
        </w:r>
      </w:p>
    </w:sdtContent>
  </w:sdt>
  <w:p w:rsidR="00B0350C" w:rsidRDefault="00B0350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287"/>
      <w:docPartObj>
        <w:docPartGallery w:val="Page Numbers (Top of Page)"/>
        <w:docPartUnique/>
      </w:docPartObj>
    </w:sdtPr>
    <w:sdtContent>
      <w:p w:rsidR="00B0350C" w:rsidRDefault="00B0350C">
        <w:pPr>
          <w:pStyle w:val="Cabealho"/>
          <w:jc w:val="right"/>
        </w:pPr>
        <w:r w:rsidRPr="00CE7C0A">
          <w:rPr>
            <w:rFonts w:ascii="Times New Roman" w:hAnsi="Times New Roman" w:cs="Times New Roman"/>
            <w:sz w:val="20"/>
            <w:szCs w:val="20"/>
          </w:rPr>
          <w:fldChar w:fldCharType="begin"/>
        </w:r>
        <w:r w:rsidRPr="00CE7C0A">
          <w:rPr>
            <w:rFonts w:ascii="Times New Roman" w:hAnsi="Times New Roman" w:cs="Times New Roman"/>
            <w:sz w:val="20"/>
            <w:szCs w:val="20"/>
          </w:rPr>
          <w:instrText xml:space="preserve"> PAGE   \* MERGEFORMAT </w:instrText>
        </w:r>
        <w:r w:rsidRPr="00CE7C0A">
          <w:rPr>
            <w:rFonts w:ascii="Times New Roman" w:hAnsi="Times New Roman" w:cs="Times New Roman"/>
            <w:sz w:val="20"/>
            <w:szCs w:val="20"/>
          </w:rPr>
          <w:fldChar w:fldCharType="separate"/>
        </w:r>
        <w:r w:rsidR="00BB05DC">
          <w:rPr>
            <w:rFonts w:ascii="Times New Roman" w:hAnsi="Times New Roman" w:cs="Times New Roman"/>
            <w:noProof/>
            <w:sz w:val="20"/>
            <w:szCs w:val="20"/>
          </w:rPr>
          <w:t>5</w:t>
        </w:r>
        <w:r w:rsidRPr="00CE7C0A">
          <w:rPr>
            <w:rFonts w:ascii="Times New Roman" w:hAnsi="Times New Roman" w:cs="Times New Roman"/>
            <w:sz w:val="20"/>
            <w:szCs w:val="20"/>
          </w:rPr>
          <w:fldChar w:fldCharType="end"/>
        </w:r>
      </w:p>
    </w:sdtContent>
  </w:sdt>
  <w:p w:rsidR="00B0350C" w:rsidRDefault="00B035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8.25pt;height:36pt;visibility:visible" o:bullet="t">
        <v:imagedata r:id="rId1" o:title=""/>
      </v:shape>
    </w:pict>
  </w:numPicBullet>
  <w:abstractNum w:abstractNumId="0">
    <w:nsid w:val="FFFFFF89"/>
    <w:multiLevelType w:val="singleLevel"/>
    <w:tmpl w:val="3ABCA45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471099"/>
    <w:multiLevelType w:val="hybridMultilevel"/>
    <w:tmpl w:val="53BA91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C1D02"/>
    <w:multiLevelType w:val="hybridMultilevel"/>
    <w:tmpl w:val="E64479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EF6698"/>
    <w:multiLevelType w:val="hybridMultilevel"/>
    <w:tmpl w:val="2E725870"/>
    <w:lvl w:ilvl="0" w:tplc="1009000F">
      <w:start w:val="1"/>
      <w:numFmt w:val="decimal"/>
      <w:lvlText w:val="%1."/>
      <w:lvlJc w:val="left"/>
      <w:pPr>
        <w:ind w:left="1347" w:hanging="78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nsid w:val="13D036B6"/>
    <w:multiLevelType w:val="multilevel"/>
    <w:tmpl w:val="BD9ECD4A"/>
    <w:numStyleLink w:val="Estilo5"/>
  </w:abstractNum>
  <w:abstractNum w:abstractNumId="5">
    <w:nsid w:val="1EBC4D11"/>
    <w:multiLevelType w:val="hybridMultilevel"/>
    <w:tmpl w:val="95CEAE2E"/>
    <w:lvl w:ilvl="0" w:tplc="10090017">
      <w:start w:val="1"/>
      <w:numFmt w:val="lowerLetter"/>
      <w:lvlText w:val="%1)"/>
      <w:lvlJc w:val="left"/>
      <w:pPr>
        <w:ind w:left="1347" w:hanging="78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nsid w:val="1F5A70AD"/>
    <w:multiLevelType w:val="multilevel"/>
    <w:tmpl w:val="BD9ECD4A"/>
    <w:numStyleLink w:val="Estilo5"/>
  </w:abstractNum>
  <w:abstractNum w:abstractNumId="7">
    <w:nsid w:val="25835287"/>
    <w:multiLevelType w:val="hybridMultilevel"/>
    <w:tmpl w:val="63BC93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5F67BE"/>
    <w:multiLevelType w:val="hybridMultilevel"/>
    <w:tmpl w:val="91FE57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55119D"/>
    <w:multiLevelType w:val="hybridMultilevel"/>
    <w:tmpl w:val="CB480006"/>
    <w:lvl w:ilvl="0" w:tplc="5680E9B6">
      <w:start w:val="1"/>
      <w:numFmt w:val="bullet"/>
      <w:lvlText w:val=""/>
      <w:lvlPicBulletId w:val="0"/>
      <w:lvlJc w:val="left"/>
      <w:pPr>
        <w:tabs>
          <w:tab w:val="num" w:pos="720"/>
        </w:tabs>
        <w:ind w:left="720" w:hanging="360"/>
      </w:pPr>
      <w:rPr>
        <w:rFonts w:ascii="Symbol" w:hAnsi="Symbol" w:hint="default"/>
      </w:rPr>
    </w:lvl>
    <w:lvl w:ilvl="1" w:tplc="7924BABA" w:tentative="1">
      <w:start w:val="1"/>
      <w:numFmt w:val="bullet"/>
      <w:lvlText w:val=""/>
      <w:lvlJc w:val="left"/>
      <w:pPr>
        <w:tabs>
          <w:tab w:val="num" w:pos="1440"/>
        </w:tabs>
        <w:ind w:left="1440" w:hanging="360"/>
      </w:pPr>
      <w:rPr>
        <w:rFonts w:ascii="Symbol" w:hAnsi="Symbol" w:hint="default"/>
      </w:rPr>
    </w:lvl>
    <w:lvl w:ilvl="2" w:tplc="E098C1F4" w:tentative="1">
      <w:start w:val="1"/>
      <w:numFmt w:val="bullet"/>
      <w:lvlText w:val=""/>
      <w:lvlJc w:val="left"/>
      <w:pPr>
        <w:tabs>
          <w:tab w:val="num" w:pos="2160"/>
        </w:tabs>
        <w:ind w:left="2160" w:hanging="360"/>
      </w:pPr>
      <w:rPr>
        <w:rFonts w:ascii="Symbol" w:hAnsi="Symbol" w:hint="default"/>
      </w:rPr>
    </w:lvl>
    <w:lvl w:ilvl="3" w:tplc="39D4E082" w:tentative="1">
      <w:start w:val="1"/>
      <w:numFmt w:val="bullet"/>
      <w:lvlText w:val=""/>
      <w:lvlJc w:val="left"/>
      <w:pPr>
        <w:tabs>
          <w:tab w:val="num" w:pos="2880"/>
        </w:tabs>
        <w:ind w:left="2880" w:hanging="360"/>
      </w:pPr>
      <w:rPr>
        <w:rFonts w:ascii="Symbol" w:hAnsi="Symbol" w:hint="default"/>
      </w:rPr>
    </w:lvl>
    <w:lvl w:ilvl="4" w:tplc="9A0428F6" w:tentative="1">
      <w:start w:val="1"/>
      <w:numFmt w:val="bullet"/>
      <w:lvlText w:val=""/>
      <w:lvlJc w:val="left"/>
      <w:pPr>
        <w:tabs>
          <w:tab w:val="num" w:pos="3600"/>
        </w:tabs>
        <w:ind w:left="3600" w:hanging="360"/>
      </w:pPr>
      <w:rPr>
        <w:rFonts w:ascii="Symbol" w:hAnsi="Symbol" w:hint="default"/>
      </w:rPr>
    </w:lvl>
    <w:lvl w:ilvl="5" w:tplc="E9EE117A" w:tentative="1">
      <w:start w:val="1"/>
      <w:numFmt w:val="bullet"/>
      <w:lvlText w:val=""/>
      <w:lvlJc w:val="left"/>
      <w:pPr>
        <w:tabs>
          <w:tab w:val="num" w:pos="4320"/>
        </w:tabs>
        <w:ind w:left="4320" w:hanging="360"/>
      </w:pPr>
      <w:rPr>
        <w:rFonts w:ascii="Symbol" w:hAnsi="Symbol" w:hint="default"/>
      </w:rPr>
    </w:lvl>
    <w:lvl w:ilvl="6" w:tplc="B86A616E" w:tentative="1">
      <w:start w:val="1"/>
      <w:numFmt w:val="bullet"/>
      <w:lvlText w:val=""/>
      <w:lvlJc w:val="left"/>
      <w:pPr>
        <w:tabs>
          <w:tab w:val="num" w:pos="5040"/>
        </w:tabs>
        <w:ind w:left="5040" w:hanging="360"/>
      </w:pPr>
      <w:rPr>
        <w:rFonts w:ascii="Symbol" w:hAnsi="Symbol" w:hint="default"/>
      </w:rPr>
    </w:lvl>
    <w:lvl w:ilvl="7" w:tplc="4E8CACAA" w:tentative="1">
      <w:start w:val="1"/>
      <w:numFmt w:val="bullet"/>
      <w:lvlText w:val=""/>
      <w:lvlJc w:val="left"/>
      <w:pPr>
        <w:tabs>
          <w:tab w:val="num" w:pos="5760"/>
        </w:tabs>
        <w:ind w:left="5760" w:hanging="360"/>
      </w:pPr>
      <w:rPr>
        <w:rFonts w:ascii="Symbol" w:hAnsi="Symbol" w:hint="default"/>
      </w:rPr>
    </w:lvl>
    <w:lvl w:ilvl="8" w:tplc="70E4733E" w:tentative="1">
      <w:start w:val="1"/>
      <w:numFmt w:val="bullet"/>
      <w:lvlText w:val=""/>
      <w:lvlJc w:val="left"/>
      <w:pPr>
        <w:tabs>
          <w:tab w:val="num" w:pos="6480"/>
        </w:tabs>
        <w:ind w:left="6480" w:hanging="360"/>
      </w:pPr>
      <w:rPr>
        <w:rFonts w:ascii="Symbol" w:hAnsi="Symbol" w:hint="default"/>
      </w:rPr>
    </w:lvl>
  </w:abstractNum>
  <w:abstractNum w:abstractNumId="10">
    <w:nsid w:val="3AF20B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4D7D29"/>
    <w:multiLevelType w:val="hybridMultilevel"/>
    <w:tmpl w:val="CAE8C7C6"/>
    <w:lvl w:ilvl="0" w:tplc="728C09D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413830B9"/>
    <w:multiLevelType w:val="hybridMultilevel"/>
    <w:tmpl w:val="BD3EA42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E72F98"/>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6A0649"/>
    <w:multiLevelType w:val="hybridMultilevel"/>
    <w:tmpl w:val="C596B2B2"/>
    <w:lvl w:ilvl="0" w:tplc="10090017">
      <w:start w:val="1"/>
      <w:numFmt w:val="lowerLetter"/>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15">
    <w:nsid w:val="5481220F"/>
    <w:multiLevelType w:val="hybridMultilevel"/>
    <w:tmpl w:val="790674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A24A84"/>
    <w:multiLevelType w:val="multilevel"/>
    <w:tmpl w:val="40A0CFF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E47774"/>
    <w:multiLevelType w:val="multilevel"/>
    <w:tmpl w:val="BD9ECD4A"/>
    <w:styleLink w:val="Estilo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E233849"/>
    <w:multiLevelType w:val="hybridMultilevel"/>
    <w:tmpl w:val="DAEAD4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5C0C77"/>
    <w:multiLevelType w:val="hybridMultilevel"/>
    <w:tmpl w:val="A404A344"/>
    <w:lvl w:ilvl="0" w:tplc="10090017">
      <w:start w:val="1"/>
      <w:numFmt w:val="lowerLetter"/>
      <w:lvlText w:val="%1)"/>
      <w:lvlJc w:val="left"/>
      <w:pPr>
        <w:ind w:left="1347" w:hanging="7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6B28A7"/>
    <w:multiLevelType w:val="hybridMultilevel"/>
    <w:tmpl w:val="19BA4C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5934E81"/>
    <w:multiLevelType w:val="multilevel"/>
    <w:tmpl w:val="04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235E6A"/>
    <w:multiLevelType w:val="multilevel"/>
    <w:tmpl w:val="5CF6D7DA"/>
    <w:lvl w:ilvl="0">
      <w:start w:val="2"/>
      <w:numFmt w:val="decimal"/>
      <w:pStyle w:val="Ttulo4"/>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7C75C6"/>
    <w:multiLevelType w:val="multilevel"/>
    <w:tmpl w:val="AE3A78A2"/>
    <w:lvl w:ilvl="0">
      <w:start w:val="1"/>
      <w:numFmt w:val="lowerRoman"/>
      <w:lvlText w:val="%1)"/>
      <w:lvlJc w:val="left"/>
      <w:pPr>
        <w:ind w:left="1347" w:hanging="7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8967512"/>
    <w:multiLevelType w:val="hybridMultilevel"/>
    <w:tmpl w:val="7174CE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1"/>
  </w:num>
  <w:num w:numId="3">
    <w:abstractNumId w:val="13"/>
  </w:num>
  <w:num w:numId="4">
    <w:abstractNumId w:val="10"/>
  </w:num>
  <w:num w:numId="5">
    <w:abstractNumId w:val="24"/>
  </w:num>
  <w:num w:numId="6">
    <w:abstractNumId w:val="5"/>
  </w:num>
  <w:num w:numId="7">
    <w:abstractNumId w:val="20"/>
  </w:num>
  <w:num w:numId="8">
    <w:abstractNumId w:val="19"/>
  </w:num>
  <w:num w:numId="9">
    <w:abstractNumId w:val="7"/>
  </w:num>
  <w:num w:numId="10">
    <w:abstractNumId w:val="12"/>
  </w:num>
  <w:num w:numId="11">
    <w:abstractNumId w:val="8"/>
  </w:num>
  <w:num w:numId="12">
    <w:abstractNumId w:val="2"/>
  </w:num>
  <w:num w:numId="13">
    <w:abstractNumId w:val="16"/>
  </w:num>
  <w:num w:numId="14">
    <w:abstractNumId w:val="22"/>
    <w:lvlOverride w:ilvl="0">
      <w:lvl w:ilvl="0">
        <w:numFmt w:val="decimal"/>
        <w:pStyle w:val="Ttulo4"/>
        <w:lvlText w:val=""/>
        <w:lvlJc w:val="left"/>
      </w:lvl>
    </w:lvlOverride>
    <w:lvlOverride w:ilvl="1">
      <w:lvl w:ilvl="1">
        <w:start w:val="1"/>
        <w:numFmt w:val="decimal"/>
        <w:pStyle w:val="Ttulo2"/>
        <w:lvlText w:val="%1.%2."/>
        <w:lvlJc w:val="left"/>
        <w:pPr>
          <w:ind w:left="792" w:hanging="432"/>
        </w:pPr>
      </w:lvl>
    </w:lvlOverride>
  </w:num>
  <w:num w:numId="15">
    <w:abstractNumId w:val="14"/>
  </w:num>
  <w:num w:numId="16">
    <w:abstractNumId w:val="1"/>
  </w:num>
  <w:num w:numId="17">
    <w:abstractNumId w:val="18"/>
  </w:num>
  <w:num w:numId="18">
    <w:abstractNumId w:val="9"/>
  </w:num>
  <w:num w:numId="19">
    <w:abstractNumId w:val="0"/>
  </w:num>
  <w:num w:numId="20">
    <w:abstractNumId w:val="15"/>
  </w:num>
  <w:num w:numId="21">
    <w:abstractNumId w:val="17"/>
  </w:num>
  <w:num w:numId="22">
    <w:abstractNumId w:val="4"/>
  </w:num>
  <w:num w:numId="23">
    <w:abstractNumId w:val="6"/>
  </w:num>
  <w:num w:numId="24">
    <w:abstractNumId w:val="11"/>
  </w:num>
  <w:num w:numId="25">
    <w:abstractNumId w:val="23"/>
  </w:num>
  <w:num w:numId="26">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397"/>
  <w:autoHyphenation/>
  <w:hyphenationZone w:val="425"/>
  <w:evenAndOddHeaders/>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rsids>
    <w:rsidRoot w:val="005B0732"/>
    <w:rsid w:val="00000A64"/>
    <w:rsid w:val="0000143B"/>
    <w:rsid w:val="0000162F"/>
    <w:rsid w:val="00001A73"/>
    <w:rsid w:val="00002EF6"/>
    <w:rsid w:val="000039CC"/>
    <w:rsid w:val="0000423D"/>
    <w:rsid w:val="00004E6E"/>
    <w:rsid w:val="00005807"/>
    <w:rsid w:val="000062A0"/>
    <w:rsid w:val="000064F7"/>
    <w:rsid w:val="0000699D"/>
    <w:rsid w:val="000079F7"/>
    <w:rsid w:val="0001049B"/>
    <w:rsid w:val="000107DC"/>
    <w:rsid w:val="00011926"/>
    <w:rsid w:val="00011E92"/>
    <w:rsid w:val="0001258A"/>
    <w:rsid w:val="000130B6"/>
    <w:rsid w:val="00013C7F"/>
    <w:rsid w:val="00014430"/>
    <w:rsid w:val="0001495C"/>
    <w:rsid w:val="00014D00"/>
    <w:rsid w:val="00014F9E"/>
    <w:rsid w:val="00015010"/>
    <w:rsid w:val="000152FA"/>
    <w:rsid w:val="00015ABC"/>
    <w:rsid w:val="00016134"/>
    <w:rsid w:val="00016554"/>
    <w:rsid w:val="00017B0B"/>
    <w:rsid w:val="00017F97"/>
    <w:rsid w:val="000206BC"/>
    <w:rsid w:val="00020D2A"/>
    <w:rsid w:val="00020EAC"/>
    <w:rsid w:val="00020F99"/>
    <w:rsid w:val="000213AF"/>
    <w:rsid w:val="00021934"/>
    <w:rsid w:val="00021998"/>
    <w:rsid w:val="0002225C"/>
    <w:rsid w:val="000222A8"/>
    <w:rsid w:val="00024160"/>
    <w:rsid w:val="00024755"/>
    <w:rsid w:val="000247A1"/>
    <w:rsid w:val="00026557"/>
    <w:rsid w:val="00026AB6"/>
    <w:rsid w:val="00027B82"/>
    <w:rsid w:val="00027E98"/>
    <w:rsid w:val="000305FB"/>
    <w:rsid w:val="00031213"/>
    <w:rsid w:val="000314F5"/>
    <w:rsid w:val="00031C5F"/>
    <w:rsid w:val="00032187"/>
    <w:rsid w:val="00032BF2"/>
    <w:rsid w:val="000330B5"/>
    <w:rsid w:val="000333B6"/>
    <w:rsid w:val="00033BA4"/>
    <w:rsid w:val="00035E77"/>
    <w:rsid w:val="00035F6F"/>
    <w:rsid w:val="00036419"/>
    <w:rsid w:val="00036D4C"/>
    <w:rsid w:val="000371E9"/>
    <w:rsid w:val="0003720B"/>
    <w:rsid w:val="00037341"/>
    <w:rsid w:val="00037362"/>
    <w:rsid w:val="00041674"/>
    <w:rsid w:val="000420C2"/>
    <w:rsid w:val="000427FF"/>
    <w:rsid w:val="0004323E"/>
    <w:rsid w:val="00044214"/>
    <w:rsid w:val="000448FD"/>
    <w:rsid w:val="000455B7"/>
    <w:rsid w:val="00045E4A"/>
    <w:rsid w:val="000478F5"/>
    <w:rsid w:val="0004798C"/>
    <w:rsid w:val="00047AEA"/>
    <w:rsid w:val="0005185D"/>
    <w:rsid w:val="00051B2D"/>
    <w:rsid w:val="00051DD4"/>
    <w:rsid w:val="00052F75"/>
    <w:rsid w:val="0005316A"/>
    <w:rsid w:val="000531A8"/>
    <w:rsid w:val="000536F0"/>
    <w:rsid w:val="00053AF4"/>
    <w:rsid w:val="0005433B"/>
    <w:rsid w:val="0005484C"/>
    <w:rsid w:val="00054988"/>
    <w:rsid w:val="00054DF8"/>
    <w:rsid w:val="000555B7"/>
    <w:rsid w:val="00055730"/>
    <w:rsid w:val="00055E5F"/>
    <w:rsid w:val="000567C8"/>
    <w:rsid w:val="00056C7E"/>
    <w:rsid w:val="0005737F"/>
    <w:rsid w:val="000609DD"/>
    <w:rsid w:val="00060CCA"/>
    <w:rsid w:val="0006206E"/>
    <w:rsid w:val="00063F66"/>
    <w:rsid w:val="00065037"/>
    <w:rsid w:val="00065875"/>
    <w:rsid w:val="00065C08"/>
    <w:rsid w:val="00065F95"/>
    <w:rsid w:val="000662A4"/>
    <w:rsid w:val="00066311"/>
    <w:rsid w:val="0006716D"/>
    <w:rsid w:val="000701E8"/>
    <w:rsid w:val="00070595"/>
    <w:rsid w:val="000707D0"/>
    <w:rsid w:val="0007130C"/>
    <w:rsid w:val="00071852"/>
    <w:rsid w:val="00071A92"/>
    <w:rsid w:val="00071C5E"/>
    <w:rsid w:val="00072804"/>
    <w:rsid w:val="00074076"/>
    <w:rsid w:val="00075031"/>
    <w:rsid w:val="00075632"/>
    <w:rsid w:val="000756B7"/>
    <w:rsid w:val="00075727"/>
    <w:rsid w:val="00075C69"/>
    <w:rsid w:val="00075CB2"/>
    <w:rsid w:val="00076112"/>
    <w:rsid w:val="000767E4"/>
    <w:rsid w:val="0007693B"/>
    <w:rsid w:val="0007711A"/>
    <w:rsid w:val="00077178"/>
    <w:rsid w:val="00082258"/>
    <w:rsid w:val="000827DF"/>
    <w:rsid w:val="00082B7C"/>
    <w:rsid w:val="00082C47"/>
    <w:rsid w:val="00083C7E"/>
    <w:rsid w:val="00084B48"/>
    <w:rsid w:val="00084EE0"/>
    <w:rsid w:val="00085A38"/>
    <w:rsid w:val="00086166"/>
    <w:rsid w:val="00086194"/>
    <w:rsid w:val="0008677C"/>
    <w:rsid w:val="000870E4"/>
    <w:rsid w:val="00087A50"/>
    <w:rsid w:val="00087E5A"/>
    <w:rsid w:val="000903FB"/>
    <w:rsid w:val="00090A5E"/>
    <w:rsid w:val="00090CCA"/>
    <w:rsid w:val="00090E94"/>
    <w:rsid w:val="00091188"/>
    <w:rsid w:val="00091398"/>
    <w:rsid w:val="00091825"/>
    <w:rsid w:val="00091C84"/>
    <w:rsid w:val="00092BFC"/>
    <w:rsid w:val="000935F0"/>
    <w:rsid w:val="0009405E"/>
    <w:rsid w:val="00094546"/>
    <w:rsid w:val="00094589"/>
    <w:rsid w:val="00095C19"/>
    <w:rsid w:val="0009677B"/>
    <w:rsid w:val="00096B68"/>
    <w:rsid w:val="000972AA"/>
    <w:rsid w:val="000978C3"/>
    <w:rsid w:val="00097E00"/>
    <w:rsid w:val="000A0B0D"/>
    <w:rsid w:val="000A1441"/>
    <w:rsid w:val="000A2518"/>
    <w:rsid w:val="000A290A"/>
    <w:rsid w:val="000A3D19"/>
    <w:rsid w:val="000A657E"/>
    <w:rsid w:val="000A78D1"/>
    <w:rsid w:val="000B08EE"/>
    <w:rsid w:val="000B1086"/>
    <w:rsid w:val="000B1128"/>
    <w:rsid w:val="000B1FE7"/>
    <w:rsid w:val="000B3FD4"/>
    <w:rsid w:val="000B41A4"/>
    <w:rsid w:val="000B4428"/>
    <w:rsid w:val="000B641B"/>
    <w:rsid w:val="000B70D2"/>
    <w:rsid w:val="000B7535"/>
    <w:rsid w:val="000C0DD7"/>
    <w:rsid w:val="000C11E4"/>
    <w:rsid w:val="000C1FEB"/>
    <w:rsid w:val="000C2140"/>
    <w:rsid w:val="000C2983"/>
    <w:rsid w:val="000C3C22"/>
    <w:rsid w:val="000C4C91"/>
    <w:rsid w:val="000C5C6C"/>
    <w:rsid w:val="000C5E70"/>
    <w:rsid w:val="000C6623"/>
    <w:rsid w:val="000C6816"/>
    <w:rsid w:val="000C77AE"/>
    <w:rsid w:val="000C7AED"/>
    <w:rsid w:val="000C7B3E"/>
    <w:rsid w:val="000D0D71"/>
    <w:rsid w:val="000D1375"/>
    <w:rsid w:val="000D18E0"/>
    <w:rsid w:val="000D1A52"/>
    <w:rsid w:val="000D20E9"/>
    <w:rsid w:val="000D3451"/>
    <w:rsid w:val="000D4263"/>
    <w:rsid w:val="000D4713"/>
    <w:rsid w:val="000D4723"/>
    <w:rsid w:val="000D4BA8"/>
    <w:rsid w:val="000D5E8E"/>
    <w:rsid w:val="000D6DA1"/>
    <w:rsid w:val="000D7171"/>
    <w:rsid w:val="000E06C6"/>
    <w:rsid w:val="000E14B3"/>
    <w:rsid w:val="000E1BE3"/>
    <w:rsid w:val="000E237F"/>
    <w:rsid w:val="000E2A8B"/>
    <w:rsid w:val="000E378B"/>
    <w:rsid w:val="000E3F34"/>
    <w:rsid w:val="000E4079"/>
    <w:rsid w:val="000E4EB8"/>
    <w:rsid w:val="000E50FD"/>
    <w:rsid w:val="000E5617"/>
    <w:rsid w:val="000E5E00"/>
    <w:rsid w:val="000E68EC"/>
    <w:rsid w:val="000E6CA2"/>
    <w:rsid w:val="000E7531"/>
    <w:rsid w:val="000E78D3"/>
    <w:rsid w:val="000F0401"/>
    <w:rsid w:val="000F058E"/>
    <w:rsid w:val="000F2908"/>
    <w:rsid w:val="000F34ED"/>
    <w:rsid w:val="000F3A54"/>
    <w:rsid w:val="000F562C"/>
    <w:rsid w:val="000F62D2"/>
    <w:rsid w:val="000F6337"/>
    <w:rsid w:val="000F77A3"/>
    <w:rsid w:val="000F7ABD"/>
    <w:rsid w:val="00102081"/>
    <w:rsid w:val="0010241D"/>
    <w:rsid w:val="0010397C"/>
    <w:rsid w:val="00103AE2"/>
    <w:rsid w:val="001043FF"/>
    <w:rsid w:val="001045D0"/>
    <w:rsid w:val="00106116"/>
    <w:rsid w:val="00106B4D"/>
    <w:rsid w:val="0010706F"/>
    <w:rsid w:val="0010726D"/>
    <w:rsid w:val="00110352"/>
    <w:rsid w:val="00110505"/>
    <w:rsid w:val="00111578"/>
    <w:rsid w:val="00113226"/>
    <w:rsid w:val="00113D87"/>
    <w:rsid w:val="00113DF9"/>
    <w:rsid w:val="00114698"/>
    <w:rsid w:val="00114E0B"/>
    <w:rsid w:val="00115A37"/>
    <w:rsid w:val="00116B4A"/>
    <w:rsid w:val="00117491"/>
    <w:rsid w:val="001179DA"/>
    <w:rsid w:val="00117BEE"/>
    <w:rsid w:val="00120E7B"/>
    <w:rsid w:val="001215CB"/>
    <w:rsid w:val="001217FD"/>
    <w:rsid w:val="001222EF"/>
    <w:rsid w:val="0012286A"/>
    <w:rsid w:val="00122B35"/>
    <w:rsid w:val="0012311E"/>
    <w:rsid w:val="00123151"/>
    <w:rsid w:val="001245DD"/>
    <w:rsid w:val="00125ABB"/>
    <w:rsid w:val="00127E80"/>
    <w:rsid w:val="00130650"/>
    <w:rsid w:val="00130AE3"/>
    <w:rsid w:val="00130E35"/>
    <w:rsid w:val="001334B9"/>
    <w:rsid w:val="001348E0"/>
    <w:rsid w:val="001350F4"/>
    <w:rsid w:val="001358B2"/>
    <w:rsid w:val="00136571"/>
    <w:rsid w:val="00136606"/>
    <w:rsid w:val="00136989"/>
    <w:rsid w:val="00136BFD"/>
    <w:rsid w:val="00136E35"/>
    <w:rsid w:val="00137978"/>
    <w:rsid w:val="00137DF0"/>
    <w:rsid w:val="00137DFF"/>
    <w:rsid w:val="0014053A"/>
    <w:rsid w:val="001412A5"/>
    <w:rsid w:val="00141A38"/>
    <w:rsid w:val="001420D2"/>
    <w:rsid w:val="001422DD"/>
    <w:rsid w:val="00142D2F"/>
    <w:rsid w:val="001438C0"/>
    <w:rsid w:val="00143F0F"/>
    <w:rsid w:val="00144782"/>
    <w:rsid w:val="001448FB"/>
    <w:rsid w:val="0014546C"/>
    <w:rsid w:val="00145667"/>
    <w:rsid w:val="0014566B"/>
    <w:rsid w:val="001462C2"/>
    <w:rsid w:val="00146300"/>
    <w:rsid w:val="001467D5"/>
    <w:rsid w:val="00146CA1"/>
    <w:rsid w:val="00147426"/>
    <w:rsid w:val="001503A1"/>
    <w:rsid w:val="0015045C"/>
    <w:rsid w:val="00150BE8"/>
    <w:rsid w:val="00152784"/>
    <w:rsid w:val="00152E6D"/>
    <w:rsid w:val="00154D6F"/>
    <w:rsid w:val="00154F0E"/>
    <w:rsid w:val="00154F87"/>
    <w:rsid w:val="001553B0"/>
    <w:rsid w:val="00155489"/>
    <w:rsid w:val="001557F1"/>
    <w:rsid w:val="0015647D"/>
    <w:rsid w:val="00156831"/>
    <w:rsid w:val="00156AE7"/>
    <w:rsid w:val="00156F3C"/>
    <w:rsid w:val="00157D98"/>
    <w:rsid w:val="00161928"/>
    <w:rsid w:val="0016286D"/>
    <w:rsid w:val="00162957"/>
    <w:rsid w:val="00162BE6"/>
    <w:rsid w:val="001632A9"/>
    <w:rsid w:val="0016431B"/>
    <w:rsid w:val="00165153"/>
    <w:rsid w:val="00165DD4"/>
    <w:rsid w:val="001662CA"/>
    <w:rsid w:val="00166927"/>
    <w:rsid w:val="001675D0"/>
    <w:rsid w:val="00170DC7"/>
    <w:rsid w:val="00171901"/>
    <w:rsid w:val="00172836"/>
    <w:rsid w:val="00172C8E"/>
    <w:rsid w:val="00173328"/>
    <w:rsid w:val="001744A2"/>
    <w:rsid w:val="00174849"/>
    <w:rsid w:val="00175C08"/>
    <w:rsid w:val="00175D91"/>
    <w:rsid w:val="00176461"/>
    <w:rsid w:val="0017793B"/>
    <w:rsid w:val="0018178A"/>
    <w:rsid w:val="00181B2F"/>
    <w:rsid w:val="001831B3"/>
    <w:rsid w:val="00183742"/>
    <w:rsid w:val="00183AB4"/>
    <w:rsid w:val="00183CFE"/>
    <w:rsid w:val="00184A76"/>
    <w:rsid w:val="00184CD6"/>
    <w:rsid w:val="0018562E"/>
    <w:rsid w:val="00185740"/>
    <w:rsid w:val="00185B82"/>
    <w:rsid w:val="00185F3F"/>
    <w:rsid w:val="00186061"/>
    <w:rsid w:val="00186290"/>
    <w:rsid w:val="00186897"/>
    <w:rsid w:val="001869D9"/>
    <w:rsid w:val="00186AE1"/>
    <w:rsid w:val="001879BA"/>
    <w:rsid w:val="0019003C"/>
    <w:rsid w:val="00193010"/>
    <w:rsid w:val="00193171"/>
    <w:rsid w:val="00193B1C"/>
    <w:rsid w:val="00194365"/>
    <w:rsid w:val="00194A31"/>
    <w:rsid w:val="0019513B"/>
    <w:rsid w:val="0019738E"/>
    <w:rsid w:val="001977FD"/>
    <w:rsid w:val="001978C9"/>
    <w:rsid w:val="00197BF1"/>
    <w:rsid w:val="001A07F9"/>
    <w:rsid w:val="001A290E"/>
    <w:rsid w:val="001A2B45"/>
    <w:rsid w:val="001A33B5"/>
    <w:rsid w:val="001A35F1"/>
    <w:rsid w:val="001A3886"/>
    <w:rsid w:val="001A3AB4"/>
    <w:rsid w:val="001A4015"/>
    <w:rsid w:val="001A42E7"/>
    <w:rsid w:val="001A4508"/>
    <w:rsid w:val="001A4AA8"/>
    <w:rsid w:val="001A5153"/>
    <w:rsid w:val="001A5CC9"/>
    <w:rsid w:val="001A6AC1"/>
    <w:rsid w:val="001A6AD8"/>
    <w:rsid w:val="001A6BEF"/>
    <w:rsid w:val="001A6D7D"/>
    <w:rsid w:val="001A793E"/>
    <w:rsid w:val="001A7BC2"/>
    <w:rsid w:val="001B052E"/>
    <w:rsid w:val="001B172A"/>
    <w:rsid w:val="001B19A4"/>
    <w:rsid w:val="001B19C3"/>
    <w:rsid w:val="001B1FE6"/>
    <w:rsid w:val="001B269C"/>
    <w:rsid w:val="001B2AB6"/>
    <w:rsid w:val="001B3559"/>
    <w:rsid w:val="001B3625"/>
    <w:rsid w:val="001B3A72"/>
    <w:rsid w:val="001B3AF6"/>
    <w:rsid w:val="001B3F1C"/>
    <w:rsid w:val="001B738C"/>
    <w:rsid w:val="001C02B7"/>
    <w:rsid w:val="001C174B"/>
    <w:rsid w:val="001C21AD"/>
    <w:rsid w:val="001C3F01"/>
    <w:rsid w:val="001C416B"/>
    <w:rsid w:val="001C6598"/>
    <w:rsid w:val="001C7E47"/>
    <w:rsid w:val="001C7EFE"/>
    <w:rsid w:val="001D079A"/>
    <w:rsid w:val="001D139E"/>
    <w:rsid w:val="001D185E"/>
    <w:rsid w:val="001D1E19"/>
    <w:rsid w:val="001D2491"/>
    <w:rsid w:val="001D25FA"/>
    <w:rsid w:val="001D35F4"/>
    <w:rsid w:val="001D3B72"/>
    <w:rsid w:val="001D3D1D"/>
    <w:rsid w:val="001D429E"/>
    <w:rsid w:val="001D4617"/>
    <w:rsid w:val="001D477B"/>
    <w:rsid w:val="001D5116"/>
    <w:rsid w:val="001D550A"/>
    <w:rsid w:val="001D63CB"/>
    <w:rsid w:val="001D6619"/>
    <w:rsid w:val="001D696A"/>
    <w:rsid w:val="001D6D3F"/>
    <w:rsid w:val="001D6F55"/>
    <w:rsid w:val="001D7160"/>
    <w:rsid w:val="001D7A8A"/>
    <w:rsid w:val="001E157A"/>
    <w:rsid w:val="001E198B"/>
    <w:rsid w:val="001E2AE1"/>
    <w:rsid w:val="001E2FD5"/>
    <w:rsid w:val="001E31FE"/>
    <w:rsid w:val="001E3463"/>
    <w:rsid w:val="001E392F"/>
    <w:rsid w:val="001E3FA0"/>
    <w:rsid w:val="001E4107"/>
    <w:rsid w:val="001E4B46"/>
    <w:rsid w:val="001E5679"/>
    <w:rsid w:val="001E58CE"/>
    <w:rsid w:val="001E59F2"/>
    <w:rsid w:val="001E5EB1"/>
    <w:rsid w:val="001E62CC"/>
    <w:rsid w:val="001E6535"/>
    <w:rsid w:val="001E661B"/>
    <w:rsid w:val="001E6895"/>
    <w:rsid w:val="001E68C7"/>
    <w:rsid w:val="001E72BA"/>
    <w:rsid w:val="001E781D"/>
    <w:rsid w:val="001E7944"/>
    <w:rsid w:val="001F03E0"/>
    <w:rsid w:val="001F0FE4"/>
    <w:rsid w:val="001F18F0"/>
    <w:rsid w:val="001F1F99"/>
    <w:rsid w:val="001F3477"/>
    <w:rsid w:val="001F504A"/>
    <w:rsid w:val="001F5457"/>
    <w:rsid w:val="001F5E2C"/>
    <w:rsid w:val="001F6BB2"/>
    <w:rsid w:val="001F7FA2"/>
    <w:rsid w:val="00200085"/>
    <w:rsid w:val="0020078A"/>
    <w:rsid w:val="002007E9"/>
    <w:rsid w:val="00200B4C"/>
    <w:rsid w:val="00202C87"/>
    <w:rsid w:val="002038E0"/>
    <w:rsid w:val="0020413A"/>
    <w:rsid w:val="0020465F"/>
    <w:rsid w:val="00204972"/>
    <w:rsid w:val="00206611"/>
    <w:rsid w:val="00207B73"/>
    <w:rsid w:val="00207D93"/>
    <w:rsid w:val="002123DB"/>
    <w:rsid w:val="00212729"/>
    <w:rsid w:val="00213108"/>
    <w:rsid w:val="002134F5"/>
    <w:rsid w:val="00213996"/>
    <w:rsid w:val="00213F57"/>
    <w:rsid w:val="002141E8"/>
    <w:rsid w:val="00214B15"/>
    <w:rsid w:val="002158C5"/>
    <w:rsid w:val="00215F19"/>
    <w:rsid w:val="002172F8"/>
    <w:rsid w:val="002178C8"/>
    <w:rsid w:val="00220180"/>
    <w:rsid w:val="00220190"/>
    <w:rsid w:val="00220984"/>
    <w:rsid w:val="00220AA5"/>
    <w:rsid w:val="00221F02"/>
    <w:rsid w:val="00223B87"/>
    <w:rsid w:val="00223EAD"/>
    <w:rsid w:val="002251D5"/>
    <w:rsid w:val="00225F90"/>
    <w:rsid w:val="002264BE"/>
    <w:rsid w:val="00226700"/>
    <w:rsid w:val="002271EA"/>
    <w:rsid w:val="00227B49"/>
    <w:rsid w:val="0023014B"/>
    <w:rsid w:val="00230F33"/>
    <w:rsid w:val="00231578"/>
    <w:rsid w:val="00231FE0"/>
    <w:rsid w:val="00232AB8"/>
    <w:rsid w:val="002331CF"/>
    <w:rsid w:val="00234F75"/>
    <w:rsid w:val="00235338"/>
    <w:rsid w:val="00235389"/>
    <w:rsid w:val="002357C3"/>
    <w:rsid w:val="002361B3"/>
    <w:rsid w:val="00236BC1"/>
    <w:rsid w:val="00236EC0"/>
    <w:rsid w:val="0023789B"/>
    <w:rsid w:val="00241719"/>
    <w:rsid w:val="002417E7"/>
    <w:rsid w:val="00241AE1"/>
    <w:rsid w:val="002434C5"/>
    <w:rsid w:val="00243959"/>
    <w:rsid w:val="002439D0"/>
    <w:rsid w:val="00244029"/>
    <w:rsid w:val="00244142"/>
    <w:rsid w:val="0024491B"/>
    <w:rsid w:val="00244B85"/>
    <w:rsid w:val="00245D54"/>
    <w:rsid w:val="002501A2"/>
    <w:rsid w:val="00250315"/>
    <w:rsid w:val="0025364E"/>
    <w:rsid w:val="002536A1"/>
    <w:rsid w:val="00254447"/>
    <w:rsid w:val="0025494A"/>
    <w:rsid w:val="002559E5"/>
    <w:rsid w:val="002564E4"/>
    <w:rsid w:val="00256E4C"/>
    <w:rsid w:val="00257E18"/>
    <w:rsid w:val="00257E1C"/>
    <w:rsid w:val="00260655"/>
    <w:rsid w:val="00262212"/>
    <w:rsid w:val="002627BA"/>
    <w:rsid w:val="00262A37"/>
    <w:rsid w:val="00264BDE"/>
    <w:rsid w:val="00264F84"/>
    <w:rsid w:val="002650B7"/>
    <w:rsid w:val="00265453"/>
    <w:rsid w:val="002662EF"/>
    <w:rsid w:val="00266A64"/>
    <w:rsid w:val="00267C78"/>
    <w:rsid w:val="00270014"/>
    <w:rsid w:val="002708E2"/>
    <w:rsid w:val="00271067"/>
    <w:rsid w:val="002719F3"/>
    <w:rsid w:val="00271A04"/>
    <w:rsid w:val="00271E97"/>
    <w:rsid w:val="00272285"/>
    <w:rsid w:val="0027270D"/>
    <w:rsid w:val="002728B9"/>
    <w:rsid w:val="00272DF2"/>
    <w:rsid w:val="002730F6"/>
    <w:rsid w:val="00273A1F"/>
    <w:rsid w:val="00273D48"/>
    <w:rsid w:val="002749AE"/>
    <w:rsid w:val="00274FCF"/>
    <w:rsid w:val="00275476"/>
    <w:rsid w:val="0027579E"/>
    <w:rsid w:val="00275D68"/>
    <w:rsid w:val="00275E67"/>
    <w:rsid w:val="00276008"/>
    <w:rsid w:val="002765A7"/>
    <w:rsid w:val="00276A6D"/>
    <w:rsid w:val="0027711B"/>
    <w:rsid w:val="00277AE9"/>
    <w:rsid w:val="002800CE"/>
    <w:rsid w:val="00281017"/>
    <w:rsid w:val="002810F0"/>
    <w:rsid w:val="00282C36"/>
    <w:rsid w:val="00283C63"/>
    <w:rsid w:val="00283DE2"/>
    <w:rsid w:val="00284CBB"/>
    <w:rsid w:val="002876C0"/>
    <w:rsid w:val="0028774A"/>
    <w:rsid w:val="00287AEE"/>
    <w:rsid w:val="00287B4B"/>
    <w:rsid w:val="00287BEB"/>
    <w:rsid w:val="00290DE1"/>
    <w:rsid w:val="00291249"/>
    <w:rsid w:val="002913AA"/>
    <w:rsid w:val="00291998"/>
    <w:rsid w:val="002924F5"/>
    <w:rsid w:val="00292B0B"/>
    <w:rsid w:val="002952CD"/>
    <w:rsid w:val="0029554F"/>
    <w:rsid w:val="00295697"/>
    <w:rsid w:val="00297AE5"/>
    <w:rsid w:val="00297E3E"/>
    <w:rsid w:val="002A0012"/>
    <w:rsid w:val="002A0126"/>
    <w:rsid w:val="002A11F2"/>
    <w:rsid w:val="002A121B"/>
    <w:rsid w:val="002A1C67"/>
    <w:rsid w:val="002A1F91"/>
    <w:rsid w:val="002A23B6"/>
    <w:rsid w:val="002A2A96"/>
    <w:rsid w:val="002A330A"/>
    <w:rsid w:val="002A409E"/>
    <w:rsid w:val="002A4769"/>
    <w:rsid w:val="002A476B"/>
    <w:rsid w:val="002A631F"/>
    <w:rsid w:val="002A730D"/>
    <w:rsid w:val="002A7A26"/>
    <w:rsid w:val="002A7E1B"/>
    <w:rsid w:val="002A7EEB"/>
    <w:rsid w:val="002B0136"/>
    <w:rsid w:val="002B0EB3"/>
    <w:rsid w:val="002B13F5"/>
    <w:rsid w:val="002B161F"/>
    <w:rsid w:val="002B1623"/>
    <w:rsid w:val="002B1A4D"/>
    <w:rsid w:val="002B2C86"/>
    <w:rsid w:val="002B3215"/>
    <w:rsid w:val="002B36DD"/>
    <w:rsid w:val="002B3BF5"/>
    <w:rsid w:val="002B3FE5"/>
    <w:rsid w:val="002B4D8C"/>
    <w:rsid w:val="002B57BE"/>
    <w:rsid w:val="002B5B5A"/>
    <w:rsid w:val="002B71FE"/>
    <w:rsid w:val="002B786A"/>
    <w:rsid w:val="002B7E93"/>
    <w:rsid w:val="002C0F8C"/>
    <w:rsid w:val="002C1BD9"/>
    <w:rsid w:val="002C212D"/>
    <w:rsid w:val="002C292F"/>
    <w:rsid w:val="002C32C8"/>
    <w:rsid w:val="002C3D36"/>
    <w:rsid w:val="002C4390"/>
    <w:rsid w:val="002C582A"/>
    <w:rsid w:val="002C618F"/>
    <w:rsid w:val="002C6A39"/>
    <w:rsid w:val="002C7DA1"/>
    <w:rsid w:val="002D1326"/>
    <w:rsid w:val="002D1EFF"/>
    <w:rsid w:val="002D277A"/>
    <w:rsid w:val="002D4145"/>
    <w:rsid w:val="002D4232"/>
    <w:rsid w:val="002D42E2"/>
    <w:rsid w:val="002D4DC7"/>
    <w:rsid w:val="002D4FC4"/>
    <w:rsid w:val="002E093A"/>
    <w:rsid w:val="002E0D83"/>
    <w:rsid w:val="002E16CA"/>
    <w:rsid w:val="002E1E8B"/>
    <w:rsid w:val="002E4BBB"/>
    <w:rsid w:val="002E4DBB"/>
    <w:rsid w:val="002E5C36"/>
    <w:rsid w:val="002E5E53"/>
    <w:rsid w:val="002E6A33"/>
    <w:rsid w:val="002E7F07"/>
    <w:rsid w:val="002F0395"/>
    <w:rsid w:val="002F0947"/>
    <w:rsid w:val="002F0E5B"/>
    <w:rsid w:val="002F1092"/>
    <w:rsid w:val="002F1485"/>
    <w:rsid w:val="002F275E"/>
    <w:rsid w:val="002F328A"/>
    <w:rsid w:val="002F3BC1"/>
    <w:rsid w:val="002F3D6B"/>
    <w:rsid w:val="002F4312"/>
    <w:rsid w:val="002F7146"/>
    <w:rsid w:val="002F743C"/>
    <w:rsid w:val="002F7545"/>
    <w:rsid w:val="002F7D46"/>
    <w:rsid w:val="002F7EA8"/>
    <w:rsid w:val="00300269"/>
    <w:rsid w:val="003018BF"/>
    <w:rsid w:val="00301AB3"/>
    <w:rsid w:val="00301F4A"/>
    <w:rsid w:val="00302DE5"/>
    <w:rsid w:val="003044B2"/>
    <w:rsid w:val="0030458F"/>
    <w:rsid w:val="003052BC"/>
    <w:rsid w:val="003054DE"/>
    <w:rsid w:val="00305560"/>
    <w:rsid w:val="003059BD"/>
    <w:rsid w:val="003059C2"/>
    <w:rsid w:val="003067F5"/>
    <w:rsid w:val="00306B9E"/>
    <w:rsid w:val="00306BF9"/>
    <w:rsid w:val="003071E3"/>
    <w:rsid w:val="00307BE7"/>
    <w:rsid w:val="00307E41"/>
    <w:rsid w:val="0031147D"/>
    <w:rsid w:val="00311A7B"/>
    <w:rsid w:val="00311D8C"/>
    <w:rsid w:val="00312444"/>
    <w:rsid w:val="00312D4B"/>
    <w:rsid w:val="00313052"/>
    <w:rsid w:val="00313DB4"/>
    <w:rsid w:val="00314109"/>
    <w:rsid w:val="0032068E"/>
    <w:rsid w:val="003208CA"/>
    <w:rsid w:val="0032091A"/>
    <w:rsid w:val="00320CE2"/>
    <w:rsid w:val="00321459"/>
    <w:rsid w:val="003216FA"/>
    <w:rsid w:val="00321D9D"/>
    <w:rsid w:val="0032238B"/>
    <w:rsid w:val="0032280C"/>
    <w:rsid w:val="00322AD9"/>
    <w:rsid w:val="00324F3A"/>
    <w:rsid w:val="003269AE"/>
    <w:rsid w:val="003269C3"/>
    <w:rsid w:val="00326AAF"/>
    <w:rsid w:val="00326F7F"/>
    <w:rsid w:val="00327E28"/>
    <w:rsid w:val="00327EE3"/>
    <w:rsid w:val="0033055B"/>
    <w:rsid w:val="003311CC"/>
    <w:rsid w:val="0033128A"/>
    <w:rsid w:val="00331F85"/>
    <w:rsid w:val="00332293"/>
    <w:rsid w:val="00332D20"/>
    <w:rsid w:val="003335F0"/>
    <w:rsid w:val="003336ED"/>
    <w:rsid w:val="00334939"/>
    <w:rsid w:val="00334E42"/>
    <w:rsid w:val="0033562B"/>
    <w:rsid w:val="00335655"/>
    <w:rsid w:val="00336DF6"/>
    <w:rsid w:val="003379EE"/>
    <w:rsid w:val="00337AE0"/>
    <w:rsid w:val="003407FC"/>
    <w:rsid w:val="00340ED2"/>
    <w:rsid w:val="00341BED"/>
    <w:rsid w:val="00341D3D"/>
    <w:rsid w:val="003446B7"/>
    <w:rsid w:val="00344C26"/>
    <w:rsid w:val="00345161"/>
    <w:rsid w:val="003451F6"/>
    <w:rsid w:val="0034573D"/>
    <w:rsid w:val="00345816"/>
    <w:rsid w:val="00345EC1"/>
    <w:rsid w:val="00345FE0"/>
    <w:rsid w:val="00346678"/>
    <w:rsid w:val="00346EC6"/>
    <w:rsid w:val="00346F0C"/>
    <w:rsid w:val="00347413"/>
    <w:rsid w:val="00347931"/>
    <w:rsid w:val="0035078F"/>
    <w:rsid w:val="00350B22"/>
    <w:rsid w:val="00350DB5"/>
    <w:rsid w:val="003512F2"/>
    <w:rsid w:val="00352732"/>
    <w:rsid w:val="00352C6B"/>
    <w:rsid w:val="00353211"/>
    <w:rsid w:val="003541C0"/>
    <w:rsid w:val="00354EF1"/>
    <w:rsid w:val="00355413"/>
    <w:rsid w:val="00355FD6"/>
    <w:rsid w:val="00356267"/>
    <w:rsid w:val="00356E24"/>
    <w:rsid w:val="003570A9"/>
    <w:rsid w:val="00357A48"/>
    <w:rsid w:val="0036046C"/>
    <w:rsid w:val="003613B5"/>
    <w:rsid w:val="0036247C"/>
    <w:rsid w:val="003629A5"/>
    <w:rsid w:val="00363006"/>
    <w:rsid w:val="00363022"/>
    <w:rsid w:val="0036382E"/>
    <w:rsid w:val="00365046"/>
    <w:rsid w:val="00365C2D"/>
    <w:rsid w:val="00365C99"/>
    <w:rsid w:val="00366519"/>
    <w:rsid w:val="00366A92"/>
    <w:rsid w:val="00366FFD"/>
    <w:rsid w:val="00367DF4"/>
    <w:rsid w:val="0037027B"/>
    <w:rsid w:val="00370DDA"/>
    <w:rsid w:val="00371025"/>
    <w:rsid w:val="00372346"/>
    <w:rsid w:val="00374AFD"/>
    <w:rsid w:val="00374F9A"/>
    <w:rsid w:val="00374FBA"/>
    <w:rsid w:val="0037544D"/>
    <w:rsid w:val="00375961"/>
    <w:rsid w:val="0037623C"/>
    <w:rsid w:val="00380413"/>
    <w:rsid w:val="00380998"/>
    <w:rsid w:val="0038109A"/>
    <w:rsid w:val="00381A2C"/>
    <w:rsid w:val="00381CAA"/>
    <w:rsid w:val="003850F8"/>
    <w:rsid w:val="003857A3"/>
    <w:rsid w:val="00385C68"/>
    <w:rsid w:val="003863A8"/>
    <w:rsid w:val="0038656A"/>
    <w:rsid w:val="00386C97"/>
    <w:rsid w:val="003905B3"/>
    <w:rsid w:val="003918BA"/>
    <w:rsid w:val="00391C0C"/>
    <w:rsid w:val="00392607"/>
    <w:rsid w:val="003928F9"/>
    <w:rsid w:val="00393770"/>
    <w:rsid w:val="00394229"/>
    <w:rsid w:val="00394370"/>
    <w:rsid w:val="00394EF3"/>
    <w:rsid w:val="00394F63"/>
    <w:rsid w:val="00395327"/>
    <w:rsid w:val="0039600C"/>
    <w:rsid w:val="0039646A"/>
    <w:rsid w:val="00396739"/>
    <w:rsid w:val="00397B47"/>
    <w:rsid w:val="00397F44"/>
    <w:rsid w:val="003A1757"/>
    <w:rsid w:val="003A18DC"/>
    <w:rsid w:val="003A4FDC"/>
    <w:rsid w:val="003A5AE3"/>
    <w:rsid w:val="003A6100"/>
    <w:rsid w:val="003A7367"/>
    <w:rsid w:val="003A77E4"/>
    <w:rsid w:val="003A7BDA"/>
    <w:rsid w:val="003A7F1C"/>
    <w:rsid w:val="003B08B0"/>
    <w:rsid w:val="003B0CB5"/>
    <w:rsid w:val="003B0EE6"/>
    <w:rsid w:val="003B1411"/>
    <w:rsid w:val="003B229F"/>
    <w:rsid w:val="003B4CF7"/>
    <w:rsid w:val="003B5055"/>
    <w:rsid w:val="003B68B2"/>
    <w:rsid w:val="003B6C92"/>
    <w:rsid w:val="003B7154"/>
    <w:rsid w:val="003B7D49"/>
    <w:rsid w:val="003B7E60"/>
    <w:rsid w:val="003C0A0D"/>
    <w:rsid w:val="003C1C18"/>
    <w:rsid w:val="003C48F9"/>
    <w:rsid w:val="003C4EFB"/>
    <w:rsid w:val="003C5874"/>
    <w:rsid w:val="003C5AAF"/>
    <w:rsid w:val="003C5C9B"/>
    <w:rsid w:val="003C628A"/>
    <w:rsid w:val="003C698D"/>
    <w:rsid w:val="003C7C83"/>
    <w:rsid w:val="003D0D9F"/>
    <w:rsid w:val="003D1C5E"/>
    <w:rsid w:val="003D206E"/>
    <w:rsid w:val="003D225B"/>
    <w:rsid w:val="003D2A83"/>
    <w:rsid w:val="003D2C24"/>
    <w:rsid w:val="003D3E76"/>
    <w:rsid w:val="003D490D"/>
    <w:rsid w:val="003D4BE6"/>
    <w:rsid w:val="003D503D"/>
    <w:rsid w:val="003D6296"/>
    <w:rsid w:val="003D68AC"/>
    <w:rsid w:val="003D6AAC"/>
    <w:rsid w:val="003D6DAD"/>
    <w:rsid w:val="003D7EA8"/>
    <w:rsid w:val="003E01DE"/>
    <w:rsid w:val="003E0953"/>
    <w:rsid w:val="003E147E"/>
    <w:rsid w:val="003E1939"/>
    <w:rsid w:val="003E22A5"/>
    <w:rsid w:val="003E3585"/>
    <w:rsid w:val="003E3BE4"/>
    <w:rsid w:val="003E3CBF"/>
    <w:rsid w:val="003E3D5C"/>
    <w:rsid w:val="003E3DFA"/>
    <w:rsid w:val="003E3EA1"/>
    <w:rsid w:val="003E4841"/>
    <w:rsid w:val="003E485D"/>
    <w:rsid w:val="003E4B95"/>
    <w:rsid w:val="003E5218"/>
    <w:rsid w:val="003E5F53"/>
    <w:rsid w:val="003E6696"/>
    <w:rsid w:val="003E6A79"/>
    <w:rsid w:val="003E6C2B"/>
    <w:rsid w:val="003E7785"/>
    <w:rsid w:val="003E7A71"/>
    <w:rsid w:val="003F1AE0"/>
    <w:rsid w:val="003F1E3C"/>
    <w:rsid w:val="003F2568"/>
    <w:rsid w:val="003F25A2"/>
    <w:rsid w:val="003F3427"/>
    <w:rsid w:val="003F46F7"/>
    <w:rsid w:val="003F4ADE"/>
    <w:rsid w:val="003F4BD4"/>
    <w:rsid w:val="003F5866"/>
    <w:rsid w:val="00400E2D"/>
    <w:rsid w:val="004013FD"/>
    <w:rsid w:val="00401B6F"/>
    <w:rsid w:val="00403DDD"/>
    <w:rsid w:val="0040460C"/>
    <w:rsid w:val="004046B4"/>
    <w:rsid w:val="00404C8A"/>
    <w:rsid w:val="00405504"/>
    <w:rsid w:val="00405FE9"/>
    <w:rsid w:val="0040673D"/>
    <w:rsid w:val="004068C4"/>
    <w:rsid w:val="00406DD6"/>
    <w:rsid w:val="00407C0A"/>
    <w:rsid w:val="00407F88"/>
    <w:rsid w:val="00410B71"/>
    <w:rsid w:val="00411267"/>
    <w:rsid w:val="0041161B"/>
    <w:rsid w:val="00411ED6"/>
    <w:rsid w:val="004126CD"/>
    <w:rsid w:val="0041274B"/>
    <w:rsid w:val="00412904"/>
    <w:rsid w:val="00413889"/>
    <w:rsid w:val="00414F54"/>
    <w:rsid w:val="00415552"/>
    <w:rsid w:val="00415AB9"/>
    <w:rsid w:val="00415D20"/>
    <w:rsid w:val="0041624C"/>
    <w:rsid w:val="0041784B"/>
    <w:rsid w:val="00417F38"/>
    <w:rsid w:val="00417FE1"/>
    <w:rsid w:val="00420453"/>
    <w:rsid w:val="00420E14"/>
    <w:rsid w:val="00421353"/>
    <w:rsid w:val="004213F6"/>
    <w:rsid w:val="00423405"/>
    <w:rsid w:val="00423659"/>
    <w:rsid w:val="004238E0"/>
    <w:rsid w:val="00423972"/>
    <w:rsid w:val="00423DB6"/>
    <w:rsid w:val="00424BA3"/>
    <w:rsid w:val="00424CA1"/>
    <w:rsid w:val="00426306"/>
    <w:rsid w:val="00426711"/>
    <w:rsid w:val="00426E8C"/>
    <w:rsid w:val="004272AF"/>
    <w:rsid w:val="00427A2F"/>
    <w:rsid w:val="00427AA4"/>
    <w:rsid w:val="0043024E"/>
    <w:rsid w:val="00430850"/>
    <w:rsid w:val="00431393"/>
    <w:rsid w:val="00432B16"/>
    <w:rsid w:val="00432B3D"/>
    <w:rsid w:val="004330A2"/>
    <w:rsid w:val="00433396"/>
    <w:rsid w:val="004336D6"/>
    <w:rsid w:val="00433EBE"/>
    <w:rsid w:val="00434AAF"/>
    <w:rsid w:val="004358BE"/>
    <w:rsid w:val="004360C4"/>
    <w:rsid w:val="004363DE"/>
    <w:rsid w:val="004364FB"/>
    <w:rsid w:val="0044066C"/>
    <w:rsid w:val="004416D6"/>
    <w:rsid w:val="00443105"/>
    <w:rsid w:val="004435F6"/>
    <w:rsid w:val="00443A2D"/>
    <w:rsid w:val="00444DCF"/>
    <w:rsid w:val="00445A3E"/>
    <w:rsid w:val="00446686"/>
    <w:rsid w:val="0044685B"/>
    <w:rsid w:val="00446AC6"/>
    <w:rsid w:val="004471EF"/>
    <w:rsid w:val="004472DF"/>
    <w:rsid w:val="004479A7"/>
    <w:rsid w:val="00447E6F"/>
    <w:rsid w:val="00450575"/>
    <w:rsid w:val="00450915"/>
    <w:rsid w:val="00451580"/>
    <w:rsid w:val="00451FDF"/>
    <w:rsid w:val="004526B4"/>
    <w:rsid w:val="004531A2"/>
    <w:rsid w:val="00453497"/>
    <w:rsid w:val="00454CE6"/>
    <w:rsid w:val="00455684"/>
    <w:rsid w:val="00455BDB"/>
    <w:rsid w:val="00455F61"/>
    <w:rsid w:val="004561D1"/>
    <w:rsid w:val="00457AC6"/>
    <w:rsid w:val="00457E4E"/>
    <w:rsid w:val="00460944"/>
    <w:rsid w:val="00460F3F"/>
    <w:rsid w:val="004611EC"/>
    <w:rsid w:val="004612EB"/>
    <w:rsid w:val="00461E94"/>
    <w:rsid w:val="0046206F"/>
    <w:rsid w:val="00463841"/>
    <w:rsid w:val="00463C8C"/>
    <w:rsid w:val="00464042"/>
    <w:rsid w:val="00465DA4"/>
    <w:rsid w:val="0047202C"/>
    <w:rsid w:val="004735F0"/>
    <w:rsid w:val="00473F48"/>
    <w:rsid w:val="0047447C"/>
    <w:rsid w:val="00474D8A"/>
    <w:rsid w:val="004751F6"/>
    <w:rsid w:val="00475B02"/>
    <w:rsid w:val="00475B0C"/>
    <w:rsid w:val="00475C17"/>
    <w:rsid w:val="00476687"/>
    <w:rsid w:val="00476DF5"/>
    <w:rsid w:val="0048060E"/>
    <w:rsid w:val="00481198"/>
    <w:rsid w:val="004819ED"/>
    <w:rsid w:val="00482037"/>
    <w:rsid w:val="00482491"/>
    <w:rsid w:val="004827A3"/>
    <w:rsid w:val="00483CCC"/>
    <w:rsid w:val="00485363"/>
    <w:rsid w:val="0048552A"/>
    <w:rsid w:val="00485C21"/>
    <w:rsid w:val="00486733"/>
    <w:rsid w:val="004867D7"/>
    <w:rsid w:val="00486859"/>
    <w:rsid w:val="00486FEF"/>
    <w:rsid w:val="00487D6E"/>
    <w:rsid w:val="00487DFD"/>
    <w:rsid w:val="00490747"/>
    <w:rsid w:val="00490A9F"/>
    <w:rsid w:val="0049105C"/>
    <w:rsid w:val="0049271D"/>
    <w:rsid w:val="00492A96"/>
    <w:rsid w:val="00492AB7"/>
    <w:rsid w:val="00492AC6"/>
    <w:rsid w:val="004949C3"/>
    <w:rsid w:val="0049530E"/>
    <w:rsid w:val="0049544B"/>
    <w:rsid w:val="00495671"/>
    <w:rsid w:val="004956E7"/>
    <w:rsid w:val="00495B2C"/>
    <w:rsid w:val="00496F1B"/>
    <w:rsid w:val="0049700F"/>
    <w:rsid w:val="004975A0"/>
    <w:rsid w:val="0049794C"/>
    <w:rsid w:val="00497A2C"/>
    <w:rsid w:val="004A0887"/>
    <w:rsid w:val="004A09A0"/>
    <w:rsid w:val="004A2289"/>
    <w:rsid w:val="004A379F"/>
    <w:rsid w:val="004A3C21"/>
    <w:rsid w:val="004A58A1"/>
    <w:rsid w:val="004A705D"/>
    <w:rsid w:val="004B0099"/>
    <w:rsid w:val="004B029C"/>
    <w:rsid w:val="004B06C9"/>
    <w:rsid w:val="004B072B"/>
    <w:rsid w:val="004B0C96"/>
    <w:rsid w:val="004B0EF5"/>
    <w:rsid w:val="004B15B7"/>
    <w:rsid w:val="004B1C07"/>
    <w:rsid w:val="004B1FB0"/>
    <w:rsid w:val="004B27AF"/>
    <w:rsid w:val="004B3BE2"/>
    <w:rsid w:val="004B46FD"/>
    <w:rsid w:val="004B6BD5"/>
    <w:rsid w:val="004B6D69"/>
    <w:rsid w:val="004B72D1"/>
    <w:rsid w:val="004C02D6"/>
    <w:rsid w:val="004C0EC0"/>
    <w:rsid w:val="004C19BC"/>
    <w:rsid w:val="004C33E5"/>
    <w:rsid w:val="004C472B"/>
    <w:rsid w:val="004C47D3"/>
    <w:rsid w:val="004C6B26"/>
    <w:rsid w:val="004C6F8A"/>
    <w:rsid w:val="004C7837"/>
    <w:rsid w:val="004D13D2"/>
    <w:rsid w:val="004D183D"/>
    <w:rsid w:val="004D214A"/>
    <w:rsid w:val="004D4241"/>
    <w:rsid w:val="004D495F"/>
    <w:rsid w:val="004D5FD0"/>
    <w:rsid w:val="004D658F"/>
    <w:rsid w:val="004D769B"/>
    <w:rsid w:val="004D77DB"/>
    <w:rsid w:val="004E035C"/>
    <w:rsid w:val="004E06AB"/>
    <w:rsid w:val="004E0F6E"/>
    <w:rsid w:val="004E381D"/>
    <w:rsid w:val="004E4027"/>
    <w:rsid w:val="004E74DE"/>
    <w:rsid w:val="004E7513"/>
    <w:rsid w:val="004F0100"/>
    <w:rsid w:val="004F04C0"/>
    <w:rsid w:val="004F0716"/>
    <w:rsid w:val="004F10DA"/>
    <w:rsid w:val="004F160B"/>
    <w:rsid w:val="004F24E3"/>
    <w:rsid w:val="004F2BA2"/>
    <w:rsid w:val="004F3A82"/>
    <w:rsid w:val="004F3FB5"/>
    <w:rsid w:val="004F5412"/>
    <w:rsid w:val="004F7725"/>
    <w:rsid w:val="00500B50"/>
    <w:rsid w:val="00500F47"/>
    <w:rsid w:val="00501109"/>
    <w:rsid w:val="00501804"/>
    <w:rsid w:val="00502087"/>
    <w:rsid w:val="005022D2"/>
    <w:rsid w:val="00502685"/>
    <w:rsid w:val="00503DEC"/>
    <w:rsid w:val="00504819"/>
    <w:rsid w:val="0050497A"/>
    <w:rsid w:val="005058CC"/>
    <w:rsid w:val="00505BA1"/>
    <w:rsid w:val="00506029"/>
    <w:rsid w:val="005119C2"/>
    <w:rsid w:val="00512762"/>
    <w:rsid w:val="00515083"/>
    <w:rsid w:val="00515BB2"/>
    <w:rsid w:val="00516735"/>
    <w:rsid w:val="0051676F"/>
    <w:rsid w:val="0051770E"/>
    <w:rsid w:val="00517DFB"/>
    <w:rsid w:val="00517FA0"/>
    <w:rsid w:val="00517FC1"/>
    <w:rsid w:val="005202FC"/>
    <w:rsid w:val="0052093E"/>
    <w:rsid w:val="00521ABE"/>
    <w:rsid w:val="005223FA"/>
    <w:rsid w:val="005237A6"/>
    <w:rsid w:val="00523CD5"/>
    <w:rsid w:val="0052533C"/>
    <w:rsid w:val="005259CE"/>
    <w:rsid w:val="00525D2E"/>
    <w:rsid w:val="00526BE2"/>
    <w:rsid w:val="00526C90"/>
    <w:rsid w:val="00527D46"/>
    <w:rsid w:val="005317AB"/>
    <w:rsid w:val="005332FA"/>
    <w:rsid w:val="00533B34"/>
    <w:rsid w:val="00533D22"/>
    <w:rsid w:val="005340A0"/>
    <w:rsid w:val="00534A74"/>
    <w:rsid w:val="00535CEF"/>
    <w:rsid w:val="0053630F"/>
    <w:rsid w:val="005367B4"/>
    <w:rsid w:val="0053723F"/>
    <w:rsid w:val="00540470"/>
    <w:rsid w:val="0054102A"/>
    <w:rsid w:val="0054148C"/>
    <w:rsid w:val="0054275B"/>
    <w:rsid w:val="00543017"/>
    <w:rsid w:val="00543A23"/>
    <w:rsid w:val="00544E63"/>
    <w:rsid w:val="00545322"/>
    <w:rsid w:val="005462FF"/>
    <w:rsid w:val="00546386"/>
    <w:rsid w:val="00546677"/>
    <w:rsid w:val="00547020"/>
    <w:rsid w:val="0054737E"/>
    <w:rsid w:val="0054750F"/>
    <w:rsid w:val="00547E67"/>
    <w:rsid w:val="00550760"/>
    <w:rsid w:val="00550A35"/>
    <w:rsid w:val="00552AD5"/>
    <w:rsid w:val="00552BF2"/>
    <w:rsid w:val="00552E65"/>
    <w:rsid w:val="00552EA8"/>
    <w:rsid w:val="0055314E"/>
    <w:rsid w:val="005532BF"/>
    <w:rsid w:val="005537AA"/>
    <w:rsid w:val="00553F75"/>
    <w:rsid w:val="00553F85"/>
    <w:rsid w:val="0055416F"/>
    <w:rsid w:val="005549DD"/>
    <w:rsid w:val="00554BD5"/>
    <w:rsid w:val="00554BF8"/>
    <w:rsid w:val="005556ED"/>
    <w:rsid w:val="00555843"/>
    <w:rsid w:val="0055674B"/>
    <w:rsid w:val="00557B59"/>
    <w:rsid w:val="00560279"/>
    <w:rsid w:val="00560BCA"/>
    <w:rsid w:val="00561AD4"/>
    <w:rsid w:val="00561C85"/>
    <w:rsid w:val="00561F53"/>
    <w:rsid w:val="00562292"/>
    <w:rsid w:val="0056250F"/>
    <w:rsid w:val="00562744"/>
    <w:rsid w:val="0056345A"/>
    <w:rsid w:val="00563CC0"/>
    <w:rsid w:val="00563DEC"/>
    <w:rsid w:val="00563E35"/>
    <w:rsid w:val="0056432E"/>
    <w:rsid w:val="00565211"/>
    <w:rsid w:val="005660AB"/>
    <w:rsid w:val="00566502"/>
    <w:rsid w:val="00566D96"/>
    <w:rsid w:val="0057074B"/>
    <w:rsid w:val="00570901"/>
    <w:rsid w:val="0057121B"/>
    <w:rsid w:val="00572FC0"/>
    <w:rsid w:val="00573747"/>
    <w:rsid w:val="00573762"/>
    <w:rsid w:val="00573AB9"/>
    <w:rsid w:val="005744A0"/>
    <w:rsid w:val="005744AF"/>
    <w:rsid w:val="00576D39"/>
    <w:rsid w:val="00576D5D"/>
    <w:rsid w:val="005806B7"/>
    <w:rsid w:val="005813A4"/>
    <w:rsid w:val="00581959"/>
    <w:rsid w:val="00581B7A"/>
    <w:rsid w:val="005821A7"/>
    <w:rsid w:val="0058276E"/>
    <w:rsid w:val="005829E7"/>
    <w:rsid w:val="0058302D"/>
    <w:rsid w:val="00583D99"/>
    <w:rsid w:val="00583DC5"/>
    <w:rsid w:val="005849B9"/>
    <w:rsid w:val="00584A68"/>
    <w:rsid w:val="005858D2"/>
    <w:rsid w:val="00585E96"/>
    <w:rsid w:val="0058643A"/>
    <w:rsid w:val="00586546"/>
    <w:rsid w:val="00590153"/>
    <w:rsid w:val="00590261"/>
    <w:rsid w:val="00592188"/>
    <w:rsid w:val="005929DE"/>
    <w:rsid w:val="0059355B"/>
    <w:rsid w:val="00593AE7"/>
    <w:rsid w:val="00593E10"/>
    <w:rsid w:val="005945FB"/>
    <w:rsid w:val="005958BA"/>
    <w:rsid w:val="00595E29"/>
    <w:rsid w:val="005964B7"/>
    <w:rsid w:val="00596A23"/>
    <w:rsid w:val="0059775D"/>
    <w:rsid w:val="005A10D7"/>
    <w:rsid w:val="005A3F32"/>
    <w:rsid w:val="005A4854"/>
    <w:rsid w:val="005A55FE"/>
    <w:rsid w:val="005A6011"/>
    <w:rsid w:val="005A676F"/>
    <w:rsid w:val="005A6C86"/>
    <w:rsid w:val="005A6CD7"/>
    <w:rsid w:val="005A6FE1"/>
    <w:rsid w:val="005A77F9"/>
    <w:rsid w:val="005A783F"/>
    <w:rsid w:val="005A7BEB"/>
    <w:rsid w:val="005B0732"/>
    <w:rsid w:val="005B07E2"/>
    <w:rsid w:val="005B09DF"/>
    <w:rsid w:val="005B1A3E"/>
    <w:rsid w:val="005B1CF3"/>
    <w:rsid w:val="005B2B66"/>
    <w:rsid w:val="005B43D7"/>
    <w:rsid w:val="005B491D"/>
    <w:rsid w:val="005B5053"/>
    <w:rsid w:val="005B6BE2"/>
    <w:rsid w:val="005B6C82"/>
    <w:rsid w:val="005B6CCA"/>
    <w:rsid w:val="005B7AC9"/>
    <w:rsid w:val="005C0115"/>
    <w:rsid w:val="005C0B87"/>
    <w:rsid w:val="005C12E4"/>
    <w:rsid w:val="005C159E"/>
    <w:rsid w:val="005C1709"/>
    <w:rsid w:val="005C2336"/>
    <w:rsid w:val="005C23BC"/>
    <w:rsid w:val="005C2584"/>
    <w:rsid w:val="005C27AE"/>
    <w:rsid w:val="005C2C7E"/>
    <w:rsid w:val="005C4DB4"/>
    <w:rsid w:val="005C4FDD"/>
    <w:rsid w:val="005C6331"/>
    <w:rsid w:val="005C69C0"/>
    <w:rsid w:val="005C7038"/>
    <w:rsid w:val="005C7A0D"/>
    <w:rsid w:val="005C7E33"/>
    <w:rsid w:val="005D0137"/>
    <w:rsid w:val="005D1268"/>
    <w:rsid w:val="005D1BCD"/>
    <w:rsid w:val="005D356B"/>
    <w:rsid w:val="005D42D2"/>
    <w:rsid w:val="005D43AC"/>
    <w:rsid w:val="005D44B5"/>
    <w:rsid w:val="005D68A2"/>
    <w:rsid w:val="005E0283"/>
    <w:rsid w:val="005E29EB"/>
    <w:rsid w:val="005E2CD8"/>
    <w:rsid w:val="005E2E82"/>
    <w:rsid w:val="005E307C"/>
    <w:rsid w:val="005E4220"/>
    <w:rsid w:val="005E48F6"/>
    <w:rsid w:val="005E5D07"/>
    <w:rsid w:val="005E6608"/>
    <w:rsid w:val="005E7DA3"/>
    <w:rsid w:val="005F00F0"/>
    <w:rsid w:val="005F12F3"/>
    <w:rsid w:val="005F1391"/>
    <w:rsid w:val="005F26AA"/>
    <w:rsid w:val="005F2869"/>
    <w:rsid w:val="005F348B"/>
    <w:rsid w:val="005F3A4C"/>
    <w:rsid w:val="005F522D"/>
    <w:rsid w:val="005F5503"/>
    <w:rsid w:val="005F6627"/>
    <w:rsid w:val="005F76C5"/>
    <w:rsid w:val="00600D6E"/>
    <w:rsid w:val="0060171D"/>
    <w:rsid w:val="00601F58"/>
    <w:rsid w:val="0060227F"/>
    <w:rsid w:val="00602B1B"/>
    <w:rsid w:val="00602DC6"/>
    <w:rsid w:val="00603E86"/>
    <w:rsid w:val="0060406E"/>
    <w:rsid w:val="0060430B"/>
    <w:rsid w:val="00606698"/>
    <w:rsid w:val="00606F21"/>
    <w:rsid w:val="00607228"/>
    <w:rsid w:val="0060731D"/>
    <w:rsid w:val="00607A84"/>
    <w:rsid w:val="006110A5"/>
    <w:rsid w:val="006113C1"/>
    <w:rsid w:val="00611448"/>
    <w:rsid w:val="00611AF9"/>
    <w:rsid w:val="00612154"/>
    <w:rsid w:val="0061218B"/>
    <w:rsid w:val="0061269F"/>
    <w:rsid w:val="00612CF9"/>
    <w:rsid w:val="00612D1E"/>
    <w:rsid w:val="00613342"/>
    <w:rsid w:val="0061432C"/>
    <w:rsid w:val="0061452F"/>
    <w:rsid w:val="00614DB6"/>
    <w:rsid w:val="00614DE2"/>
    <w:rsid w:val="00615182"/>
    <w:rsid w:val="00615BC4"/>
    <w:rsid w:val="00616CB9"/>
    <w:rsid w:val="006174DA"/>
    <w:rsid w:val="0061794E"/>
    <w:rsid w:val="0062020D"/>
    <w:rsid w:val="00620628"/>
    <w:rsid w:val="006208AC"/>
    <w:rsid w:val="00621281"/>
    <w:rsid w:val="006212D0"/>
    <w:rsid w:val="00623750"/>
    <w:rsid w:val="006245E0"/>
    <w:rsid w:val="006254F3"/>
    <w:rsid w:val="00630199"/>
    <w:rsid w:val="00631200"/>
    <w:rsid w:val="00631798"/>
    <w:rsid w:val="00631CF1"/>
    <w:rsid w:val="006321D5"/>
    <w:rsid w:val="00632B53"/>
    <w:rsid w:val="00632B6A"/>
    <w:rsid w:val="00633A25"/>
    <w:rsid w:val="006343BD"/>
    <w:rsid w:val="00634F5B"/>
    <w:rsid w:val="00635398"/>
    <w:rsid w:val="00636D5D"/>
    <w:rsid w:val="006400B1"/>
    <w:rsid w:val="00641155"/>
    <w:rsid w:val="00643B55"/>
    <w:rsid w:val="00644B88"/>
    <w:rsid w:val="00644F15"/>
    <w:rsid w:val="00645DFE"/>
    <w:rsid w:val="00646933"/>
    <w:rsid w:val="00647EE8"/>
    <w:rsid w:val="0065049D"/>
    <w:rsid w:val="00650525"/>
    <w:rsid w:val="0065092A"/>
    <w:rsid w:val="0065093A"/>
    <w:rsid w:val="00652070"/>
    <w:rsid w:val="00652781"/>
    <w:rsid w:val="00652797"/>
    <w:rsid w:val="00652C92"/>
    <w:rsid w:val="00653769"/>
    <w:rsid w:val="006539C0"/>
    <w:rsid w:val="00654F55"/>
    <w:rsid w:val="00655476"/>
    <w:rsid w:val="006555E8"/>
    <w:rsid w:val="00655824"/>
    <w:rsid w:val="00656602"/>
    <w:rsid w:val="00656F68"/>
    <w:rsid w:val="00657086"/>
    <w:rsid w:val="0065745D"/>
    <w:rsid w:val="0066017D"/>
    <w:rsid w:val="00660AF6"/>
    <w:rsid w:val="00660E34"/>
    <w:rsid w:val="006616E4"/>
    <w:rsid w:val="00662825"/>
    <w:rsid w:val="00662A88"/>
    <w:rsid w:val="00663018"/>
    <w:rsid w:val="0066307E"/>
    <w:rsid w:val="00665301"/>
    <w:rsid w:val="00665A74"/>
    <w:rsid w:val="006660F1"/>
    <w:rsid w:val="006662E2"/>
    <w:rsid w:val="00666559"/>
    <w:rsid w:val="006667BC"/>
    <w:rsid w:val="00670A40"/>
    <w:rsid w:val="0067130E"/>
    <w:rsid w:val="00672069"/>
    <w:rsid w:val="006735B0"/>
    <w:rsid w:val="00673E41"/>
    <w:rsid w:val="006749A4"/>
    <w:rsid w:val="00674EB0"/>
    <w:rsid w:val="00674EC8"/>
    <w:rsid w:val="00674ED4"/>
    <w:rsid w:val="00676C8E"/>
    <w:rsid w:val="00680709"/>
    <w:rsid w:val="006815C6"/>
    <w:rsid w:val="00681740"/>
    <w:rsid w:val="0068179C"/>
    <w:rsid w:val="00681D3E"/>
    <w:rsid w:val="00681E4F"/>
    <w:rsid w:val="00682126"/>
    <w:rsid w:val="0068241D"/>
    <w:rsid w:val="00682472"/>
    <w:rsid w:val="00682A8D"/>
    <w:rsid w:val="00683CC9"/>
    <w:rsid w:val="00683DE1"/>
    <w:rsid w:val="00684C7C"/>
    <w:rsid w:val="00686785"/>
    <w:rsid w:val="00686B66"/>
    <w:rsid w:val="00686EC7"/>
    <w:rsid w:val="00690689"/>
    <w:rsid w:val="00692F1B"/>
    <w:rsid w:val="00695517"/>
    <w:rsid w:val="006959D7"/>
    <w:rsid w:val="00697DE7"/>
    <w:rsid w:val="006A051F"/>
    <w:rsid w:val="006A1565"/>
    <w:rsid w:val="006A196B"/>
    <w:rsid w:val="006A247C"/>
    <w:rsid w:val="006A2714"/>
    <w:rsid w:val="006A32A0"/>
    <w:rsid w:val="006A39DD"/>
    <w:rsid w:val="006A3AC1"/>
    <w:rsid w:val="006A4247"/>
    <w:rsid w:val="006A48B7"/>
    <w:rsid w:val="006A549B"/>
    <w:rsid w:val="006A649D"/>
    <w:rsid w:val="006A707E"/>
    <w:rsid w:val="006A718C"/>
    <w:rsid w:val="006A7437"/>
    <w:rsid w:val="006A7E28"/>
    <w:rsid w:val="006B026A"/>
    <w:rsid w:val="006B36E0"/>
    <w:rsid w:val="006B403E"/>
    <w:rsid w:val="006B453A"/>
    <w:rsid w:val="006B45C3"/>
    <w:rsid w:val="006B4BA4"/>
    <w:rsid w:val="006B52B7"/>
    <w:rsid w:val="006B5391"/>
    <w:rsid w:val="006B558F"/>
    <w:rsid w:val="006B6087"/>
    <w:rsid w:val="006B7821"/>
    <w:rsid w:val="006B7DF3"/>
    <w:rsid w:val="006B7E87"/>
    <w:rsid w:val="006C08AD"/>
    <w:rsid w:val="006C0CF3"/>
    <w:rsid w:val="006C2619"/>
    <w:rsid w:val="006C3E2B"/>
    <w:rsid w:val="006C4EA5"/>
    <w:rsid w:val="006C4FDD"/>
    <w:rsid w:val="006C5FA1"/>
    <w:rsid w:val="006C6080"/>
    <w:rsid w:val="006C6926"/>
    <w:rsid w:val="006C6C53"/>
    <w:rsid w:val="006C7F4A"/>
    <w:rsid w:val="006D174F"/>
    <w:rsid w:val="006D19B9"/>
    <w:rsid w:val="006D1C79"/>
    <w:rsid w:val="006D3940"/>
    <w:rsid w:val="006D394F"/>
    <w:rsid w:val="006D3DFE"/>
    <w:rsid w:val="006D3E59"/>
    <w:rsid w:val="006D410C"/>
    <w:rsid w:val="006D47D2"/>
    <w:rsid w:val="006D64A5"/>
    <w:rsid w:val="006D676A"/>
    <w:rsid w:val="006D7B24"/>
    <w:rsid w:val="006E0841"/>
    <w:rsid w:val="006E1AB4"/>
    <w:rsid w:val="006E1DC5"/>
    <w:rsid w:val="006E1E7F"/>
    <w:rsid w:val="006E1F6A"/>
    <w:rsid w:val="006E22FD"/>
    <w:rsid w:val="006E2774"/>
    <w:rsid w:val="006E29D9"/>
    <w:rsid w:val="006E3208"/>
    <w:rsid w:val="006E3902"/>
    <w:rsid w:val="006E3D85"/>
    <w:rsid w:val="006E502C"/>
    <w:rsid w:val="006E505B"/>
    <w:rsid w:val="006E5A4E"/>
    <w:rsid w:val="006E5CAD"/>
    <w:rsid w:val="006E6A5E"/>
    <w:rsid w:val="006E77AB"/>
    <w:rsid w:val="006F000B"/>
    <w:rsid w:val="006F01FF"/>
    <w:rsid w:val="006F0FD9"/>
    <w:rsid w:val="006F10F3"/>
    <w:rsid w:val="006F219B"/>
    <w:rsid w:val="006F283B"/>
    <w:rsid w:val="006F2E56"/>
    <w:rsid w:val="006F4624"/>
    <w:rsid w:val="006F46CA"/>
    <w:rsid w:val="006F4889"/>
    <w:rsid w:val="006F5A2E"/>
    <w:rsid w:val="006F6433"/>
    <w:rsid w:val="006F7011"/>
    <w:rsid w:val="006F7A25"/>
    <w:rsid w:val="007008CA"/>
    <w:rsid w:val="007009AE"/>
    <w:rsid w:val="00700A07"/>
    <w:rsid w:val="007011A8"/>
    <w:rsid w:val="007015FA"/>
    <w:rsid w:val="00702233"/>
    <w:rsid w:val="0070295E"/>
    <w:rsid w:val="0070297B"/>
    <w:rsid w:val="00702BAF"/>
    <w:rsid w:val="007037E1"/>
    <w:rsid w:val="00703F4A"/>
    <w:rsid w:val="0070479A"/>
    <w:rsid w:val="0070492F"/>
    <w:rsid w:val="00705A10"/>
    <w:rsid w:val="00707810"/>
    <w:rsid w:val="00707E7E"/>
    <w:rsid w:val="00707F46"/>
    <w:rsid w:val="007112E9"/>
    <w:rsid w:val="007124C2"/>
    <w:rsid w:val="007124D6"/>
    <w:rsid w:val="00712925"/>
    <w:rsid w:val="00712FA6"/>
    <w:rsid w:val="00714C1F"/>
    <w:rsid w:val="00715563"/>
    <w:rsid w:val="0071599B"/>
    <w:rsid w:val="00716D05"/>
    <w:rsid w:val="00716D18"/>
    <w:rsid w:val="00716E78"/>
    <w:rsid w:val="0071751A"/>
    <w:rsid w:val="007177BE"/>
    <w:rsid w:val="00720813"/>
    <w:rsid w:val="00720C38"/>
    <w:rsid w:val="00721E61"/>
    <w:rsid w:val="007225BB"/>
    <w:rsid w:val="007226C9"/>
    <w:rsid w:val="007231B5"/>
    <w:rsid w:val="007237A3"/>
    <w:rsid w:val="0072387E"/>
    <w:rsid w:val="00725A96"/>
    <w:rsid w:val="00725B83"/>
    <w:rsid w:val="0072692E"/>
    <w:rsid w:val="00727193"/>
    <w:rsid w:val="00727B1F"/>
    <w:rsid w:val="00730770"/>
    <w:rsid w:val="00731E01"/>
    <w:rsid w:val="00732E50"/>
    <w:rsid w:val="00732F53"/>
    <w:rsid w:val="00733A20"/>
    <w:rsid w:val="00734D50"/>
    <w:rsid w:val="007360B5"/>
    <w:rsid w:val="007366C6"/>
    <w:rsid w:val="00736E4C"/>
    <w:rsid w:val="0073732A"/>
    <w:rsid w:val="007407A7"/>
    <w:rsid w:val="00740B41"/>
    <w:rsid w:val="00740FB8"/>
    <w:rsid w:val="007417E1"/>
    <w:rsid w:val="00742DBD"/>
    <w:rsid w:val="00742E1F"/>
    <w:rsid w:val="00742ECD"/>
    <w:rsid w:val="00743C55"/>
    <w:rsid w:val="00743C9A"/>
    <w:rsid w:val="00743CA3"/>
    <w:rsid w:val="00744B4B"/>
    <w:rsid w:val="00745481"/>
    <w:rsid w:val="007457F6"/>
    <w:rsid w:val="00745A43"/>
    <w:rsid w:val="00745D8D"/>
    <w:rsid w:val="00746437"/>
    <w:rsid w:val="00746615"/>
    <w:rsid w:val="00746DB3"/>
    <w:rsid w:val="007473E6"/>
    <w:rsid w:val="00747436"/>
    <w:rsid w:val="00747572"/>
    <w:rsid w:val="00747BDF"/>
    <w:rsid w:val="00747C62"/>
    <w:rsid w:val="00747DFC"/>
    <w:rsid w:val="00750394"/>
    <w:rsid w:val="00751222"/>
    <w:rsid w:val="00752FF9"/>
    <w:rsid w:val="007538E5"/>
    <w:rsid w:val="00753C57"/>
    <w:rsid w:val="007542EA"/>
    <w:rsid w:val="0075467C"/>
    <w:rsid w:val="00755958"/>
    <w:rsid w:val="00756002"/>
    <w:rsid w:val="00756564"/>
    <w:rsid w:val="00756711"/>
    <w:rsid w:val="00757EBF"/>
    <w:rsid w:val="00760265"/>
    <w:rsid w:val="007609A1"/>
    <w:rsid w:val="007610A8"/>
    <w:rsid w:val="00762A14"/>
    <w:rsid w:val="00762CD0"/>
    <w:rsid w:val="00764125"/>
    <w:rsid w:val="007642C8"/>
    <w:rsid w:val="00764498"/>
    <w:rsid w:val="00764982"/>
    <w:rsid w:val="00764CD9"/>
    <w:rsid w:val="007651B8"/>
    <w:rsid w:val="00765988"/>
    <w:rsid w:val="00766977"/>
    <w:rsid w:val="007679D9"/>
    <w:rsid w:val="007717A4"/>
    <w:rsid w:val="00772EE5"/>
    <w:rsid w:val="007744A3"/>
    <w:rsid w:val="00775D4F"/>
    <w:rsid w:val="007760A0"/>
    <w:rsid w:val="00776B15"/>
    <w:rsid w:val="00776E49"/>
    <w:rsid w:val="00777E16"/>
    <w:rsid w:val="00777FD8"/>
    <w:rsid w:val="00780626"/>
    <w:rsid w:val="007809D9"/>
    <w:rsid w:val="00780FE6"/>
    <w:rsid w:val="007815B6"/>
    <w:rsid w:val="0078187E"/>
    <w:rsid w:val="0078215B"/>
    <w:rsid w:val="00783257"/>
    <w:rsid w:val="00783264"/>
    <w:rsid w:val="00785356"/>
    <w:rsid w:val="00785614"/>
    <w:rsid w:val="00786ADB"/>
    <w:rsid w:val="0078704B"/>
    <w:rsid w:val="007876EF"/>
    <w:rsid w:val="00790089"/>
    <w:rsid w:val="007906E9"/>
    <w:rsid w:val="00790770"/>
    <w:rsid w:val="007912A5"/>
    <w:rsid w:val="00791B2B"/>
    <w:rsid w:val="00791C59"/>
    <w:rsid w:val="00792020"/>
    <w:rsid w:val="007928FD"/>
    <w:rsid w:val="00792927"/>
    <w:rsid w:val="00792C44"/>
    <w:rsid w:val="00792CFC"/>
    <w:rsid w:val="0079330D"/>
    <w:rsid w:val="00795023"/>
    <w:rsid w:val="0079568E"/>
    <w:rsid w:val="007961F5"/>
    <w:rsid w:val="0079697B"/>
    <w:rsid w:val="007972A1"/>
    <w:rsid w:val="007A00B6"/>
    <w:rsid w:val="007A0161"/>
    <w:rsid w:val="007A09C8"/>
    <w:rsid w:val="007A0A53"/>
    <w:rsid w:val="007A0D3C"/>
    <w:rsid w:val="007A2161"/>
    <w:rsid w:val="007A2180"/>
    <w:rsid w:val="007A27FC"/>
    <w:rsid w:val="007A2F5F"/>
    <w:rsid w:val="007A332C"/>
    <w:rsid w:val="007A3B99"/>
    <w:rsid w:val="007A4117"/>
    <w:rsid w:val="007A4ADB"/>
    <w:rsid w:val="007A4C23"/>
    <w:rsid w:val="007A4F53"/>
    <w:rsid w:val="007A5330"/>
    <w:rsid w:val="007A57F6"/>
    <w:rsid w:val="007A636D"/>
    <w:rsid w:val="007B02CF"/>
    <w:rsid w:val="007B0A9B"/>
    <w:rsid w:val="007B1E7B"/>
    <w:rsid w:val="007B2C0F"/>
    <w:rsid w:val="007B32AA"/>
    <w:rsid w:val="007B3B48"/>
    <w:rsid w:val="007B3CFF"/>
    <w:rsid w:val="007B4475"/>
    <w:rsid w:val="007B4B35"/>
    <w:rsid w:val="007B5062"/>
    <w:rsid w:val="007B5722"/>
    <w:rsid w:val="007B578E"/>
    <w:rsid w:val="007B6214"/>
    <w:rsid w:val="007B703D"/>
    <w:rsid w:val="007B7A9E"/>
    <w:rsid w:val="007C1E9F"/>
    <w:rsid w:val="007C37A4"/>
    <w:rsid w:val="007C395C"/>
    <w:rsid w:val="007C3A8D"/>
    <w:rsid w:val="007C419B"/>
    <w:rsid w:val="007C42E6"/>
    <w:rsid w:val="007C44B5"/>
    <w:rsid w:val="007C4677"/>
    <w:rsid w:val="007C5439"/>
    <w:rsid w:val="007C6A0B"/>
    <w:rsid w:val="007C71A6"/>
    <w:rsid w:val="007D08DB"/>
    <w:rsid w:val="007D20C0"/>
    <w:rsid w:val="007D374C"/>
    <w:rsid w:val="007D3D54"/>
    <w:rsid w:val="007D4AD5"/>
    <w:rsid w:val="007D5918"/>
    <w:rsid w:val="007D5AFA"/>
    <w:rsid w:val="007D5F23"/>
    <w:rsid w:val="007D60F9"/>
    <w:rsid w:val="007D6100"/>
    <w:rsid w:val="007D6362"/>
    <w:rsid w:val="007D7DC3"/>
    <w:rsid w:val="007E0092"/>
    <w:rsid w:val="007E0752"/>
    <w:rsid w:val="007E0A7D"/>
    <w:rsid w:val="007E0C39"/>
    <w:rsid w:val="007E0D25"/>
    <w:rsid w:val="007E2D66"/>
    <w:rsid w:val="007E3613"/>
    <w:rsid w:val="007E380B"/>
    <w:rsid w:val="007E48EA"/>
    <w:rsid w:val="007E61FD"/>
    <w:rsid w:val="007E70A2"/>
    <w:rsid w:val="007E7B2F"/>
    <w:rsid w:val="007E7C5B"/>
    <w:rsid w:val="007E7DF5"/>
    <w:rsid w:val="007F2451"/>
    <w:rsid w:val="007F26BA"/>
    <w:rsid w:val="007F29A9"/>
    <w:rsid w:val="007F31A5"/>
    <w:rsid w:val="007F480F"/>
    <w:rsid w:val="007F4A02"/>
    <w:rsid w:val="007F505C"/>
    <w:rsid w:val="007F5558"/>
    <w:rsid w:val="007F739F"/>
    <w:rsid w:val="007F756A"/>
    <w:rsid w:val="008009F7"/>
    <w:rsid w:val="00800B4D"/>
    <w:rsid w:val="00800E0C"/>
    <w:rsid w:val="008011B8"/>
    <w:rsid w:val="008019AF"/>
    <w:rsid w:val="00801A79"/>
    <w:rsid w:val="0080347D"/>
    <w:rsid w:val="008037DC"/>
    <w:rsid w:val="008047D9"/>
    <w:rsid w:val="00804A42"/>
    <w:rsid w:val="00804C93"/>
    <w:rsid w:val="00805327"/>
    <w:rsid w:val="0080587F"/>
    <w:rsid w:val="00805AB7"/>
    <w:rsid w:val="00805E30"/>
    <w:rsid w:val="00806247"/>
    <w:rsid w:val="00806250"/>
    <w:rsid w:val="00807AF2"/>
    <w:rsid w:val="00810AED"/>
    <w:rsid w:val="00812018"/>
    <w:rsid w:val="0081234A"/>
    <w:rsid w:val="00815D54"/>
    <w:rsid w:val="00815F8A"/>
    <w:rsid w:val="0081619F"/>
    <w:rsid w:val="008168AC"/>
    <w:rsid w:val="00816A97"/>
    <w:rsid w:val="00817557"/>
    <w:rsid w:val="00820759"/>
    <w:rsid w:val="00821630"/>
    <w:rsid w:val="008221A8"/>
    <w:rsid w:val="00822756"/>
    <w:rsid w:val="00823756"/>
    <w:rsid w:val="00824507"/>
    <w:rsid w:val="00824A2B"/>
    <w:rsid w:val="00825E55"/>
    <w:rsid w:val="00825E88"/>
    <w:rsid w:val="00826D2E"/>
    <w:rsid w:val="00826FED"/>
    <w:rsid w:val="0083086E"/>
    <w:rsid w:val="00831ED1"/>
    <w:rsid w:val="0083203E"/>
    <w:rsid w:val="00832518"/>
    <w:rsid w:val="0083266F"/>
    <w:rsid w:val="008338AB"/>
    <w:rsid w:val="00833FA2"/>
    <w:rsid w:val="008342EC"/>
    <w:rsid w:val="00834BEF"/>
    <w:rsid w:val="00834FCD"/>
    <w:rsid w:val="00835181"/>
    <w:rsid w:val="00835A55"/>
    <w:rsid w:val="00835D29"/>
    <w:rsid w:val="00836427"/>
    <w:rsid w:val="00836CCE"/>
    <w:rsid w:val="008372BB"/>
    <w:rsid w:val="0083789C"/>
    <w:rsid w:val="0084039C"/>
    <w:rsid w:val="008414A3"/>
    <w:rsid w:val="00841839"/>
    <w:rsid w:val="00841B00"/>
    <w:rsid w:val="00842BE4"/>
    <w:rsid w:val="008434DF"/>
    <w:rsid w:val="008437A5"/>
    <w:rsid w:val="00843F13"/>
    <w:rsid w:val="0084439B"/>
    <w:rsid w:val="008443FF"/>
    <w:rsid w:val="008444BA"/>
    <w:rsid w:val="00844513"/>
    <w:rsid w:val="008445F6"/>
    <w:rsid w:val="0084547B"/>
    <w:rsid w:val="00845509"/>
    <w:rsid w:val="00845679"/>
    <w:rsid w:val="00845EDB"/>
    <w:rsid w:val="008470E6"/>
    <w:rsid w:val="0084798C"/>
    <w:rsid w:val="008502EC"/>
    <w:rsid w:val="00850DE5"/>
    <w:rsid w:val="00852064"/>
    <w:rsid w:val="008520BC"/>
    <w:rsid w:val="00852900"/>
    <w:rsid w:val="008529E7"/>
    <w:rsid w:val="00852B95"/>
    <w:rsid w:val="00852D5F"/>
    <w:rsid w:val="00853D78"/>
    <w:rsid w:val="0085400B"/>
    <w:rsid w:val="00854340"/>
    <w:rsid w:val="008543C4"/>
    <w:rsid w:val="00856A19"/>
    <w:rsid w:val="00856F8B"/>
    <w:rsid w:val="00857783"/>
    <w:rsid w:val="00857D59"/>
    <w:rsid w:val="00857FC1"/>
    <w:rsid w:val="008600EB"/>
    <w:rsid w:val="00860635"/>
    <w:rsid w:val="00860D92"/>
    <w:rsid w:val="00861D5F"/>
    <w:rsid w:val="00861F30"/>
    <w:rsid w:val="00862190"/>
    <w:rsid w:val="0086233A"/>
    <w:rsid w:val="008625A6"/>
    <w:rsid w:val="00862B53"/>
    <w:rsid w:val="00863016"/>
    <w:rsid w:val="0086306C"/>
    <w:rsid w:val="0086317D"/>
    <w:rsid w:val="00864468"/>
    <w:rsid w:val="00864A51"/>
    <w:rsid w:val="00864CD4"/>
    <w:rsid w:val="00865236"/>
    <w:rsid w:val="00866AC3"/>
    <w:rsid w:val="00866C3A"/>
    <w:rsid w:val="0086766D"/>
    <w:rsid w:val="008678C2"/>
    <w:rsid w:val="008678CC"/>
    <w:rsid w:val="00870612"/>
    <w:rsid w:val="00871613"/>
    <w:rsid w:val="008717B2"/>
    <w:rsid w:val="008719BC"/>
    <w:rsid w:val="00872363"/>
    <w:rsid w:val="008729B4"/>
    <w:rsid w:val="008732EA"/>
    <w:rsid w:val="0087333D"/>
    <w:rsid w:val="008733CB"/>
    <w:rsid w:val="008746D8"/>
    <w:rsid w:val="00874AE8"/>
    <w:rsid w:val="00874C24"/>
    <w:rsid w:val="0087519A"/>
    <w:rsid w:val="00875381"/>
    <w:rsid w:val="00875957"/>
    <w:rsid w:val="0087691B"/>
    <w:rsid w:val="008771A3"/>
    <w:rsid w:val="00877388"/>
    <w:rsid w:val="00877411"/>
    <w:rsid w:val="00877AFF"/>
    <w:rsid w:val="00880016"/>
    <w:rsid w:val="008802C6"/>
    <w:rsid w:val="00880AA0"/>
    <w:rsid w:val="00880F9A"/>
    <w:rsid w:val="008810D1"/>
    <w:rsid w:val="0088311F"/>
    <w:rsid w:val="008836D3"/>
    <w:rsid w:val="0088399A"/>
    <w:rsid w:val="00883AD5"/>
    <w:rsid w:val="008861C5"/>
    <w:rsid w:val="00886246"/>
    <w:rsid w:val="00886C65"/>
    <w:rsid w:val="00886D72"/>
    <w:rsid w:val="00886DCE"/>
    <w:rsid w:val="00887711"/>
    <w:rsid w:val="00887736"/>
    <w:rsid w:val="00892D80"/>
    <w:rsid w:val="00893AD4"/>
    <w:rsid w:val="00893BAE"/>
    <w:rsid w:val="00894209"/>
    <w:rsid w:val="0089460C"/>
    <w:rsid w:val="00895A42"/>
    <w:rsid w:val="00895EFD"/>
    <w:rsid w:val="0089616B"/>
    <w:rsid w:val="00897136"/>
    <w:rsid w:val="0089774B"/>
    <w:rsid w:val="008A00D8"/>
    <w:rsid w:val="008A1FD3"/>
    <w:rsid w:val="008A2C95"/>
    <w:rsid w:val="008A2F9E"/>
    <w:rsid w:val="008A5A02"/>
    <w:rsid w:val="008A5CD6"/>
    <w:rsid w:val="008A66FF"/>
    <w:rsid w:val="008A6741"/>
    <w:rsid w:val="008A69A9"/>
    <w:rsid w:val="008B0492"/>
    <w:rsid w:val="008B0660"/>
    <w:rsid w:val="008B09DD"/>
    <w:rsid w:val="008B0D98"/>
    <w:rsid w:val="008B1F3B"/>
    <w:rsid w:val="008B244C"/>
    <w:rsid w:val="008B2CAA"/>
    <w:rsid w:val="008B31F1"/>
    <w:rsid w:val="008B35C8"/>
    <w:rsid w:val="008B3A59"/>
    <w:rsid w:val="008B3F21"/>
    <w:rsid w:val="008B470D"/>
    <w:rsid w:val="008B58B4"/>
    <w:rsid w:val="008B75D8"/>
    <w:rsid w:val="008C100D"/>
    <w:rsid w:val="008C1098"/>
    <w:rsid w:val="008C1123"/>
    <w:rsid w:val="008C1EB1"/>
    <w:rsid w:val="008C31A0"/>
    <w:rsid w:val="008C451D"/>
    <w:rsid w:val="008C57FF"/>
    <w:rsid w:val="008C5F8D"/>
    <w:rsid w:val="008C5FDC"/>
    <w:rsid w:val="008C6AFC"/>
    <w:rsid w:val="008C6FBA"/>
    <w:rsid w:val="008C739F"/>
    <w:rsid w:val="008C7927"/>
    <w:rsid w:val="008D00B2"/>
    <w:rsid w:val="008D04AA"/>
    <w:rsid w:val="008D08ED"/>
    <w:rsid w:val="008D12D5"/>
    <w:rsid w:val="008D19A0"/>
    <w:rsid w:val="008D2787"/>
    <w:rsid w:val="008D27F7"/>
    <w:rsid w:val="008D4261"/>
    <w:rsid w:val="008D4430"/>
    <w:rsid w:val="008D4A4A"/>
    <w:rsid w:val="008D4AF4"/>
    <w:rsid w:val="008D5A30"/>
    <w:rsid w:val="008D66DC"/>
    <w:rsid w:val="008D6C7C"/>
    <w:rsid w:val="008D7E90"/>
    <w:rsid w:val="008E0CA2"/>
    <w:rsid w:val="008E2B9E"/>
    <w:rsid w:val="008E3028"/>
    <w:rsid w:val="008E31FC"/>
    <w:rsid w:val="008E3714"/>
    <w:rsid w:val="008E3B29"/>
    <w:rsid w:val="008E3EB5"/>
    <w:rsid w:val="008E3F4A"/>
    <w:rsid w:val="008E4A7E"/>
    <w:rsid w:val="008E5E3C"/>
    <w:rsid w:val="008E65C4"/>
    <w:rsid w:val="008E7CCA"/>
    <w:rsid w:val="008F0001"/>
    <w:rsid w:val="008F01B6"/>
    <w:rsid w:val="008F134C"/>
    <w:rsid w:val="008F45E1"/>
    <w:rsid w:val="008F49C6"/>
    <w:rsid w:val="008F4B97"/>
    <w:rsid w:val="008F5E8C"/>
    <w:rsid w:val="008F6180"/>
    <w:rsid w:val="008F6B00"/>
    <w:rsid w:val="008F6B8D"/>
    <w:rsid w:val="008F6DD1"/>
    <w:rsid w:val="008F705E"/>
    <w:rsid w:val="008F71E9"/>
    <w:rsid w:val="008F7B9F"/>
    <w:rsid w:val="008F7FB8"/>
    <w:rsid w:val="00900B2C"/>
    <w:rsid w:val="00901046"/>
    <w:rsid w:val="00901294"/>
    <w:rsid w:val="00901B4D"/>
    <w:rsid w:val="009026F3"/>
    <w:rsid w:val="00902A7F"/>
    <w:rsid w:val="009034BB"/>
    <w:rsid w:val="009039D8"/>
    <w:rsid w:val="00904317"/>
    <w:rsid w:val="00904FC6"/>
    <w:rsid w:val="009054EA"/>
    <w:rsid w:val="00905BDA"/>
    <w:rsid w:val="00905F22"/>
    <w:rsid w:val="00910E2B"/>
    <w:rsid w:val="009111FB"/>
    <w:rsid w:val="009119E6"/>
    <w:rsid w:val="0091316B"/>
    <w:rsid w:val="009140C3"/>
    <w:rsid w:val="00914455"/>
    <w:rsid w:val="009146F4"/>
    <w:rsid w:val="0091491D"/>
    <w:rsid w:val="009162A8"/>
    <w:rsid w:val="009163C2"/>
    <w:rsid w:val="009163F0"/>
    <w:rsid w:val="00917634"/>
    <w:rsid w:val="00917659"/>
    <w:rsid w:val="00920943"/>
    <w:rsid w:val="00921039"/>
    <w:rsid w:val="009217EA"/>
    <w:rsid w:val="0092509F"/>
    <w:rsid w:val="00925162"/>
    <w:rsid w:val="009251EB"/>
    <w:rsid w:val="0092542E"/>
    <w:rsid w:val="00925575"/>
    <w:rsid w:val="009256A0"/>
    <w:rsid w:val="00925C3C"/>
    <w:rsid w:val="009262BE"/>
    <w:rsid w:val="0092683E"/>
    <w:rsid w:val="00930CC5"/>
    <w:rsid w:val="0093106B"/>
    <w:rsid w:val="00932D8F"/>
    <w:rsid w:val="00933712"/>
    <w:rsid w:val="00934C02"/>
    <w:rsid w:val="00935606"/>
    <w:rsid w:val="00936063"/>
    <w:rsid w:val="00937FF7"/>
    <w:rsid w:val="0094129E"/>
    <w:rsid w:val="00941528"/>
    <w:rsid w:val="009416B6"/>
    <w:rsid w:val="00941741"/>
    <w:rsid w:val="00941E4A"/>
    <w:rsid w:val="00942D94"/>
    <w:rsid w:val="00943144"/>
    <w:rsid w:val="00943FD4"/>
    <w:rsid w:val="00944BE5"/>
    <w:rsid w:val="00945590"/>
    <w:rsid w:val="009458AB"/>
    <w:rsid w:val="00945C61"/>
    <w:rsid w:val="00946025"/>
    <w:rsid w:val="00947026"/>
    <w:rsid w:val="009479C4"/>
    <w:rsid w:val="00947D74"/>
    <w:rsid w:val="009514D5"/>
    <w:rsid w:val="00951E8D"/>
    <w:rsid w:val="009532DD"/>
    <w:rsid w:val="00955502"/>
    <w:rsid w:val="009555F1"/>
    <w:rsid w:val="00955EE6"/>
    <w:rsid w:val="0095647F"/>
    <w:rsid w:val="0095677B"/>
    <w:rsid w:val="00956DEF"/>
    <w:rsid w:val="00956F54"/>
    <w:rsid w:val="0095734D"/>
    <w:rsid w:val="009605B9"/>
    <w:rsid w:val="0096073D"/>
    <w:rsid w:val="00960C5D"/>
    <w:rsid w:val="00960D0A"/>
    <w:rsid w:val="00960F4E"/>
    <w:rsid w:val="00960FBB"/>
    <w:rsid w:val="00962BD5"/>
    <w:rsid w:val="00962EB9"/>
    <w:rsid w:val="009630E7"/>
    <w:rsid w:val="00964110"/>
    <w:rsid w:val="00964192"/>
    <w:rsid w:val="009641A2"/>
    <w:rsid w:val="00966328"/>
    <w:rsid w:val="00966559"/>
    <w:rsid w:val="00966EAF"/>
    <w:rsid w:val="00967613"/>
    <w:rsid w:val="00971039"/>
    <w:rsid w:val="009717F7"/>
    <w:rsid w:val="00971D93"/>
    <w:rsid w:val="00974E27"/>
    <w:rsid w:val="0097518E"/>
    <w:rsid w:val="009800B7"/>
    <w:rsid w:val="0098177B"/>
    <w:rsid w:val="00981D2D"/>
    <w:rsid w:val="0098297F"/>
    <w:rsid w:val="0098322A"/>
    <w:rsid w:val="0098322D"/>
    <w:rsid w:val="009844BE"/>
    <w:rsid w:val="00984838"/>
    <w:rsid w:val="00984D0A"/>
    <w:rsid w:val="009867BE"/>
    <w:rsid w:val="009868C1"/>
    <w:rsid w:val="00986B0A"/>
    <w:rsid w:val="009870B9"/>
    <w:rsid w:val="00987279"/>
    <w:rsid w:val="009901EF"/>
    <w:rsid w:val="00991232"/>
    <w:rsid w:val="0099261C"/>
    <w:rsid w:val="009928A4"/>
    <w:rsid w:val="009941C1"/>
    <w:rsid w:val="00994B57"/>
    <w:rsid w:val="00994D1A"/>
    <w:rsid w:val="00995050"/>
    <w:rsid w:val="00996A59"/>
    <w:rsid w:val="009974A8"/>
    <w:rsid w:val="009A03E7"/>
    <w:rsid w:val="009A1B6A"/>
    <w:rsid w:val="009A2B17"/>
    <w:rsid w:val="009A4F7A"/>
    <w:rsid w:val="009A7107"/>
    <w:rsid w:val="009A7230"/>
    <w:rsid w:val="009A753E"/>
    <w:rsid w:val="009B0C63"/>
    <w:rsid w:val="009B1318"/>
    <w:rsid w:val="009B1CFE"/>
    <w:rsid w:val="009B2707"/>
    <w:rsid w:val="009B29B7"/>
    <w:rsid w:val="009B39F3"/>
    <w:rsid w:val="009B44EB"/>
    <w:rsid w:val="009B5676"/>
    <w:rsid w:val="009B6215"/>
    <w:rsid w:val="009C048A"/>
    <w:rsid w:val="009C0796"/>
    <w:rsid w:val="009C136D"/>
    <w:rsid w:val="009C22C7"/>
    <w:rsid w:val="009C232D"/>
    <w:rsid w:val="009C264F"/>
    <w:rsid w:val="009C340E"/>
    <w:rsid w:val="009C3675"/>
    <w:rsid w:val="009C3E4B"/>
    <w:rsid w:val="009C5FA2"/>
    <w:rsid w:val="009C7DAC"/>
    <w:rsid w:val="009D0572"/>
    <w:rsid w:val="009D05D9"/>
    <w:rsid w:val="009D1232"/>
    <w:rsid w:val="009D1809"/>
    <w:rsid w:val="009D3FE6"/>
    <w:rsid w:val="009D4642"/>
    <w:rsid w:val="009D4890"/>
    <w:rsid w:val="009D4911"/>
    <w:rsid w:val="009D4CE7"/>
    <w:rsid w:val="009D7DE2"/>
    <w:rsid w:val="009E110D"/>
    <w:rsid w:val="009E1B6D"/>
    <w:rsid w:val="009E1DA8"/>
    <w:rsid w:val="009E2157"/>
    <w:rsid w:val="009E2182"/>
    <w:rsid w:val="009E28A4"/>
    <w:rsid w:val="009E371F"/>
    <w:rsid w:val="009E38B1"/>
    <w:rsid w:val="009E3ACF"/>
    <w:rsid w:val="009E3D67"/>
    <w:rsid w:val="009E4418"/>
    <w:rsid w:val="009E55DF"/>
    <w:rsid w:val="009E5FF4"/>
    <w:rsid w:val="009E6899"/>
    <w:rsid w:val="009E6B55"/>
    <w:rsid w:val="009E70BE"/>
    <w:rsid w:val="009F0859"/>
    <w:rsid w:val="009F183F"/>
    <w:rsid w:val="009F1D32"/>
    <w:rsid w:val="009F29D2"/>
    <w:rsid w:val="009F5A47"/>
    <w:rsid w:val="009F68C8"/>
    <w:rsid w:val="009F6BD8"/>
    <w:rsid w:val="009F74BC"/>
    <w:rsid w:val="009F7A16"/>
    <w:rsid w:val="009F7F2C"/>
    <w:rsid w:val="00A00492"/>
    <w:rsid w:val="00A0091C"/>
    <w:rsid w:val="00A00C4E"/>
    <w:rsid w:val="00A00D0E"/>
    <w:rsid w:val="00A00D28"/>
    <w:rsid w:val="00A00F1B"/>
    <w:rsid w:val="00A0160E"/>
    <w:rsid w:val="00A01DB6"/>
    <w:rsid w:val="00A02D91"/>
    <w:rsid w:val="00A03142"/>
    <w:rsid w:val="00A037E8"/>
    <w:rsid w:val="00A05065"/>
    <w:rsid w:val="00A062AA"/>
    <w:rsid w:val="00A068D0"/>
    <w:rsid w:val="00A06E93"/>
    <w:rsid w:val="00A10DEA"/>
    <w:rsid w:val="00A1100D"/>
    <w:rsid w:val="00A11550"/>
    <w:rsid w:val="00A16164"/>
    <w:rsid w:val="00A16CCB"/>
    <w:rsid w:val="00A17B3A"/>
    <w:rsid w:val="00A17BE5"/>
    <w:rsid w:val="00A17C09"/>
    <w:rsid w:val="00A21087"/>
    <w:rsid w:val="00A21984"/>
    <w:rsid w:val="00A21D3F"/>
    <w:rsid w:val="00A21F31"/>
    <w:rsid w:val="00A22393"/>
    <w:rsid w:val="00A22985"/>
    <w:rsid w:val="00A22C95"/>
    <w:rsid w:val="00A235CD"/>
    <w:rsid w:val="00A24270"/>
    <w:rsid w:val="00A24A43"/>
    <w:rsid w:val="00A2500C"/>
    <w:rsid w:val="00A27644"/>
    <w:rsid w:val="00A30077"/>
    <w:rsid w:val="00A30403"/>
    <w:rsid w:val="00A31089"/>
    <w:rsid w:val="00A31692"/>
    <w:rsid w:val="00A321A6"/>
    <w:rsid w:val="00A3289A"/>
    <w:rsid w:val="00A33501"/>
    <w:rsid w:val="00A33E58"/>
    <w:rsid w:val="00A33EBF"/>
    <w:rsid w:val="00A344E8"/>
    <w:rsid w:val="00A34DAF"/>
    <w:rsid w:val="00A352D3"/>
    <w:rsid w:val="00A3547A"/>
    <w:rsid w:val="00A3610E"/>
    <w:rsid w:val="00A3659B"/>
    <w:rsid w:val="00A36A4F"/>
    <w:rsid w:val="00A36D97"/>
    <w:rsid w:val="00A4081A"/>
    <w:rsid w:val="00A408F8"/>
    <w:rsid w:val="00A41402"/>
    <w:rsid w:val="00A42D7B"/>
    <w:rsid w:val="00A42EBE"/>
    <w:rsid w:val="00A43DDC"/>
    <w:rsid w:val="00A443D9"/>
    <w:rsid w:val="00A4491F"/>
    <w:rsid w:val="00A45F1E"/>
    <w:rsid w:val="00A47872"/>
    <w:rsid w:val="00A50579"/>
    <w:rsid w:val="00A50B35"/>
    <w:rsid w:val="00A50D79"/>
    <w:rsid w:val="00A51688"/>
    <w:rsid w:val="00A5490C"/>
    <w:rsid w:val="00A54B9E"/>
    <w:rsid w:val="00A54F20"/>
    <w:rsid w:val="00A57070"/>
    <w:rsid w:val="00A6098E"/>
    <w:rsid w:val="00A60C4D"/>
    <w:rsid w:val="00A61C4A"/>
    <w:rsid w:val="00A61EF3"/>
    <w:rsid w:val="00A62044"/>
    <w:rsid w:val="00A620B9"/>
    <w:rsid w:val="00A6237A"/>
    <w:rsid w:val="00A632B1"/>
    <w:rsid w:val="00A6492E"/>
    <w:rsid w:val="00A64A3F"/>
    <w:rsid w:val="00A64BE7"/>
    <w:rsid w:val="00A65452"/>
    <w:rsid w:val="00A65851"/>
    <w:rsid w:val="00A65AD5"/>
    <w:rsid w:val="00A65B34"/>
    <w:rsid w:val="00A65FCA"/>
    <w:rsid w:val="00A6628E"/>
    <w:rsid w:val="00A662D4"/>
    <w:rsid w:val="00A70123"/>
    <w:rsid w:val="00A70952"/>
    <w:rsid w:val="00A71332"/>
    <w:rsid w:val="00A71C7F"/>
    <w:rsid w:val="00A71EFF"/>
    <w:rsid w:val="00A73438"/>
    <w:rsid w:val="00A74476"/>
    <w:rsid w:val="00A75B8D"/>
    <w:rsid w:val="00A75EA6"/>
    <w:rsid w:val="00A76092"/>
    <w:rsid w:val="00A7636A"/>
    <w:rsid w:val="00A80019"/>
    <w:rsid w:val="00A80A13"/>
    <w:rsid w:val="00A81932"/>
    <w:rsid w:val="00A8235E"/>
    <w:rsid w:val="00A828AC"/>
    <w:rsid w:val="00A82AF4"/>
    <w:rsid w:val="00A845B4"/>
    <w:rsid w:val="00A8499C"/>
    <w:rsid w:val="00A858C1"/>
    <w:rsid w:val="00A86436"/>
    <w:rsid w:val="00A86B3E"/>
    <w:rsid w:val="00A86D5C"/>
    <w:rsid w:val="00A87182"/>
    <w:rsid w:val="00A91D58"/>
    <w:rsid w:val="00A91ED6"/>
    <w:rsid w:val="00A92C97"/>
    <w:rsid w:val="00A92DE6"/>
    <w:rsid w:val="00A9329C"/>
    <w:rsid w:val="00A940C3"/>
    <w:rsid w:val="00A94159"/>
    <w:rsid w:val="00A957B3"/>
    <w:rsid w:val="00A96329"/>
    <w:rsid w:val="00A97A6F"/>
    <w:rsid w:val="00A97DC0"/>
    <w:rsid w:val="00AA084F"/>
    <w:rsid w:val="00AA14CE"/>
    <w:rsid w:val="00AA1DF9"/>
    <w:rsid w:val="00AA2718"/>
    <w:rsid w:val="00AA2C2A"/>
    <w:rsid w:val="00AA32A5"/>
    <w:rsid w:val="00AA3313"/>
    <w:rsid w:val="00AA3C04"/>
    <w:rsid w:val="00AA4151"/>
    <w:rsid w:val="00AA4DA5"/>
    <w:rsid w:val="00AA5393"/>
    <w:rsid w:val="00AA6695"/>
    <w:rsid w:val="00AA6887"/>
    <w:rsid w:val="00AA6909"/>
    <w:rsid w:val="00AA6BB8"/>
    <w:rsid w:val="00AA6F9B"/>
    <w:rsid w:val="00AB0AB9"/>
    <w:rsid w:val="00AB1D56"/>
    <w:rsid w:val="00AB2027"/>
    <w:rsid w:val="00AB24DB"/>
    <w:rsid w:val="00AB2C93"/>
    <w:rsid w:val="00AB39B7"/>
    <w:rsid w:val="00AB419A"/>
    <w:rsid w:val="00AB628D"/>
    <w:rsid w:val="00AB68CB"/>
    <w:rsid w:val="00AB6E67"/>
    <w:rsid w:val="00AB7105"/>
    <w:rsid w:val="00AB723A"/>
    <w:rsid w:val="00AB73A7"/>
    <w:rsid w:val="00AC11D7"/>
    <w:rsid w:val="00AC219D"/>
    <w:rsid w:val="00AC2E1A"/>
    <w:rsid w:val="00AC2EAC"/>
    <w:rsid w:val="00AC30BD"/>
    <w:rsid w:val="00AC4974"/>
    <w:rsid w:val="00AC4C0F"/>
    <w:rsid w:val="00AC561F"/>
    <w:rsid w:val="00AC5CC0"/>
    <w:rsid w:val="00AC664E"/>
    <w:rsid w:val="00AC7057"/>
    <w:rsid w:val="00AD317A"/>
    <w:rsid w:val="00AD462C"/>
    <w:rsid w:val="00AD4942"/>
    <w:rsid w:val="00AD505F"/>
    <w:rsid w:val="00AD571F"/>
    <w:rsid w:val="00AD5E21"/>
    <w:rsid w:val="00AD6C71"/>
    <w:rsid w:val="00AE01ED"/>
    <w:rsid w:val="00AE0C41"/>
    <w:rsid w:val="00AE1ABD"/>
    <w:rsid w:val="00AE2C75"/>
    <w:rsid w:val="00AE48DE"/>
    <w:rsid w:val="00AE4F08"/>
    <w:rsid w:val="00AE59F2"/>
    <w:rsid w:val="00AE5C3F"/>
    <w:rsid w:val="00AE5ED7"/>
    <w:rsid w:val="00AE61C0"/>
    <w:rsid w:val="00AE6938"/>
    <w:rsid w:val="00AF057C"/>
    <w:rsid w:val="00AF0B31"/>
    <w:rsid w:val="00AF0C4C"/>
    <w:rsid w:val="00AF0CA3"/>
    <w:rsid w:val="00AF1216"/>
    <w:rsid w:val="00AF1DB0"/>
    <w:rsid w:val="00AF2473"/>
    <w:rsid w:val="00AF3A2E"/>
    <w:rsid w:val="00AF46A0"/>
    <w:rsid w:val="00AF4C34"/>
    <w:rsid w:val="00AF57FC"/>
    <w:rsid w:val="00AF5F84"/>
    <w:rsid w:val="00AF71AD"/>
    <w:rsid w:val="00AF71D8"/>
    <w:rsid w:val="00AF733E"/>
    <w:rsid w:val="00B005F8"/>
    <w:rsid w:val="00B01A64"/>
    <w:rsid w:val="00B01C7D"/>
    <w:rsid w:val="00B01F15"/>
    <w:rsid w:val="00B0220D"/>
    <w:rsid w:val="00B02515"/>
    <w:rsid w:val="00B025C2"/>
    <w:rsid w:val="00B027A4"/>
    <w:rsid w:val="00B02D49"/>
    <w:rsid w:val="00B0350C"/>
    <w:rsid w:val="00B03649"/>
    <w:rsid w:val="00B03861"/>
    <w:rsid w:val="00B04945"/>
    <w:rsid w:val="00B049A0"/>
    <w:rsid w:val="00B0617A"/>
    <w:rsid w:val="00B06C24"/>
    <w:rsid w:val="00B06EFE"/>
    <w:rsid w:val="00B076C2"/>
    <w:rsid w:val="00B07EE8"/>
    <w:rsid w:val="00B10E62"/>
    <w:rsid w:val="00B10F52"/>
    <w:rsid w:val="00B11465"/>
    <w:rsid w:val="00B11F21"/>
    <w:rsid w:val="00B12018"/>
    <w:rsid w:val="00B12817"/>
    <w:rsid w:val="00B12F64"/>
    <w:rsid w:val="00B132F5"/>
    <w:rsid w:val="00B14063"/>
    <w:rsid w:val="00B14BE7"/>
    <w:rsid w:val="00B1534D"/>
    <w:rsid w:val="00B1740C"/>
    <w:rsid w:val="00B17B54"/>
    <w:rsid w:val="00B17B89"/>
    <w:rsid w:val="00B202A3"/>
    <w:rsid w:val="00B20D39"/>
    <w:rsid w:val="00B21FB8"/>
    <w:rsid w:val="00B22689"/>
    <w:rsid w:val="00B2271D"/>
    <w:rsid w:val="00B22A65"/>
    <w:rsid w:val="00B2317C"/>
    <w:rsid w:val="00B2411D"/>
    <w:rsid w:val="00B2489E"/>
    <w:rsid w:val="00B25383"/>
    <w:rsid w:val="00B26939"/>
    <w:rsid w:val="00B2696A"/>
    <w:rsid w:val="00B269CB"/>
    <w:rsid w:val="00B30462"/>
    <w:rsid w:val="00B313BC"/>
    <w:rsid w:val="00B31A7F"/>
    <w:rsid w:val="00B324E3"/>
    <w:rsid w:val="00B33C26"/>
    <w:rsid w:val="00B3435E"/>
    <w:rsid w:val="00B34361"/>
    <w:rsid w:val="00B34C52"/>
    <w:rsid w:val="00B3535B"/>
    <w:rsid w:val="00B354BD"/>
    <w:rsid w:val="00B355AA"/>
    <w:rsid w:val="00B35BFA"/>
    <w:rsid w:val="00B36DBD"/>
    <w:rsid w:val="00B376C8"/>
    <w:rsid w:val="00B37B2A"/>
    <w:rsid w:val="00B40D21"/>
    <w:rsid w:val="00B422D5"/>
    <w:rsid w:val="00B42CED"/>
    <w:rsid w:val="00B43E65"/>
    <w:rsid w:val="00B43F08"/>
    <w:rsid w:val="00B447A6"/>
    <w:rsid w:val="00B448BF"/>
    <w:rsid w:val="00B45082"/>
    <w:rsid w:val="00B4660F"/>
    <w:rsid w:val="00B4670A"/>
    <w:rsid w:val="00B46B3F"/>
    <w:rsid w:val="00B46CB5"/>
    <w:rsid w:val="00B4767C"/>
    <w:rsid w:val="00B505E6"/>
    <w:rsid w:val="00B50B9F"/>
    <w:rsid w:val="00B524BB"/>
    <w:rsid w:val="00B52701"/>
    <w:rsid w:val="00B5278D"/>
    <w:rsid w:val="00B5294B"/>
    <w:rsid w:val="00B52AD2"/>
    <w:rsid w:val="00B533BF"/>
    <w:rsid w:val="00B53452"/>
    <w:rsid w:val="00B5377A"/>
    <w:rsid w:val="00B5454B"/>
    <w:rsid w:val="00B55982"/>
    <w:rsid w:val="00B55BF4"/>
    <w:rsid w:val="00B603AD"/>
    <w:rsid w:val="00B60CAD"/>
    <w:rsid w:val="00B61A04"/>
    <w:rsid w:val="00B61BA3"/>
    <w:rsid w:val="00B623EF"/>
    <w:rsid w:val="00B624B5"/>
    <w:rsid w:val="00B640FF"/>
    <w:rsid w:val="00B649C2"/>
    <w:rsid w:val="00B64A7C"/>
    <w:rsid w:val="00B64D7A"/>
    <w:rsid w:val="00B64EED"/>
    <w:rsid w:val="00B65705"/>
    <w:rsid w:val="00B65AE9"/>
    <w:rsid w:val="00B67C69"/>
    <w:rsid w:val="00B7025D"/>
    <w:rsid w:val="00B7038C"/>
    <w:rsid w:val="00B706FE"/>
    <w:rsid w:val="00B71472"/>
    <w:rsid w:val="00B7236E"/>
    <w:rsid w:val="00B73BFA"/>
    <w:rsid w:val="00B73F0A"/>
    <w:rsid w:val="00B75D8A"/>
    <w:rsid w:val="00B75FE9"/>
    <w:rsid w:val="00B80405"/>
    <w:rsid w:val="00B8049D"/>
    <w:rsid w:val="00B8059D"/>
    <w:rsid w:val="00B806FA"/>
    <w:rsid w:val="00B80784"/>
    <w:rsid w:val="00B81309"/>
    <w:rsid w:val="00B8492C"/>
    <w:rsid w:val="00B87311"/>
    <w:rsid w:val="00B901E1"/>
    <w:rsid w:val="00B90867"/>
    <w:rsid w:val="00B90FCF"/>
    <w:rsid w:val="00B91B9A"/>
    <w:rsid w:val="00B934C9"/>
    <w:rsid w:val="00B93922"/>
    <w:rsid w:val="00B9393A"/>
    <w:rsid w:val="00B9467B"/>
    <w:rsid w:val="00B9734A"/>
    <w:rsid w:val="00B975EB"/>
    <w:rsid w:val="00BA0036"/>
    <w:rsid w:val="00BA0666"/>
    <w:rsid w:val="00BA1E45"/>
    <w:rsid w:val="00BA1E6B"/>
    <w:rsid w:val="00BA2309"/>
    <w:rsid w:val="00BA2DC4"/>
    <w:rsid w:val="00BA2EFE"/>
    <w:rsid w:val="00BA4055"/>
    <w:rsid w:val="00BA44E4"/>
    <w:rsid w:val="00BA4E65"/>
    <w:rsid w:val="00BA54DE"/>
    <w:rsid w:val="00BA6383"/>
    <w:rsid w:val="00BA65A1"/>
    <w:rsid w:val="00BA65E4"/>
    <w:rsid w:val="00BA67D7"/>
    <w:rsid w:val="00BA6941"/>
    <w:rsid w:val="00BA76C2"/>
    <w:rsid w:val="00BA7B2F"/>
    <w:rsid w:val="00BB0144"/>
    <w:rsid w:val="00BB05DC"/>
    <w:rsid w:val="00BB2724"/>
    <w:rsid w:val="00BB2F1D"/>
    <w:rsid w:val="00BB2F66"/>
    <w:rsid w:val="00BB371E"/>
    <w:rsid w:val="00BB44B4"/>
    <w:rsid w:val="00BB49E0"/>
    <w:rsid w:val="00BB4A88"/>
    <w:rsid w:val="00BB4EFE"/>
    <w:rsid w:val="00BB58B4"/>
    <w:rsid w:val="00BB5942"/>
    <w:rsid w:val="00BB65E7"/>
    <w:rsid w:val="00BB7461"/>
    <w:rsid w:val="00BC04D2"/>
    <w:rsid w:val="00BC15A2"/>
    <w:rsid w:val="00BC16D4"/>
    <w:rsid w:val="00BC1880"/>
    <w:rsid w:val="00BC226F"/>
    <w:rsid w:val="00BC24EF"/>
    <w:rsid w:val="00BC32D7"/>
    <w:rsid w:val="00BC4432"/>
    <w:rsid w:val="00BC54AA"/>
    <w:rsid w:val="00BC567C"/>
    <w:rsid w:val="00BC5EB7"/>
    <w:rsid w:val="00BC6F92"/>
    <w:rsid w:val="00BC70A8"/>
    <w:rsid w:val="00BC725E"/>
    <w:rsid w:val="00BC78F4"/>
    <w:rsid w:val="00BD00F2"/>
    <w:rsid w:val="00BD0EAF"/>
    <w:rsid w:val="00BD2082"/>
    <w:rsid w:val="00BD2E93"/>
    <w:rsid w:val="00BD3E31"/>
    <w:rsid w:val="00BD43BD"/>
    <w:rsid w:val="00BD6767"/>
    <w:rsid w:val="00BD6AD0"/>
    <w:rsid w:val="00BD753B"/>
    <w:rsid w:val="00BD7AC6"/>
    <w:rsid w:val="00BE0955"/>
    <w:rsid w:val="00BE0BE5"/>
    <w:rsid w:val="00BE143D"/>
    <w:rsid w:val="00BE236A"/>
    <w:rsid w:val="00BE270B"/>
    <w:rsid w:val="00BE2821"/>
    <w:rsid w:val="00BE3969"/>
    <w:rsid w:val="00BE3AAA"/>
    <w:rsid w:val="00BE4FFA"/>
    <w:rsid w:val="00BE54EA"/>
    <w:rsid w:val="00BE5E30"/>
    <w:rsid w:val="00BE6B88"/>
    <w:rsid w:val="00BE7E61"/>
    <w:rsid w:val="00BF2404"/>
    <w:rsid w:val="00BF2CB5"/>
    <w:rsid w:val="00BF32E4"/>
    <w:rsid w:val="00BF39AB"/>
    <w:rsid w:val="00BF46E4"/>
    <w:rsid w:val="00BF4F1F"/>
    <w:rsid w:val="00BF6404"/>
    <w:rsid w:val="00BF6FEE"/>
    <w:rsid w:val="00C010FD"/>
    <w:rsid w:val="00C015D9"/>
    <w:rsid w:val="00C018E1"/>
    <w:rsid w:val="00C023FD"/>
    <w:rsid w:val="00C02695"/>
    <w:rsid w:val="00C031C2"/>
    <w:rsid w:val="00C03FDC"/>
    <w:rsid w:val="00C04492"/>
    <w:rsid w:val="00C04FD5"/>
    <w:rsid w:val="00C055D1"/>
    <w:rsid w:val="00C05656"/>
    <w:rsid w:val="00C056C8"/>
    <w:rsid w:val="00C057AD"/>
    <w:rsid w:val="00C06094"/>
    <w:rsid w:val="00C06554"/>
    <w:rsid w:val="00C06833"/>
    <w:rsid w:val="00C07153"/>
    <w:rsid w:val="00C07C3B"/>
    <w:rsid w:val="00C10154"/>
    <w:rsid w:val="00C104B6"/>
    <w:rsid w:val="00C10E6D"/>
    <w:rsid w:val="00C11834"/>
    <w:rsid w:val="00C11D12"/>
    <w:rsid w:val="00C12533"/>
    <w:rsid w:val="00C13B63"/>
    <w:rsid w:val="00C147DB"/>
    <w:rsid w:val="00C14E53"/>
    <w:rsid w:val="00C14F81"/>
    <w:rsid w:val="00C15256"/>
    <w:rsid w:val="00C16A91"/>
    <w:rsid w:val="00C16D53"/>
    <w:rsid w:val="00C17554"/>
    <w:rsid w:val="00C17D96"/>
    <w:rsid w:val="00C20108"/>
    <w:rsid w:val="00C2044B"/>
    <w:rsid w:val="00C210DD"/>
    <w:rsid w:val="00C22BC3"/>
    <w:rsid w:val="00C236E5"/>
    <w:rsid w:val="00C23A0E"/>
    <w:rsid w:val="00C23EDD"/>
    <w:rsid w:val="00C24F17"/>
    <w:rsid w:val="00C255EC"/>
    <w:rsid w:val="00C25B19"/>
    <w:rsid w:val="00C260B1"/>
    <w:rsid w:val="00C265E5"/>
    <w:rsid w:val="00C26D2C"/>
    <w:rsid w:val="00C271A6"/>
    <w:rsid w:val="00C27928"/>
    <w:rsid w:val="00C3017A"/>
    <w:rsid w:val="00C30686"/>
    <w:rsid w:val="00C31007"/>
    <w:rsid w:val="00C33CF3"/>
    <w:rsid w:val="00C34848"/>
    <w:rsid w:val="00C34BAF"/>
    <w:rsid w:val="00C34D5B"/>
    <w:rsid w:val="00C35AF0"/>
    <w:rsid w:val="00C36793"/>
    <w:rsid w:val="00C3711F"/>
    <w:rsid w:val="00C37185"/>
    <w:rsid w:val="00C40E61"/>
    <w:rsid w:val="00C417F5"/>
    <w:rsid w:val="00C42A12"/>
    <w:rsid w:val="00C42F5F"/>
    <w:rsid w:val="00C43DCD"/>
    <w:rsid w:val="00C44641"/>
    <w:rsid w:val="00C44E51"/>
    <w:rsid w:val="00C45946"/>
    <w:rsid w:val="00C4596A"/>
    <w:rsid w:val="00C46576"/>
    <w:rsid w:val="00C467A3"/>
    <w:rsid w:val="00C469FC"/>
    <w:rsid w:val="00C46B5F"/>
    <w:rsid w:val="00C46F34"/>
    <w:rsid w:val="00C47323"/>
    <w:rsid w:val="00C501CD"/>
    <w:rsid w:val="00C50736"/>
    <w:rsid w:val="00C50825"/>
    <w:rsid w:val="00C50D78"/>
    <w:rsid w:val="00C511D0"/>
    <w:rsid w:val="00C519A2"/>
    <w:rsid w:val="00C51EBC"/>
    <w:rsid w:val="00C51FC7"/>
    <w:rsid w:val="00C5209A"/>
    <w:rsid w:val="00C5246A"/>
    <w:rsid w:val="00C5275E"/>
    <w:rsid w:val="00C52A82"/>
    <w:rsid w:val="00C52C11"/>
    <w:rsid w:val="00C53B83"/>
    <w:rsid w:val="00C53FB6"/>
    <w:rsid w:val="00C54127"/>
    <w:rsid w:val="00C54886"/>
    <w:rsid w:val="00C54D2B"/>
    <w:rsid w:val="00C55578"/>
    <w:rsid w:val="00C55B28"/>
    <w:rsid w:val="00C578AB"/>
    <w:rsid w:val="00C60067"/>
    <w:rsid w:val="00C6164E"/>
    <w:rsid w:val="00C61A2E"/>
    <w:rsid w:val="00C61A9F"/>
    <w:rsid w:val="00C630F5"/>
    <w:rsid w:val="00C63427"/>
    <w:rsid w:val="00C63B27"/>
    <w:rsid w:val="00C64493"/>
    <w:rsid w:val="00C64606"/>
    <w:rsid w:val="00C6530B"/>
    <w:rsid w:val="00C65BED"/>
    <w:rsid w:val="00C67644"/>
    <w:rsid w:val="00C70270"/>
    <w:rsid w:val="00C70BFA"/>
    <w:rsid w:val="00C71741"/>
    <w:rsid w:val="00C71F0C"/>
    <w:rsid w:val="00C7254A"/>
    <w:rsid w:val="00C7316C"/>
    <w:rsid w:val="00C735B1"/>
    <w:rsid w:val="00C73FE2"/>
    <w:rsid w:val="00C759F2"/>
    <w:rsid w:val="00C75F4D"/>
    <w:rsid w:val="00C768F6"/>
    <w:rsid w:val="00C82032"/>
    <w:rsid w:val="00C838B5"/>
    <w:rsid w:val="00C8394A"/>
    <w:rsid w:val="00C83A41"/>
    <w:rsid w:val="00C84E67"/>
    <w:rsid w:val="00C84FA8"/>
    <w:rsid w:val="00C85205"/>
    <w:rsid w:val="00C85CFC"/>
    <w:rsid w:val="00C86891"/>
    <w:rsid w:val="00C86A34"/>
    <w:rsid w:val="00C86E0C"/>
    <w:rsid w:val="00C878A1"/>
    <w:rsid w:val="00C87925"/>
    <w:rsid w:val="00C90885"/>
    <w:rsid w:val="00C91807"/>
    <w:rsid w:val="00C91A19"/>
    <w:rsid w:val="00C9282C"/>
    <w:rsid w:val="00C9295C"/>
    <w:rsid w:val="00C9381D"/>
    <w:rsid w:val="00C93916"/>
    <w:rsid w:val="00C9439D"/>
    <w:rsid w:val="00C958C9"/>
    <w:rsid w:val="00C95BE3"/>
    <w:rsid w:val="00C95E15"/>
    <w:rsid w:val="00C9712E"/>
    <w:rsid w:val="00C97733"/>
    <w:rsid w:val="00CA04FD"/>
    <w:rsid w:val="00CA1F7C"/>
    <w:rsid w:val="00CA23F1"/>
    <w:rsid w:val="00CA2BC9"/>
    <w:rsid w:val="00CA2FC8"/>
    <w:rsid w:val="00CA380A"/>
    <w:rsid w:val="00CA3C2F"/>
    <w:rsid w:val="00CA3CFC"/>
    <w:rsid w:val="00CA416D"/>
    <w:rsid w:val="00CA455F"/>
    <w:rsid w:val="00CA4611"/>
    <w:rsid w:val="00CA5A87"/>
    <w:rsid w:val="00CA5BED"/>
    <w:rsid w:val="00CA6447"/>
    <w:rsid w:val="00CA72D2"/>
    <w:rsid w:val="00CB0E22"/>
    <w:rsid w:val="00CB0E55"/>
    <w:rsid w:val="00CB219D"/>
    <w:rsid w:val="00CB2956"/>
    <w:rsid w:val="00CB30E0"/>
    <w:rsid w:val="00CB3224"/>
    <w:rsid w:val="00CB3778"/>
    <w:rsid w:val="00CB4426"/>
    <w:rsid w:val="00CB4A7D"/>
    <w:rsid w:val="00CB5296"/>
    <w:rsid w:val="00CB63FD"/>
    <w:rsid w:val="00CB73D1"/>
    <w:rsid w:val="00CC00B5"/>
    <w:rsid w:val="00CC0943"/>
    <w:rsid w:val="00CC2062"/>
    <w:rsid w:val="00CC248F"/>
    <w:rsid w:val="00CC29B8"/>
    <w:rsid w:val="00CC3157"/>
    <w:rsid w:val="00CC33CC"/>
    <w:rsid w:val="00CC36E5"/>
    <w:rsid w:val="00CC37CD"/>
    <w:rsid w:val="00CC45BA"/>
    <w:rsid w:val="00CC49BF"/>
    <w:rsid w:val="00CC5218"/>
    <w:rsid w:val="00CC5EA1"/>
    <w:rsid w:val="00CC5ED9"/>
    <w:rsid w:val="00CC6AC3"/>
    <w:rsid w:val="00CD0554"/>
    <w:rsid w:val="00CD0761"/>
    <w:rsid w:val="00CD1275"/>
    <w:rsid w:val="00CD151D"/>
    <w:rsid w:val="00CD16BF"/>
    <w:rsid w:val="00CD1E80"/>
    <w:rsid w:val="00CD2562"/>
    <w:rsid w:val="00CD3343"/>
    <w:rsid w:val="00CD50D0"/>
    <w:rsid w:val="00CD62A9"/>
    <w:rsid w:val="00CD7801"/>
    <w:rsid w:val="00CD7935"/>
    <w:rsid w:val="00CE00AA"/>
    <w:rsid w:val="00CE0745"/>
    <w:rsid w:val="00CE1359"/>
    <w:rsid w:val="00CE15E4"/>
    <w:rsid w:val="00CE2063"/>
    <w:rsid w:val="00CE3754"/>
    <w:rsid w:val="00CE44DB"/>
    <w:rsid w:val="00CE48F0"/>
    <w:rsid w:val="00CE4AFE"/>
    <w:rsid w:val="00CE51DF"/>
    <w:rsid w:val="00CE53CC"/>
    <w:rsid w:val="00CE68EA"/>
    <w:rsid w:val="00CE697E"/>
    <w:rsid w:val="00CE6FA5"/>
    <w:rsid w:val="00CE70FC"/>
    <w:rsid w:val="00CE76BE"/>
    <w:rsid w:val="00CE7C0A"/>
    <w:rsid w:val="00CE7F3A"/>
    <w:rsid w:val="00CF02AC"/>
    <w:rsid w:val="00CF0848"/>
    <w:rsid w:val="00CF0D29"/>
    <w:rsid w:val="00CF0E12"/>
    <w:rsid w:val="00CF1A60"/>
    <w:rsid w:val="00CF2327"/>
    <w:rsid w:val="00CF4C92"/>
    <w:rsid w:val="00CF4E87"/>
    <w:rsid w:val="00CF5E72"/>
    <w:rsid w:val="00CF6175"/>
    <w:rsid w:val="00CF6641"/>
    <w:rsid w:val="00CF66DB"/>
    <w:rsid w:val="00CF7809"/>
    <w:rsid w:val="00D00420"/>
    <w:rsid w:val="00D011D7"/>
    <w:rsid w:val="00D019FB"/>
    <w:rsid w:val="00D03AFB"/>
    <w:rsid w:val="00D04321"/>
    <w:rsid w:val="00D04AF3"/>
    <w:rsid w:val="00D04C0A"/>
    <w:rsid w:val="00D05D17"/>
    <w:rsid w:val="00D05DBC"/>
    <w:rsid w:val="00D07163"/>
    <w:rsid w:val="00D07C10"/>
    <w:rsid w:val="00D10F76"/>
    <w:rsid w:val="00D11D68"/>
    <w:rsid w:val="00D1244F"/>
    <w:rsid w:val="00D12C5C"/>
    <w:rsid w:val="00D12CFD"/>
    <w:rsid w:val="00D132DC"/>
    <w:rsid w:val="00D139AA"/>
    <w:rsid w:val="00D1517F"/>
    <w:rsid w:val="00D1634E"/>
    <w:rsid w:val="00D16533"/>
    <w:rsid w:val="00D16DD0"/>
    <w:rsid w:val="00D16F87"/>
    <w:rsid w:val="00D1728E"/>
    <w:rsid w:val="00D17C22"/>
    <w:rsid w:val="00D206A4"/>
    <w:rsid w:val="00D20AE3"/>
    <w:rsid w:val="00D20F85"/>
    <w:rsid w:val="00D22369"/>
    <w:rsid w:val="00D22D96"/>
    <w:rsid w:val="00D232FF"/>
    <w:rsid w:val="00D23896"/>
    <w:rsid w:val="00D25329"/>
    <w:rsid w:val="00D25CE7"/>
    <w:rsid w:val="00D26937"/>
    <w:rsid w:val="00D26F19"/>
    <w:rsid w:val="00D312A6"/>
    <w:rsid w:val="00D31502"/>
    <w:rsid w:val="00D31F39"/>
    <w:rsid w:val="00D3380B"/>
    <w:rsid w:val="00D338A4"/>
    <w:rsid w:val="00D33A24"/>
    <w:rsid w:val="00D347E7"/>
    <w:rsid w:val="00D3487E"/>
    <w:rsid w:val="00D34C9C"/>
    <w:rsid w:val="00D34CDA"/>
    <w:rsid w:val="00D34D79"/>
    <w:rsid w:val="00D36827"/>
    <w:rsid w:val="00D36FBC"/>
    <w:rsid w:val="00D3735F"/>
    <w:rsid w:val="00D37383"/>
    <w:rsid w:val="00D373D6"/>
    <w:rsid w:val="00D37478"/>
    <w:rsid w:val="00D40164"/>
    <w:rsid w:val="00D412F1"/>
    <w:rsid w:val="00D42DB6"/>
    <w:rsid w:val="00D42F95"/>
    <w:rsid w:val="00D43E07"/>
    <w:rsid w:val="00D441E7"/>
    <w:rsid w:val="00D44A9A"/>
    <w:rsid w:val="00D45261"/>
    <w:rsid w:val="00D4553C"/>
    <w:rsid w:val="00D45F68"/>
    <w:rsid w:val="00D46263"/>
    <w:rsid w:val="00D4787C"/>
    <w:rsid w:val="00D520FE"/>
    <w:rsid w:val="00D52F7C"/>
    <w:rsid w:val="00D5310A"/>
    <w:rsid w:val="00D536BF"/>
    <w:rsid w:val="00D536CF"/>
    <w:rsid w:val="00D5388B"/>
    <w:rsid w:val="00D54587"/>
    <w:rsid w:val="00D545E4"/>
    <w:rsid w:val="00D54B5E"/>
    <w:rsid w:val="00D553CC"/>
    <w:rsid w:val="00D558B3"/>
    <w:rsid w:val="00D55FB4"/>
    <w:rsid w:val="00D566C2"/>
    <w:rsid w:val="00D6034B"/>
    <w:rsid w:val="00D61247"/>
    <w:rsid w:val="00D6144C"/>
    <w:rsid w:val="00D624EA"/>
    <w:rsid w:val="00D6336E"/>
    <w:rsid w:val="00D64F2C"/>
    <w:rsid w:val="00D65715"/>
    <w:rsid w:val="00D65AEB"/>
    <w:rsid w:val="00D65C96"/>
    <w:rsid w:val="00D70B00"/>
    <w:rsid w:val="00D7250E"/>
    <w:rsid w:val="00D72AFE"/>
    <w:rsid w:val="00D72B11"/>
    <w:rsid w:val="00D73043"/>
    <w:rsid w:val="00D7411C"/>
    <w:rsid w:val="00D7423A"/>
    <w:rsid w:val="00D74918"/>
    <w:rsid w:val="00D74D7D"/>
    <w:rsid w:val="00D74D9E"/>
    <w:rsid w:val="00D74DA6"/>
    <w:rsid w:val="00D750E4"/>
    <w:rsid w:val="00D75DC1"/>
    <w:rsid w:val="00D76195"/>
    <w:rsid w:val="00D762E6"/>
    <w:rsid w:val="00D764B4"/>
    <w:rsid w:val="00D76F93"/>
    <w:rsid w:val="00D77506"/>
    <w:rsid w:val="00D77938"/>
    <w:rsid w:val="00D801EF"/>
    <w:rsid w:val="00D81573"/>
    <w:rsid w:val="00D81630"/>
    <w:rsid w:val="00D81981"/>
    <w:rsid w:val="00D822F0"/>
    <w:rsid w:val="00D8267C"/>
    <w:rsid w:val="00D837B6"/>
    <w:rsid w:val="00D839F2"/>
    <w:rsid w:val="00D83A36"/>
    <w:rsid w:val="00D83C6C"/>
    <w:rsid w:val="00D84E30"/>
    <w:rsid w:val="00D853CF"/>
    <w:rsid w:val="00D854DE"/>
    <w:rsid w:val="00D85CD5"/>
    <w:rsid w:val="00D865CF"/>
    <w:rsid w:val="00D86ED7"/>
    <w:rsid w:val="00D86F8C"/>
    <w:rsid w:val="00D8735A"/>
    <w:rsid w:val="00D874DB"/>
    <w:rsid w:val="00D875F6"/>
    <w:rsid w:val="00D909F8"/>
    <w:rsid w:val="00D92504"/>
    <w:rsid w:val="00D928AF"/>
    <w:rsid w:val="00D9366C"/>
    <w:rsid w:val="00D96462"/>
    <w:rsid w:val="00D96C96"/>
    <w:rsid w:val="00D96EA1"/>
    <w:rsid w:val="00D96EC1"/>
    <w:rsid w:val="00D9722A"/>
    <w:rsid w:val="00D974BE"/>
    <w:rsid w:val="00D976AD"/>
    <w:rsid w:val="00D97822"/>
    <w:rsid w:val="00D97B30"/>
    <w:rsid w:val="00DA01C9"/>
    <w:rsid w:val="00DA043F"/>
    <w:rsid w:val="00DA06F3"/>
    <w:rsid w:val="00DA094D"/>
    <w:rsid w:val="00DA0E5B"/>
    <w:rsid w:val="00DA16E9"/>
    <w:rsid w:val="00DA1C71"/>
    <w:rsid w:val="00DA1E47"/>
    <w:rsid w:val="00DA24E5"/>
    <w:rsid w:val="00DA3247"/>
    <w:rsid w:val="00DA4FC8"/>
    <w:rsid w:val="00DA54E0"/>
    <w:rsid w:val="00DA5D3C"/>
    <w:rsid w:val="00DA6703"/>
    <w:rsid w:val="00DA678D"/>
    <w:rsid w:val="00DA6802"/>
    <w:rsid w:val="00DA6856"/>
    <w:rsid w:val="00DB074E"/>
    <w:rsid w:val="00DB0D7A"/>
    <w:rsid w:val="00DB140F"/>
    <w:rsid w:val="00DB1AD5"/>
    <w:rsid w:val="00DB2329"/>
    <w:rsid w:val="00DB27AD"/>
    <w:rsid w:val="00DB3485"/>
    <w:rsid w:val="00DB43F5"/>
    <w:rsid w:val="00DB45B6"/>
    <w:rsid w:val="00DB4F3A"/>
    <w:rsid w:val="00DB7410"/>
    <w:rsid w:val="00DC0751"/>
    <w:rsid w:val="00DC0C5C"/>
    <w:rsid w:val="00DC1B4F"/>
    <w:rsid w:val="00DC204B"/>
    <w:rsid w:val="00DC45FA"/>
    <w:rsid w:val="00DC53A5"/>
    <w:rsid w:val="00DC5E78"/>
    <w:rsid w:val="00DC6D57"/>
    <w:rsid w:val="00DD08A1"/>
    <w:rsid w:val="00DD1411"/>
    <w:rsid w:val="00DD157E"/>
    <w:rsid w:val="00DD2864"/>
    <w:rsid w:val="00DD2DB6"/>
    <w:rsid w:val="00DD3930"/>
    <w:rsid w:val="00DD49C3"/>
    <w:rsid w:val="00DD612A"/>
    <w:rsid w:val="00DD6186"/>
    <w:rsid w:val="00DD6D87"/>
    <w:rsid w:val="00DD73BD"/>
    <w:rsid w:val="00DD791B"/>
    <w:rsid w:val="00DD7EAC"/>
    <w:rsid w:val="00DE2A81"/>
    <w:rsid w:val="00DE34AC"/>
    <w:rsid w:val="00DE3EEA"/>
    <w:rsid w:val="00DE462D"/>
    <w:rsid w:val="00DE4FA5"/>
    <w:rsid w:val="00DE5205"/>
    <w:rsid w:val="00DE59E0"/>
    <w:rsid w:val="00DE65EE"/>
    <w:rsid w:val="00DE7F7B"/>
    <w:rsid w:val="00DF0553"/>
    <w:rsid w:val="00DF11BB"/>
    <w:rsid w:val="00DF1E19"/>
    <w:rsid w:val="00DF1E50"/>
    <w:rsid w:val="00DF2AC8"/>
    <w:rsid w:val="00DF3200"/>
    <w:rsid w:val="00DF4647"/>
    <w:rsid w:val="00DF492A"/>
    <w:rsid w:val="00DF5607"/>
    <w:rsid w:val="00DF5DB3"/>
    <w:rsid w:val="00DF680B"/>
    <w:rsid w:val="00DF6CF8"/>
    <w:rsid w:val="00DF735F"/>
    <w:rsid w:val="00DF76EA"/>
    <w:rsid w:val="00E00809"/>
    <w:rsid w:val="00E01CC2"/>
    <w:rsid w:val="00E01F06"/>
    <w:rsid w:val="00E01FEB"/>
    <w:rsid w:val="00E026B4"/>
    <w:rsid w:val="00E0408B"/>
    <w:rsid w:val="00E04E08"/>
    <w:rsid w:val="00E05AAD"/>
    <w:rsid w:val="00E05BD9"/>
    <w:rsid w:val="00E0666D"/>
    <w:rsid w:val="00E06A9D"/>
    <w:rsid w:val="00E06D05"/>
    <w:rsid w:val="00E10B09"/>
    <w:rsid w:val="00E10E6F"/>
    <w:rsid w:val="00E1142F"/>
    <w:rsid w:val="00E12806"/>
    <w:rsid w:val="00E12F5B"/>
    <w:rsid w:val="00E13ABE"/>
    <w:rsid w:val="00E14077"/>
    <w:rsid w:val="00E1458D"/>
    <w:rsid w:val="00E148DA"/>
    <w:rsid w:val="00E1520E"/>
    <w:rsid w:val="00E163C5"/>
    <w:rsid w:val="00E16D66"/>
    <w:rsid w:val="00E2002B"/>
    <w:rsid w:val="00E20A66"/>
    <w:rsid w:val="00E21490"/>
    <w:rsid w:val="00E216F3"/>
    <w:rsid w:val="00E21A49"/>
    <w:rsid w:val="00E21C72"/>
    <w:rsid w:val="00E21CAF"/>
    <w:rsid w:val="00E21F28"/>
    <w:rsid w:val="00E23112"/>
    <w:rsid w:val="00E23EF8"/>
    <w:rsid w:val="00E25E5E"/>
    <w:rsid w:val="00E260A9"/>
    <w:rsid w:val="00E269BE"/>
    <w:rsid w:val="00E26D6B"/>
    <w:rsid w:val="00E279E1"/>
    <w:rsid w:val="00E27E85"/>
    <w:rsid w:val="00E302E2"/>
    <w:rsid w:val="00E3115F"/>
    <w:rsid w:val="00E3170B"/>
    <w:rsid w:val="00E317E1"/>
    <w:rsid w:val="00E3181E"/>
    <w:rsid w:val="00E31CA0"/>
    <w:rsid w:val="00E32445"/>
    <w:rsid w:val="00E332AA"/>
    <w:rsid w:val="00E342F2"/>
    <w:rsid w:val="00E34D2D"/>
    <w:rsid w:val="00E35645"/>
    <w:rsid w:val="00E3574C"/>
    <w:rsid w:val="00E358F8"/>
    <w:rsid w:val="00E35F6F"/>
    <w:rsid w:val="00E369C8"/>
    <w:rsid w:val="00E40656"/>
    <w:rsid w:val="00E41563"/>
    <w:rsid w:val="00E41724"/>
    <w:rsid w:val="00E427BB"/>
    <w:rsid w:val="00E43B44"/>
    <w:rsid w:val="00E449FF"/>
    <w:rsid w:val="00E46389"/>
    <w:rsid w:val="00E466E6"/>
    <w:rsid w:val="00E46B02"/>
    <w:rsid w:val="00E46CC3"/>
    <w:rsid w:val="00E46DB8"/>
    <w:rsid w:val="00E46FCF"/>
    <w:rsid w:val="00E47340"/>
    <w:rsid w:val="00E475C2"/>
    <w:rsid w:val="00E47B24"/>
    <w:rsid w:val="00E504F3"/>
    <w:rsid w:val="00E5089B"/>
    <w:rsid w:val="00E508C5"/>
    <w:rsid w:val="00E50C88"/>
    <w:rsid w:val="00E5140A"/>
    <w:rsid w:val="00E517FB"/>
    <w:rsid w:val="00E51884"/>
    <w:rsid w:val="00E51E16"/>
    <w:rsid w:val="00E53BEA"/>
    <w:rsid w:val="00E546EF"/>
    <w:rsid w:val="00E5496E"/>
    <w:rsid w:val="00E54E20"/>
    <w:rsid w:val="00E5574D"/>
    <w:rsid w:val="00E55F78"/>
    <w:rsid w:val="00E5635F"/>
    <w:rsid w:val="00E56AE8"/>
    <w:rsid w:val="00E56F57"/>
    <w:rsid w:val="00E57BBC"/>
    <w:rsid w:val="00E60611"/>
    <w:rsid w:val="00E60EBC"/>
    <w:rsid w:val="00E6135D"/>
    <w:rsid w:val="00E61968"/>
    <w:rsid w:val="00E6204D"/>
    <w:rsid w:val="00E62399"/>
    <w:rsid w:val="00E628B9"/>
    <w:rsid w:val="00E62BE2"/>
    <w:rsid w:val="00E6379D"/>
    <w:rsid w:val="00E63875"/>
    <w:rsid w:val="00E63DA7"/>
    <w:rsid w:val="00E64566"/>
    <w:rsid w:val="00E64AF9"/>
    <w:rsid w:val="00E64E37"/>
    <w:rsid w:val="00E657C1"/>
    <w:rsid w:val="00E65C7F"/>
    <w:rsid w:val="00E66CDB"/>
    <w:rsid w:val="00E66D37"/>
    <w:rsid w:val="00E66F7D"/>
    <w:rsid w:val="00E6739A"/>
    <w:rsid w:val="00E67AFB"/>
    <w:rsid w:val="00E70F67"/>
    <w:rsid w:val="00E71ACF"/>
    <w:rsid w:val="00E71E9A"/>
    <w:rsid w:val="00E72158"/>
    <w:rsid w:val="00E72764"/>
    <w:rsid w:val="00E72A37"/>
    <w:rsid w:val="00E750F3"/>
    <w:rsid w:val="00E75D76"/>
    <w:rsid w:val="00E76B91"/>
    <w:rsid w:val="00E779B7"/>
    <w:rsid w:val="00E77F2A"/>
    <w:rsid w:val="00E8014B"/>
    <w:rsid w:val="00E81B2B"/>
    <w:rsid w:val="00E82C1E"/>
    <w:rsid w:val="00E82EA5"/>
    <w:rsid w:val="00E8308D"/>
    <w:rsid w:val="00E8313B"/>
    <w:rsid w:val="00E837A1"/>
    <w:rsid w:val="00E8445F"/>
    <w:rsid w:val="00E85B02"/>
    <w:rsid w:val="00E85E08"/>
    <w:rsid w:val="00E864BF"/>
    <w:rsid w:val="00E8719B"/>
    <w:rsid w:val="00E87306"/>
    <w:rsid w:val="00E87A5D"/>
    <w:rsid w:val="00E87DCC"/>
    <w:rsid w:val="00E902DF"/>
    <w:rsid w:val="00E9137B"/>
    <w:rsid w:val="00E918DE"/>
    <w:rsid w:val="00E91A44"/>
    <w:rsid w:val="00E91F6D"/>
    <w:rsid w:val="00E9244C"/>
    <w:rsid w:val="00E926FC"/>
    <w:rsid w:val="00E934E8"/>
    <w:rsid w:val="00E944B7"/>
    <w:rsid w:val="00E95A25"/>
    <w:rsid w:val="00E96485"/>
    <w:rsid w:val="00EA00BB"/>
    <w:rsid w:val="00EA0427"/>
    <w:rsid w:val="00EA070D"/>
    <w:rsid w:val="00EA0809"/>
    <w:rsid w:val="00EA25B3"/>
    <w:rsid w:val="00EA34C2"/>
    <w:rsid w:val="00EA7B87"/>
    <w:rsid w:val="00EB098B"/>
    <w:rsid w:val="00EB0B54"/>
    <w:rsid w:val="00EB1DD5"/>
    <w:rsid w:val="00EB2F23"/>
    <w:rsid w:val="00EB31AE"/>
    <w:rsid w:val="00EB4495"/>
    <w:rsid w:val="00EB55A1"/>
    <w:rsid w:val="00EB57EF"/>
    <w:rsid w:val="00EB582E"/>
    <w:rsid w:val="00EB6A20"/>
    <w:rsid w:val="00EB72AD"/>
    <w:rsid w:val="00EB7C5E"/>
    <w:rsid w:val="00EC1304"/>
    <w:rsid w:val="00EC1B9F"/>
    <w:rsid w:val="00EC2431"/>
    <w:rsid w:val="00EC2958"/>
    <w:rsid w:val="00EC2B0D"/>
    <w:rsid w:val="00EC514A"/>
    <w:rsid w:val="00EC5300"/>
    <w:rsid w:val="00EC63C4"/>
    <w:rsid w:val="00EC6AD5"/>
    <w:rsid w:val="00EC6FE7"/>
    <w:rsid w:val="00ED0B8F"/>
    <w:rsid w:val="00ED1651"/>
    <w:rsid w:val="00ED1868"/>
    <w:rsid w:val="00ED1B88"/>
    <w:rsid w:val="00ED21CF"/>
    <w:rsid w:val="00ED3223"/>
    <w:rsid w:val="00ED3293"/>
    <w:rsid w:val="00ED3339"/>
    <w:rsid w:val="00ED353E"/>
    <w:rsid w:val="00ED38BC"/>
    <w:rsid w:val="00ED39B1"/>
    <w:rsid w:val="00ED39BC"/>
    <w:rsid w:val="00ED4371"/>
    <w:rsid w:val="00ED49DB"/>
    <w:rsid w:val="00ED4EC8"/>
    <w:rsid w:val="00ED4FE6"/>
    <w:rsid w:val="00ED5397"/>
    <w:rsid w:val="00ED5C97"/>
    <w:rsid w:val="00ED5EDE"/>
    <w:rsid w:val="00ED7FB4"/>
    <w:rsid w:val="00EE036B"/>
    <w:rsid w:val="00EE06AB"/>
    <w:rsid w:val="00EE09A5"/>
    <w:rsid w:val="00EE1E83"/>
    <w:rsid w:val="00EE21B3"/>
    <w:rsid w:val="00EE2592"/>
    <w:rsid w:val="00EE336A"/>
    <w:rsid w:val="00EE35B1"/>
    <w:rsid w:val="00EE5130"/>
    <w:rsid w:val="00EE523E"/>
    <w:rsid w:val="00EE5B1D"/>
    <w:rsid w:val="00EE5BEC"/>
    <w:rsid w:val="00EE6777"/>
    <w:rsid w:val="00EE6911"/>
    <w:rsid w:val="00EE6C8C"/>
    <w:rsid w:val="00EE79BB"/>
    <w:rsid w:val="00EE7A1B"/>
    <w:rsid w:val="00EE7A6E"/>
    <w:rsid w:val="00EF0B94"/>
    <w:rsid w:val="00EF128A"/>
    <w:rsid w:val="00EF1624"/>
    <w:rsid w:val="00EF181F"/>
    <w:rsid w:val="00EF2790"/>
    <w:rsid w:val="00EF2841"/>
    <w:rsid w:val="00EF354B"/>
    <w:rsid w:val="00EF466C"/>
    <w:rsid w:val="00EF4A44"/>
    <w:rsid w:val="00EF5F56"/>
    <w:rsid w:val="00EF6018"/>
    <w:rsid w:val="00EF6A82"/>
    <w:rsid w:val="00EF7958"/>
    <w:rsid w:val="00EF7E9D"/>
    <w:rsid w:val="00F0028B"/>
    <w:rsid w:val="00F00471"/>
    <w:rsid w:val="00F01A4D"/>
    <w:rsid w:val="00F02212"/>
    <w:rsid w:val="00F03B28"/>
    <w:rsid w:val="00F044CA"/>
    <w:rsid w:val="00F0488A"/>
    <w:rsid w:val="00F05321"/>
    <w:rsid w:val="00F05503"/>
    <w:rsid w:val="00F05A82"/>
    <w:rsid w:val="00F06523"/>
    <w:rsid w:val="00F072DC"/>
    <w:rsid w:val="00F07579"/>
    <w:rsid w:val="00F075B2"/>
    <w:rsid w:val="00F10046"/>
    <w:rsid w:val="00F107EC"/>
    <w:rsid w:val="00F11FBF"/>
    <w:rsid w:val="00F12D55"/>
    <w:rsid w:val="00F12D89"/>
    <w:rsid w:val="00F1325E"/>
    <w:rsid w:val="00F13622"/>
    <w:rsid w:val="00F13C23"/>
    <w:rsid w:val="00F140C5"/>
    <w:rsid w:val="00F14FAB"/>
    <w:rsid w:val="00F155C1"/>
    <w:rsid w:val="00F158BB"/>
    <w:rsid w:val="00F168AA"/>
    <w:rsid w:val="00F16D67"/>
    <w:rsid w:val="00F16F53"/>
    <w:rsid w:val="00F177F1"/>
    <w:rsid w:val="00F17992"/>
    <w:rsid w:val="00F201F1"/>
    <w:rsid w:val="00F20FD7"/>
    <w:rsid w:val="00F2168D"/>
    <w:rsid w:val="00F22709"/>
    <w:rsid w:val="00F23482"/>
    <w:rsid w:val="00F2358F"/>
    <w:rsid w:val="00F238B2"/>
    <w:rsid w:val="00F23A04"/>
    <w:rsid w:val="00F23CD7"/>
    <w:rsid w:val="00F23F95"/>
    <w:rsid w:val="00F252DA"/>
    <w:rsid w:val="00F255A1"/>
    <w:rsid w:val="00F256A9"/>
    <w:rsid w:val="00F267F4"/>
    <w:rsid w:val="00F26FCD"/>
    <w:rsid w:val="00F305E5"/>
    <w:rsid w:val="00F30922"/>
    <w:rsid w:val="00F31CA3"/>
    <w:rsid w:val="00F32A58"/>
    <w:rsid w:val="00F32F7A"/>
    <w:rsid w:val="00F34DC6"/>
    <w:rsid w:val="00F34EFB"/>
    <w:rsid w:val="00F355D4"/>
    <w:rsid w:val="00F35E46"/>
    <w:rsid w:val="00F364C5"/>
    <w:rsid w:val="00F36849"/>
    <w:rsid w:val="00F36E38"/>
    <w:rsid w:val="00F37176"/>
    <w:rsid w:val="00F37259"/>
    <w:rsid w:val="00F4046E"/>
    <w:rsid w:val="00F40B4A"/>
    <w:rsid w:val="00F40D44"/>
    <w:rsid w:val="00F4140C"/>
    <w:rsid w:val="00F42101"/>
    <w:rsid w:val="00F42E42"/>
    <w:rsid w:val="00F43110"/>
    <w:rsid w:val="00F43721"/>
    <w:rsid w:val="00F43789"/>
    <w:rsid w:val="00F445AD"/>
    <w:rsid w:val="00F448D9"/>
    <w:rsid w:val="00F44F11"/>
    <w:rsid w:val="00F460B1"/>
    <w:rsid w:val="00F46AE2"/>
    <w:rsid w:val="00F47005"/>
    <w:rsid w:val="00F472FC"/>
    <w:rsid w:val="00F50599"/>
    <w:rsid w:val="00F50B52"/>
    <w:rsid w:val="00F50C0F"/>
    <w:rsid w:val="00F51770"/>
    <w:rsid w:val="00F51B45"/>
    <w:rsid w:val="00F51B68"/>
    <w:rsid w:val="00F5213E"/>
    <w:rsid w:val="00F53A81"/>
    <w:rsid w:val="00F53FF8"/>
    <w:rsid w:val="00F542FE"/>
    <w:rsid w:val="00F54626"/>
    <w:rsid w:val="00F55B4C"/>
    <w:rsid w:val="00F55C15"/>
    <w:rsid w:val="00F55D6A"/>
    <w:rsid w:val="00F5679A"/>
    <w:rsid w:val="00F56CF1"/>
    <w:rsid w:val="00F57A02"/>
    <w:rsid w:val="00F57F70"/>
    <w:rsid w:val="00F60550"/>
    <w:rsid w:val="00F60E29"/>
    <w:rsid w:val="00F61742"/>
    <w:rsid w:val="00F6174C"/>
    <w:rsid w:val="00F61B82"/>
    <w:rsid w:val="00F620C8"/>
    <w:rsid w:val="00F62386"/>
    <w:rsid w:val="00F62E58"/>
    <w:rsid w:val="00F64505"/>
    <w:rsid w:val="00F65262"/>
    <w:rsid w:val="00F65A2A"/>
    <w:rsid w:val="00F65D5A"/>
    <w:rsid w:val="00F66374"/>
    <w:rsid w:val="00F6663D"/>
    <w:rsid w:val="00F67DE0"/>
    <w:rsid w:val="00F70621"/>
    <w:rsid w:val="00F707A8"/>
    <w:rsid w:val="00F70B51"/>
    <w:rsid w:val="00F70E45"/>
    <w:rsid w:val="00F717B1"/>
    <w:rsid w:val="00F717F0"/>
    <w:rsid w:val="00F71C06"/>
    <w:rsid w:val="00F7298A"/>
    <w:rsid w:val="00F73AA5"/>
    <w:rsid w:val="00F73CEA"/>
    <w:rsid w:val="00F73F8B"/>
    <w:rsid w:val="00F7438A"/>
    <w:rsid w:val="00F743E0"/>
    <w:rsid w:val="00F744C7"/>
    <w:rsid w:val="00F74E0D"/>
    <w:rsid w:val="00F765C5"/>
    <w:rsid w:val="00F76627"/>
    <w:rsid w:val="00F7683F"/>
    <w:rsid w:val="00F76D44"/>
    <w:rsid w:val="00F804BE"/>
    <w:rsid w:val="00F8056A"/>
    <w:rsid w:val="00F80CA5"/>
    <w:rsid w:val="00F81847"/>
    <w:rsid w:val="00F820E7"/>
    <w:rsid w:val="00F824EF"/>
    <w:rsid w:val="00F82519"/>
    <w:rsid w:val="00F82A01"/>
    <w:rsid w:val="00F83473"/>
    <w:rsid w:val="00F842BC"/>
    <w:rsid w:val="00F8469F"/>
    <w:rsid w:val="00F849C9"/>
    <w:rsid w:val="00F85037"/>
    <w:rsid w:val="00F862B6"/>
    <w:rsid w:val="00F8643F"/>
    <w:rsid w:val="00F86DB9"/>
    <w:rsid w:val="00F86DFF"/>
    <w:rsid w:val="00F87036"/>
    <w:rsid w:val="00F87464"/>
    <w:rsid w:val="00F87942"/>
    <w:rsid w:val="00F87963"/>
    <w:rsid w:val="00F900E6"/>
    <w:rsid w:val="00F902B6"/>
    <w:rsid w:val="00F90D7D"/>
    <w:rsid w:val="00F90E9B"/>
    <w:rsid w:val="00F91B5E"/>
    <w:rsid w:val="00F91CF2"/>
    <w:rsid w:val="00F942C0"/>
    <w:rsid w:val="00F94B61"/>
    <w:rsid w:val="00F9509F"/>
    <w:rsid w:val="00F9543F"/>
    <w:rsid w:val="00F958C3"/>
    <w:rsid w:val="00F95BA3"/>
    <w:rsid w:val="00F95F12"/>
    <w:rsid w:val="00F962B9"/>
    <w:rsid w:val="00F96408"/>
    <w:rsid w:val="00F96B7A"/>
    <w:rsid w:val="00F96BD6"/>
    <w:rsid w:val="00F96FE2"/>
    <w:rsid w:val="00FA0613"/>
    <w:rsid w:val="00FA06FC"/>
    <w:rsid w:val="00FA1B63"/>
    <w:rsid w:val="00FA3044"/>
    <w:rsid w:val="00FA3AA9"/>
    <w:rsid w:val="00FA4B28"/>
    <w:rsid w:val="00FA4DBC"/>
    <w:rsid w:val="00FA4DF8"/>
    <w:rsid w:val="00FA5258"/>
    <w:rsid w:val="00FA660C"/>
    <w:rsid w:val="00FA744C"/>
    <w:rsid w:val="00FA7A43"/>
    <w:rsid w:val="00FB0D7D"/>
    <w:rsid w:val="00FB4F50"/>
    <w:rsid w:val="00FB5514"/>
    <w:rsid w:val="00FB67C4"/>
    <w:rsid w:val="00FB694A"/>
    <w:rsid w:val="00FB7303"/>
    <w:rsid w:val="00FB7943"/>
    <w:rsid w:val="00FB7AE8"/>
    <w:rsid w:val="00FB7CD8"/>
    <w:rsid w:val="00FC113A"/>
    <w:rsid w:val="00FC19EB"/>
    <w:rsid w:val="00FC1A74"/>
    <w:rsid w:val="00FC2034"/>
    <w:rsid w:val="00FC248A"/>
    <w:rsid w:val="00FC2D9E"/>
    <w:rsid w:val="00FC334A"/>
    <w:rsid w:val="00FC38C3"/>
    <w:rsid w:val="00FC3BB3"/>
    <w:rsid w:val="00FC4AC6"/>
    <w:rsid w:val="00FC4DB2"/>
    <w:rsid w:val="00FC5440"/>
    <w:rsid w:val="00FC5D4B"/>
    <w:rsid w:val="00FC5DDE"/>
    <w:rsid w:val="00FD02C1"/>
    <w:rsid w:val="00FD0767"/>
    <w:rsid w:val="00FD090F"/>
    <w:rsid w:val="00FD0D87"/>
    <w:rsid w:val="00FD1033"/>
    <w:rsid w:val="00FD301D"/>
    <w:rsid w:val="00FD331B"/>
    <w:rsid w:val="00FD371E"/>
    <w:rsid w:val="00FD3FD8"/>
    <w:rsid w:val="00FD5163"/>
    <w:rsid w:val="00FD5436"/>
    <w:rsid w:val="00FD5C86"/>
    <w:rsid w:val="00FD67DB"/>
    <w:rsid w:val="00FD6ACA"/>
    <w:rsid w:val="00FD6B5A"/>
    <w:rsid w:val="00FD740D"/>
    <w:rsid w:val="00FD7B9B"/>
    <w:rsid w:val="00FD7FD9"/>
    <w:rsid w:val="00FE05F4"/>
    <w:rsid w:val="00FE11BD"/>
    <w:rsid w:val="00FE153C"/>
    <w:rsid w:val="00FE2905"/>
    <w:rsid w:val="00FE29B0"/>
    <w:rsid w:val="00FE2AB7"/>
    <w:rsid w:val="00FE3123"/>
    <w:rsid w:val="00FE6333"/>
    <w:rsid w:val="00FE6676"/>
    <w:rsid w:val="00FE7DDC"/>
    <w:rsid w:val="00FF14C4"/>
    <w:rsid w:val="00FF1FB8"/>
    <w:rsid w:val="00FF31CE"/>
    <w:rsid w:val="00FF416D"/>
    <w:rsid w:val="00FF4E79"/>
    <w:rsid w:val="00FF677C"/>
    <w:rsid w:val="00FF7D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regrouptable v:ext="edit">
        <o:entry new="1" old="0"/>
        <o:entry new="2" old="0"/>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lassic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C9"/>
  </w:style>
  <w:style w:type="paragraph" w:styleId="Ttulo1">
    <w:name w:val="heading 1"/>
    <w:basedOn w:val="PargrafodaLista"/>
    <w:next w:val="Normal"/>
    <w:link w:val="Ttulo1Char"/>
    <w:qFormat/>
    <w:rsid w:val="00F849C9"/>
    <w:pPr>
      <w:numPr>
        <w:numId w:val="13"/>
      </w:numPr>
      <w:spacing w:line="360" w:lineRule="auto"/>
      <w:jc w:val="both"/>
      <w:outlineLvl w:val="0"/>
    </w:pPr>
    <w:rPr>
      <w:rFonts w:ascii="Times New Roman" w:hAnsi="Times New Roman" w:cs="Times New Roman"/>
      <w:b/>
      <w:sz w:val="24"/>
      <w:szCs w:val="24"/>
    </w:rPr>
  </w:style>
  <w:style w:type="paragraph" w:styleId="Ttulo2">
    <w:name w:val="heading 2"/>
    <w:basedOn w:val="PargrafodaLista"/>
    <w:next w:val="Normal"/>
    <w:link w:val="Ttulo2Char"/>
    <w:unhideWhenUsed/>
    <w:qFormat/>
    <w:rsid w:val="00F849C9"/>
    <w:pPr>
      <w:numPr>
        <w:ilvl w:val="1"/>
        <w:numId w:val="1"/>
      </w:numPr>
      <w:spacing w:line="360" w:lineRule="auto"/>
      <w:jc w:val="both"/>
      <w:outlineLvl w:val="1"/>
    </w:pPr>
    <w:rPr>
      <w:rFonts w:ascii="Times New Roman" w:hAnsi="Times New Roman" w:cs="Times New Roman"/>
      <w:b/>
      <w:sz w:val="24"/>
      <w:szCs w:val="24"/>
    </w:rPr>
  </w:style>
  <w:style w:type="paragraph" w:styleId="Ttulo3">
    <w:name w:val="heading 3"/>
    <w:basedOn w:val="Ttulo2"/>
    <w:link w:val="Ttulo3Char"/>
    <w:qFormat/>
    <w:rsid w:val="00F849C9"/>
    <w:pPr>
      <w:numPr>
        <w:ilvl w:val="0"/>
        <w:numId w:val="0"/>
      </w:numPr>
      <w:outlineLvl w:val="2"/>
    </w:pPr>
  </w:style>
  <w:style w:type="paragraph" w:styleId="Ttulo4">
    <w:name w:val="heading 4"/>
    <w:basedOn w:val="Ttulo3"/>
    <w:next w:val="Normal"/>
    <w:link w:val="Ttulo4Char"/>
    <w:unhideWhenUsed/>
    <w:qFormat/>
    <w:rsid w:val="00F849C9"/>
    <w:pPr>
      <w:numPr>
        <w:numId w:val="1"/>
      </w:num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ame">
    <w:name w:val="name"/>
    <w:basedOn w:val="Fontepargpadro"/>
    <w:rsid w:val="0061269F"/>
  </w:style>
  <w:style w:type="character" w:customStyle="1" w:styleId="forenames">
    <w:name w:val="forenames"/>
    <w:basedOn w:val="Fontepargpadro"/>
    <w:rsid w:val="0061269F"/>
  </w:style>
  <w:style w:type="character" w:customStyle="1" w:styleId="surname">
    <w:name w:val="surname"/>
    <w:basedOn w:val="Fontepargpadro"/>
    <w:rsid w:val="0061269F"/>
  </w:style>
  <w:style w:type="character" w:styleId="Forte">
    <w:name w:val="Strong"/>
    <w:basedOn w:val="Fontepargpadro"/>
    <w:qFormat/>
    <w:rsid w:val="00F849C9"/>
    <w:rPr>
      <w:b/>
      <w:bCs/>
    </w:rPr>
  </w:style>
  <w:style w:type="character" w:styleId="Refdecomentrio">
    <w:name w:val="annotation reference"/>
    <w:basedOn w:val="Fontepargpadro"/>
    <w:semiHidden/>
    <w:unhideWhenUsed/>
    <w:rsid w:val="000448FD"/>
    <w:rPr>
      <w:sz w:val="16"/>
      <w:szCs w:val="16"/>
    </w:rPr>
  </w:style>
  <w:style w:type="paragraph" w:styleId="Textodecomentrio">
    <w:name w:val="annotation text"/>
    <w:basedOn w:val="Normal"/>
    <w:link w:val="TextodecomentrioChar"/>
    <w:semiHidden/>
    <w:unhideWhenUsed/>
    <w:rsid w:val="000448FD"/>
    <w:pPr>
      <w:spacing w:line="240" w:lineRule="auto"/>
    </w:pPr>
    <w:rPr>
      <w:sz w:val="20"/>
      <w:szCs w:val="20"/>
    </w:rPr>
  </w:style>
  <w:style w:type="character" w:customStyle="1" w:styleId="TextodecomentrioChar">
    <w:name w:val="Texto de comentário Char"/>
    <w:basedOn w:val="Fontepargpadro"/>
    <w:link w:val="Textodecomentrio"/>
    <w:semiHidden/>
    <w:rsid w:val="000448FD"/>
    <w:rPr>
      <w:sz w:val="20"/>
      <w:szCs w:val="20"/>
    </w:rPr>
  </w:style>
  <w:style w:type="paragraph" w:styleId="Assuntodocomentrio">
    <w:name w:val="annotation subject"/>
    <w:basedOn w:val="Textodecomentrio"/>
    <w:next w:val="Textodecomentrio"/>
    <w:link w:val="AssuntodocomentrioChar"/>
    <w:semiHidden/>
    <w:unhideWhenUsed/>
    <w:rsid w:val="000448FD"/>
    <w:rPr>
      <w:b/>
      <w:bCs/>
    </w:rPr>
  </w:style>
  <w:style w:type="character" w:customStyle="1" w:styleId="AssuntodocomentrioChar">
    <w:name w:val="Assunto do comentário Char"/>
    <w:basedOn w:val="TextodecomentrioChar"/>
    <w:link w:val="Assuntodocomentrio"/>
    <w:semiHidden/>
    <w:rsid w:val="000448FD"/>
    <w:rPr>
      <w:b/>
      <w:bCs/>
    </w:rPr>
  </w:style>
  <w:style w:type="paragraph" w:styleId="Textodebalo">
    <w:name w:val="Balloon Text"/>
    <w:basedOn w:val="Normal"/>
    <w:link w:val="TextodebaloChar"/>
    <w:semiHidden/>
    <w:unhideWhenUsed/>
    <w:rsid w:val="000448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0448FD"/>
    <w:rPr>
      <w:rFonts w:ascii="Tahoma" w:hAnsi="Tahoma" w:cs="Tahoma"/>
      <w:sz w:val="16"/>
      <w:szCs w:val="16"/>
    </w:rPr>
  </w:style>
  <w:style w:type="paragraph" w:styleId="PargrafodaLista">
    <w:name w:val="List Paragraph"/>
    <w:basedOn w:val="Normal"/>
    <w:uiPriority w:val="34"/>
    <w:qFormat/>
    <w:rsid w:val="00F849C9"/>
    <w:pPr>
      <w:ind w:left="720"/>
      <w:contextualSpacing/>
    </w:pPr>
  </w:style>
  <w:style w:type="paragraph" w:customStyle="1" w:styleId="refbibliog">
    <w:name w:val="refbibliog"/>
    <w:basedOn w:val="Normal"/>
    <w:rsid w:val="006F46CA"/>
    <w:pPr>
      <w:tabs>
        <w:tab w:val="left" w:pos="1276"/>
      </w:tabs>
      <w:spacing w:after="240" w:line="240" w:lineRule="auto"/>
      <w:jc w:val="both"/>
    </w:pPr>
    <w:rPr>
      <w:rFonts w:ascii="Times New Roman" w:eastAsia="Times New Roman" w:hAnsi="Times New Roman" w:cs="Times New Roman"/>
      <w:szCs w:val="20"/>
    </w:rPr>
  </w:style>
  <w:style w:type="paragraph" w:styleId="Recuodecorpodetexto">
    <w:name w:val="Body Text Indent"/>
    <w:basedOn w:val="Normal"/>
    <w:link w:val="RecuodecorpodetextoChar"/>
    <w:semiHidden/>
    <w:unhideWhenUsed/>
    <w:rsid w:val="006F46CA"/>
    <w:pPr>
      <w:spacing w:after="120"/>
      <w:ind w:left="283"/>
    </w:pPr>
  </w:style>
  <w:style w:type="character" w:customStyle="1" w:styleId="RecuodecorpodetextoChar">
    <w:name w:val="Recuo de corpo de texto Char"/>
    <w:basedOn w:val="Fontepargpadro"/>
    <w:link w:val="Recuodecorpodetexto"/>
    <w:semiHidden/>
    <w:rsid w:val="006F46CA"/>
  </w:style>
  <w:style w:type="paragraph" w:styleId="NormalWeb">
    <w:name w:val="Normal (Web)"/>
    <w:basedOn w:val="Normal"/>
    <w:rsid w:val="006F46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3Char">
    <w:name w:val="Título 3 Char"/>
    <w:basedOn w:val="Fontepargpadro"/>
    <w:link w:val="Ttulo3"/>
    <w:rsid w:val="00F849C9"/>
    <w:rPr>
      <w:rFonts w:ascii="Times New Roman" w:hAnsi="Times New Roman" w:cs="Times New Roman"/>
      <w:b/>
      <w:sz w:val="24"/>
      <w:szCs w:val="24"/>
    </w:rPr>
  </w:style>
  <w:style w:type="character" w:customStyle="1" w:styleId="a">
    <w:name w:val="a"/>
    <w:basedOn w:val="Fontepargpadro"/>
    <w:rsid w:val="007A4117"/>
  </w:style>
  <w:style w:type="paragraph" w:styleId="Textodenotaderodap">
    <w:name w:val="footnote text"/>
    <w:basedOn w:val="Normal"/>
    <w:link w:val="TextodenotaderodapChar"/>
    <w:unhideWhenUsed/>
    <w:rsid w:val="006F0FD9"/>
    <w:pPr>
      <w:spacing w:after="0" w:line="240" w:lineRule="auto"/>
    </w:pPr>
    <w:rPr>
      <w:sz w:val="20"/>
      <w:szCs w:val="20"/>
    </w:rPr>
  </w:style>
  <w:style w:type="character" w:customStyle="1" w:styleId="TextodenotaderodapChar">
    <w:name w:val="Texto de nota de rodapé Char"/>
    <w:basedOn w:val="Fontepargpadro"/>
    <w:link w:val="Textodenotaderodap"/>
    <w:rsid w:val="006F0FD9"/>
    <w:rPr>
      <w:sz w:val="20"/>
      <w:szCs w:val="20"/>
    </w:rPr>
  </w:style>
  <w:style w:type="character" w:styleId="Refdenotaderodap">
    <w:name w:val="footnote reference"/>
    <w:basedOn w:val="Fontepargpadro"/>
    <w:semiHidden/>
    <w:unhideWhenUsed/>
    <w:rsid w:val="006F0FD9"/>
    <w:rPr>
      <w:vertAlign w:val="superscript"/>
    </w:rPr>
  </w:style>
  <w:style w:type="paragraph" w:styleId="Corpodetexto">
    <w:name w:val="Body Text"/>
    <w:basedOn w:val="Normal"/>
    <w:link w:val="CorpodetextoChar"/>
    <w:unhideWhenUsed/>
    <w:rsid w:val="00B61A04"/>
    <w:pPr>
      <w:spacing w:after="120"/>
    </w:pPr>
  </w:style>
  <w:style w:type="character" w:customStyle="1" w:styleId="CorpodetextoChar">
    <w:name w:val="Corpo de texto Char"/>
    <w:basedOn w:val="Fontepargpadro"/>
    <w:link w:val="Corpodetexto"/>
    <w:rsid w:val="00B61A04"/>
  </w:style>
  <w:style w:type="character" w:styleId="Hyperlink">
    <w:name w:val="Hyperlink"/>
    <w:basedOn w:val="Fontepargpadro"/>
    <w:uiPriority w:val="99"/>
    <w:unhideWhenUsed/>
    <w:rsid w:val="000F34ED"/>
    <w:rPr>
      <w:color w:val="0000FF" w:themeColor="hyperlink"/>
      <w:u w:val="single"/>
    </w:rPr>
  </w:style>
  <w:style w:type="numbering" w:customStyle="1" w:styleId="Estilo1">
    <w:name w:val="Estilo1"/>
    <w:rsid w:val="00745481"/>
    <w:pPr>
      <w:numPr>
        <w:numId w:val="2"/>
      </w:numPr>
    </w:pPr>
  </w:style>
  <w:style w:type="numbering" w:customStyle="1" w:styleId="Estilo2">
    <w:name w:val="Estilo2"/>
    <w:rsid w:val="00745481"/>
    <w:pPr>
      <w:numPr>
        <w:numId w:val="3"/>
      </w:numPr>
    </w:pPr>
  </w:style>
  <w:style w:type="character" w:styleId="TextodoEspaoReservado">
    <w:name w:val="Placeholder Text"/>
    <w:basedOn w:val="Fontepargpadro"/>
    <w:uiPriority w:val="99"/>
    <w:semiHidden/>
    <w:rsid w:val="00745481"/>
    <w:rPr>
      <w:color w:val="808080"/>
    </w:rPr>
  </w:style>
  <w:style w:type="character" w:customStyle="1" w:styleId="searchword">
    <w:name w:val="searchword"/>
    <w:basedOn w:val="Fontepargpadro"/>
    <w:rsid w:val="00745481"/>
  </w:style>
  <w:style w:type="table" w:customStyle="1" w:styleId="Estilo3">
    <w:name w:val="Estilo3"/>
    <w:basedOn w:val="Tabelacontempornea"/>
    <w:qFormat/>
    <w:rsid w:val="00745481"/>
    <w:pPr>
      <w:spacing w:after="0" w:line="240" w:lineRule="auto"/>
    </w:pPr>
    <w:rPr>
      <w:rFonts w:ascii="Times New Roman" w:hAnsi="Times New Roman"/>
      <w:sz w:val="20"/>
      <w:szCs w:val="20"/>
      <w:lang w:val="en-CA"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stilo4">
    <w:name w:val="Estilo4"/>
    <w:basedOn w:val="Tabelacontempornea"/>
    <w:qFormat/>
    <w:rsid w:val="00745481"/>
    <w:pPr>
      <w:spacing w:after="0" w:line="240" w:lineRule="auto"/>
    </w:pPr>
    <w:rPr>
      <w:rFonts w:ascii="Times New Roman" w:hAnsi="Times New Roman"/>
      <w:sz w:val="20"/>
      <w:szCs w:val="20"/>
      <w:lang w:val="en-CA"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ntempornea">
    <w:name w:val="Table Contemporary"/>
    <w:basedOn w:val="Tabelanormal"/>
    <w:semiHidden/>
    <w:unhideWhenUsed/>
    <w:rsid w:val="007454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grade">
    <w:name w:val="Table Grid"/>
    <w:basedOn w:val="Tabelanormal"/>
    <w:rsid w:val="00745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nhideWhenUsed/>
    <w:rsid w:val="00ED3223"/>
    <w:pPr>
      <w:tabs>
        <w:tab w:val="center" w:pos="4252"/>
        <w:tab w:val="right" w:pos="8504"/>
      </w:tabs>
      <w:spacing w:after="0" w:line="240" w:lineRule="auto"/>
    </w:pPr>
  </w:style>
  <w:style w:type="character" w:customStyle="1" w:styleId="CabealhoChar">
    <w:name w:val="Cabeçalho Char"/>
    <w:basedOn w:val="Fontepargpadro"/>
    <w:link w:val="Cabealho"/>
    <w:rsid w:val="00ED3223"/>
  </w:style>
  <w:style w:type="paragraph" w:styleId="Rodap">
    <w:name w:val="footer"/>
    <w:basedOn w:val="Normal"/>
    <w:link w:val="RodapChar"/>
    <w:unhideWhenUsed/>
    <w:rsid w:val="00ED3223"/>
    <w:pPr>
      <w:tabs>
        <w:tab w:val="center" w:pos="4252"/>
        <w:tab w:val="right" w:pos="8504"/>
      </w:tabs>
      <w:spacing w:after="0" w:line="240" w:lineRule="auto"/>
    </w:pPr>
  </w:style>
  <w:style w:type="character" w:customStyle="1" w:styleId="RodapChar">
    <w:name w:val="Rodapé Char"/>
    <w:basedOn w:val="Fontepargpadro"/>
    <w:link w:val="Rodap"/>
    <w:rsid w:val="00ED3223"/>
  </w:style>
  <w:style w:type="character" w:customStyle="1" w:styleId="Ttulo1Char">
    <w:name w:val="Título 1 Char"/>
    <w:basedOn w:val="Fontepargpadro"/>
    <w:link w:val="Ttulo1"/>
    <w:rsid w:val="00F849C9"/>
    <w:rPr>
      <w:rFonts w:ascii="Times New Roman" w:hAnsi="Times New Roman" w:cs="Times New Roman"/>
      <w:b/>
      <w:sz w:val="24"/>
      <w:szCs w:val="24"/>
    </w:rPr>
  </w:style>
  <w:style w:type="paragraph" w:styleId="CabealhodoSumrio">
    <w:name w:val="TOC Heading"/>
    <w:basedOn w:val="Ttulo1"/>
    <w:next w:val="Normal"/>
    <w:uiPriority w:val="39"/>
    <w:semiHidden/>
    <w:unhideWhenUsed/>
    <w:qFormat/>
    <w:rsid w:val="00F849C9"/>
    <w:pPr>
      <w:numPr>
        <w:numId w:val="0"/>
      </w:numPr>
      <w:outlineLvl w:val="9"/>
    </w:pPr>
  </w:style>
  <w:style w:type="paragraph" w:styleId="Sumrio1">
    <w:name w:val="toc 1"/>
    <w:basedOn w:val="Normal"/>
    <w:next w:val="Normal"/>
    <w:autoRedefine/>
    <w:uiPriority w:val="39"/>
    <w:unhideWhenUsed/>
    <w:qFormat/>
    <w:rsid w:val="00F849C9"/>
    <w:pPr>
      <w:tabs>
        <w:tab w:val="left" w:pos="660"/>
        <w:tab w:val="right" w:leader="dot" w:pos="9061"/>
      </w:tabs>
      <w:spacing w:after="100"/>
    </w:pPr>
    <w:rPr>
      <w:rFonts w:ascii="Times New Roman" w:hAnsi="Times New Roman" w:cs="Times New Roman"/>
      <w:noProof/>
    </w:rPr>
  </w:style>
  <w:style w:type="paragraph" w:styleId="Sumrio3">
    <w:name w:val="toc 3"/>
    <w:basedOn w:val="Normal"/>
    <w:next w:val="Normal"/>
    <w:autoRedefine/>
    <w:uiPriority w:val="39"/>
    <w:unhideWhenUsed/>
    <w:qFormat/>
    <w:rsid w:val="00F849C9"/>
    <w:pPr>
      <w:tabs>
        <w:tab w:val="left" w:pos="709"/>
        <w:tab w:val="right" w:leader="dot" w:pos="9061"/>
      </w:tabs>
      <w:spacing w:after="100"/>
      <w:ind w:left="709" w:hanging="709"/>
    </w:pPr>
  </w:style>
  <w:style w:type="paragraph" w:styleId="Sumrio2">
    <w:name w:val="toc 2"/>
    <w:basedOn w:val="Normal"/>
    <w:next w:val="Normal"/>
    <w:autoRedefine/>
    <w:uiPriority w:val="39"/>
    <w:unhideWhenUsed/>
    <w:qFormat/>
    <w:rsid w:val="002141E8"/>
    <w:pPr>
      <w:tabs>
        <w:tab w:val="left" w:pos="660"/>
        <w:tab w:val="left" w:pos="880"/>
        <w:tab w:val="right" w:leader="dot" w:pos="9061"/>
      </w:tabs>
      <w:spacing w:after="100"/>
      <w:ind w:left="709" w:hanging="709"/>
    </w:pPr>
    <w:rPr>
      <w:rFonts w:ascii="Times New Roman" w:eastAsiaTheme="minorEastAsia" w:hAnsi="Times New Roman" w:cs="Times New Roman"/>
      <w:noProof/>
      <w:sz w:val="24"/>
      <w:szCs w:val="24"/>
    </w:rPr>
  </w:style>
  <w:style w:type="paragraph" w:styleId="Subttulo">
    <w:name w:val="Subtitle"/>
    <w:basedOn w:val="PargrafodaLista"/>
    <w:next w:val="Normal"/>
    <w:link w:val="SubttuloChar"/>
    <w:qFormat/>
    <w:rsid w:val="00F849C9"/>
    <w:pPr>
      <w:spacing w:line="360" w:lineRule="auto"/>
      <w:ind w:left="426" w:hanging="426"/>
      <w:jc w:val="both"/>
    </w:pPr>
    <w:rPr>
      <w:rFonts w:ascii="Times New Roman" w:hAnsi="Times New Roman" w:cs="Times New Roman"/>
      <w:b/>
      <w:sz w:val="24"/>
      <w:szCs w:val="24"/>
    </w:rPr>
  </w:style>
  <w:style w:type="character" w:customStyle="1" w:styleId="SubttuloChar">
    <w:name w:val="Subtítulo Char"/>
    <w:basedOn w:val="Fontepargpadro"/>
    <w:link w:val="Subttulo"/>
    <w:rsid w:val="00F849C9"/>
    <w:rPr>
      <w:rFonts w:ascii="Times New Roman" w:hAnsi="Times New Roman" w:cs="Times New Roman"/>
      <w:b/>
      <w:sz w:val="24"/>
      <w:szCs w:val="24"/>
    </w:rPr>
  </w:style>
  <w:style w:type="character" w:customStyle="1" w:styleId="Ttulo2Char">
    <w:name w:val="Título 2 Char"/>
    <w:basedOn w:val="Fontepargpadro"/>
    <w:link w:val="Ttulo2"/>
    <w:rsid w:val="00F849C9"/>
    <w:rPr>
      <w:rFonts w:ascii="Times New Roman" w:hAnsi="Times New Roman" w:cs="Times New Roman"/>
      <w:b/>
      <w:sz w:val="24"/>
      <w:szCs w:val="24"/>
    </w:rPr>
  </w:style>
  <w:style w:type="table" w:styleId="Tabelaclssica1">
    <w:name w:val="Table Classic 1"/>
    <w:basedOn w:val="Tabelanormal"/>
    <w:rsid w:val="00864468"/>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4Char">
    <w:name w:val="Título 4 Char"/>
    <w:basedOn w:val="Fontepargpadro"/>
    <w:link w:val="Ttulo4"/>
    <w:rsid w:val="00F849C9"/>
    <w:rPr>
      <w:rFonts w:ascii="Times New Roman" w:hAnsi="Times New Roman" w:cs="Times New Roman"/>
      <w:b/>
      <w:sz w:val="24"/>
      <w:szCs w:val="24"/>
    </w:rPr>
  </w:style>
  <w:style w:type="paragraph" w:customStyle="1" w:styleId="Default">
    <w:name w:val="Default"/>
    <w:rsid w:val="00EC295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iperlinkVisitado">
    <w:name w:val="FollowedHyperlink"/>
    <w:basedOn w:val="Fontepargpadro"/>
    <w:semiHidden/>
    <w:unhideWhenUsed/>
    <w:rsid w:val="00831ED1"/>
    <w:rPr>
      <w:color w:val="800080"/>
      <w:u w:val="single"/>
    </w:rPr>
  </w:style>
  <w:style w:type="paragraph" w:customStyle="1" w:styleId="xl64">
    <w:name w:val="xl64"/>
    <w:basedOn w:val="Normal"/>
    <w:rsid w:val="00831ED1"/>
    <w:pPr>
      <w:spacing w:before="100" w:beforeAutospacing="1" w:after="100" w:afterAutospacing="1" w:line="240" w:lineRule="auto"/>
    </w:pPr>
    <w:rPr>
      <w:rFonts w:ascii="Times New Roman" w:eastAsia="Times New Roman" w:hAnsi="Times New Roman" w:cs="Times New Roman"/>
      <w:b/>
      <w:bCs/>
      <w:sz w:val="24"/>
      <w:szCs w:val="24"/>
      <w:lang w:val="en-CA" w:eastAsia="en-CA"/>
    </w:rPr>
  </w:style>
  <w:style w:type="paragraph" w:customStyle="1" w:styleId="xl65">
    <w:name w:val="xl65"/>
    <w:basedOn w:val="Normal"/>
    <w:rsid w:val="00831ED1"/>
    <w:pPr>
      <w:spacing w:before="100" w:beforeAutospacing="1" w:after="100" w:afterAutospacing="1" w:line="240" w:lineRule="auto"/>
    </w:pPr>
    <w:rPr>
      <w:rFonts w:ascii="Arial" w:eastAsia="Times New Roman" w:hAnsi="Arial" w:cs="Arial"/>
      <w:b/>
      <w:bCs/>
      <w:color w:val="000000"/>
      <w:sz w:val="20"/>
      <w:szCs w:val="20"/>
      <w:lang w:val="en-CA" w:eastAsia="en-CA"/>
    </w:rPr>
  </w:style>
  <w:style w:type="paragraph" w:customStyle="1" w:styleId="xl66">
    <w:name w:val="xl66"/>
    <w:basedOn w:val="Normal"/>
    <w:rsid w:val="00CA3C2F"/>
    <w:pPr>
      <w:spacing w:before="100" w:beforeAutospacing="1" w:after="100" w:afterAutospacing="1" w:line="240" w:lineRule="auto"/>
    </w:pPr>
    <w:rPr>
      <w:rFonts w:ascii="Arial" w:eastAsia="Times New Roman" w:hAnsi="Arial" w:cs="Arial"/>
      <w:b/>
      <w:bCs/>
      <w:color w:val="000000"/>
      <w:sz w:val="20"/>
      <w:szCs w:val="20"/>
      <w:lang w:val="en-CA" w:eastAsia="en-CA"/>
    </w:rPr>
  </w:style>
  <w:style w:type="paragraph" w:customStyle="1" w:styleId="xl67">
    <w:name w:val="xl67"/>
    <w:basedOn w:val="Normal"/>
    <w:rsid w:val="00CA3C2F"/>
    <w:pP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TEXTO1">
    <w:name w:val="TEXTO1"/>
    <w:basedOn w:val="Normal"/>
    <w:rsid w:val="00B33C26"/>
    <w:pPr>
      <w:spacing w:after="0" w:line="360" w:lineRule="auto"/>
      <w:jc w:val="both"/>
    </w:pPr>
    <w:rPr>
      <w:rFonts w:ascii="Times New Roman" w:eastAsia="Times New Roman" w:hAnsi="Times New Roman" w:cs="Times New Roman"/>
      <w:sz w:val="24"/>
      <w:szCs w:val="20"/>
    </w:rPr>
  </w:style>
  <w:style w:type="table" w:customStyle="1" w:styleId="Oficial">
    <w:name w:val="Oficial"/>
    <w:basedOn w:val="Tabelanormal"/>
    <w:qFormat/>
    <w:rsid w:val="00A068D0"/>
    <w:pPr>
      <w:spacing w:after="0" w:line="240" w:lineRule="auto"/>
    </w:pPr>
    <w:rPr>
      <w:rFonts w:ascii="Times New Roman" w:hAnsi="Times New Roman"/>
      <w:sz w:val="24"/>
    </w:rPr>
    <w:tblPr>
      <w:jc w:val="center"/>
      <w:tblInd w:w="0" w:type="dxa"/>
      <w:tblBorders>
        <w:bottom w:val="single" w:sz="12" w:space="0" w:color="auto"/>
      </w:tblBorders>
      <w:tblCellMar>
        <w:top w:w="0" w:type="dxa"/>
        <w:left w:w="108" w:type="dxa"/>
        <w:bottom w:w="0" w:type="dxa"/>
        <w:right w:w="108" w:type="dxa"/>
      </w:tblCellMar>
    </w:tblPr>
    <w:trPr>
      <w:jc w:val="center"/>
    </w:trPr>
    <w:tblStylePr w:type="firstRow">
      <w:tblPr/>
      <w:tcPr>
        <w:tcBorders>
          <w:top w:val="single" w:sz="12" w:space="0" w:color="auto"/>
          <w:left w:val="nil"/>
          <w:bottom w:val="single" w:sz="2" w:space="0" w:color="auto"/>
          <w:right w:val="nil"/>
          <w:insideH w:val="nil"/>
          <w:insideV w:val="nil"/>
        </w:tcBorders>
      </w:tcPr>
    </w:tblStylePr>
  </w:style>
  <w:style w:type="paragraph" w:styleId="Legenda">
    <w:name w:val="caption"/>
    <w:basedOn w:val="Normal"/>
    <w:next w:val="Normal"/>
    <w:unhideWhenUsed/>
    <w:qFormat/>
    <w:rsid w:val="00F849C9"/>
    <w:pPr>
      <w:spacing w:line="240" w:lineRule="auto"/>
    </w:pPr>
    <w:rPr>
      <w:b/>
      <w:bCs/>
      <w:color w:val="4F81BD" w:themeColor="accent1"/>
      <w:sz w:val="18"/>
      <w:szCs w:val="18"/>
    </w:rPr>
  </w:style>
  <w:style w:type="paragraph" w:styleId="Bibliografia">
    <w:name w:val="Bibliography"/>
    <w:basedOn w:val="Normal"/>
    <w:next w:val="Normal"/>
    <w:uiPriority w:val="37"/>
    <w:unhideWhenUsed/>
    <w:rsid w:val="00F9509F"/>
  </w:style>
  <w:style w:type="character" w:customStyle="1" w:styleId="apple-style-span">
    <w:name w:val="apple-style-span"/>
    <w:basedOn w:val="Fontepargpadro"/>
    <w:rsid w:val="00C24F17"/>
  </w:style>
  <w:style w:type="paragraph" w:styleId="Reviso">
    <w:name w:val="Revision"/>
    <w:hidden/>
    <w:uiPriority w:val="99"/>
    <w:semiHidden/>
    <w:rsid w:val="0083203E"/>
    <w:pPr>
      <w:spacing w:after="0" w:line="240" w:lineRule="auto"/>
    </w:pPr>
  </w:style>
  <w:style w:type="paragraph" w:styleId="Sumrio4">
    <w:name w:val="toc 4"/>
    <w:basedOn w:val="Normal"/>
    <w:next w:val="Normal"/>
    <w:autoRedefine/>
    <w:uiPriority w:val="39"/>
    <w:unhideWhenUsed/>
    <w:rsid w:val="00D520FE"/>
    <w:pPr>
      <w:spacing w:after="100"/>
      <w:ind w:left="660"/>
    </w:pPr>
    <w:rPr>
      <w:rFonts w:eastAsiaTheme="minorEastAsia"/>
      <w:lang w:val="en-CA" w:eastAsia="en-CA"/>
    </w:rPr>
  </w:style>
  <w:style w:type="paragraph" w:styleId="Sumrio5">
    <w:name w:val="toc 5"/>
    <w:basedOn w:val="Normal"/>
    <w:next w:val="Normal"/>
    <w:autoRedefine/>
    <w:uiPriority w:val="39"/>
    <w:unhideWhenUsed/>
    <w:rsid w:val="00D520FE"/>
    <w:pPr>
      <w:spacing w:after="100"/>
      <w:ind w:left="880"/>
    </w:pPr>
    <w:rPr>
      <w:rFonts w:eastAsiaTheme="minorEastAsia"/>
      <w:lang w:val="en-CA" w:eastAsia="en-CA"/>
    </w:rPr>
  </w:style>
  <w:style w:type="paragraph" w:styleId="Sumrio6">
    <w:name w:val="toc 6"/>
    <w:basedOn w:val="Normal"/>
    <w:next w:val="Normal"/>
    <w:autoRedefine/>
    <w:uiPriority w:val="39"/>
    <w:unhideWhenUsed/>
    <w:rsid w:val="00D520FE"/>
    <w:pPr>
      <w:spacing w:after="100"/>
      <w:ind w:left="1100"/>
    </w:pPr>
    <w:rPr>
      <w:rFonts w:eastAsiaTheme="minorEastAsia"/>
      <w:lang w:val="en-CA" w:eastAsia="en-CA"/>
    </w:rPr>
  </w:style>
  <w:style w:type="paragraph" w:styleId="Sumrio7">
    <w:name w:val="toc 7"/>
    <w:basedOn w:val="Normal"/>
    <w:next w:val="Normal"/>
    <w:autoRedefine/>
    <w:uiPriority w:val="39"/>
    <w:unhideWhenUsed/>
    <w:rsid w:val="00D520FE"/>
    <w:pPr>
      <w:spacing w:after="100"/>
      <w:ind w:left="1320"/>
    </w:pPr>
    <w:rPr>
      <w:rFonts w:eastAsiaTheme="minorEastAsia"/>
      <w:lang w:val="en-CA" w:eastAsia="en-CA"/>
    </w:rPr>
  </w:style>
  <w:style w:type="paragraph" w:styleId="Sumrio8">
    <w:name w:val="toc 8"/>
    <w:basedOn w:val="Normal"/>
    <w:next w:val="Normal"/>
    <w:autoRedefine/>
    <w:uiPriority w:val="39"/>
    <w:unhideWhenUsed/>
    <w:rsid w:val="00D520FE"/>
    <w:pPr>
      <w:spacing w:after="100"/>
      <w:ind w:left="1540"/>
    </w:pPr>
    <w:rPr>
      <w:rFonts w:eastAsiaTheme="minorEastAsia"/>
      <w:lang w:val="en-CA" w:eastAsia="en-CA"/>
    </w:rPr>
  </w:style>
  <w:style w:type="paragraph" w:styleId="Sumrio9">
    <w:name w:val="toc 9"/>
    <w:basedOn w:val="Normal"/>
    <w:next w:val="Normal"/>
    <w:autoRedefine/>
    <w:uiPriority w:val="39"/>
    <w:unhideWhenUsed/>
    <w:rsid w:val="00D520FE"/>
    <w:pPr>
      <w:spacing w:after="100"/>
      <w:ind w:left="1760"/>
    </w:pPr>
    <w:rPr>
      <w:rFonts w:eastAsiaTheme="minorEastAsia"/>
      <w:lang w:val="en-CA" w:eastAsia="en-CA"/>
    </w:rPr>
  </w:style>
  <w:style w:type="paragraph" w:styleId="ndicedeilustraes">
    <w:name w:val="table of figures"/>
    <w:basedOn w:val="Normal"/>
    <w:next w:val="Normal"/>
    <w:unhideWhenUsed/>
    <w:rsid w:val="002A4769"/>
    <w:pPr>
      <w:spacing w:after="0"/>
    </w:pPr>
  </w:style>
  <w:style w:type="paragraph" w:styleId="Commarcadores">
    <w:name w:val="List Bullet"/>
    <w:basedOn w:val="Normal"/>
    <w:unhideWhenUsed/>
    <w:rsid w:val="00F66374"/>
    <w:pPr>
      <w:numPr>
        <w:numId w:val="19"/>
      </w:numPr>
      <w:contextualSpacing/>
    </w:pPr>
  </w:style>
  <w:style w:type="table" w:customStyle="1" w:styleId="SombreamentoClaro1">
    <w:name w:val="Sombreamento Claro1"/>
    <w:basedOn w:val="Tabelanormal"/>
    <w:rsid w:val="00ED18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D77506"/>
  </w:style>
  <w:style w:type="numbering" w:customStyle="1" w:styleId="Estilo5">
    <w:name w:val="Estilo5"/>
    <w:rsid w:val="009E6899"/>
    <w:pPr>
      <w:numPr>
        <w:numId w:val="21"/>
      </w:numPr>
    </w:pPr>
  </w:style>
  <w:style w:type="paragraph" w:customStyle="1" w:styleId="font5">
    <w:name w:val="font5"/>
    <w:basedOn w:val="Normal"/>
    <w:rsid w:val="00B17B8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6">
    <w:name w:val="font6"/>
    <w:basedOn w:val="Normal"/>
    <w:rsid w:val="00B17B89"/>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PargrafodaLista1">
    <w:name w:val="Parágrafo da Lista1"/>
    <w:basedOn w:val="Normal"/>
    <w:rsid w:val="007B02CF"/>
    <w:pPr>
      <w:ind w:left="720"/>
    </w:pPr>
    <w:rPr>
      <w:rFonts w:ascii="Calibri" w:eastAsia="Times New Roman" w:hAnsi="Calibri" w:cs="Times New Roman"/>
    </w:rPr>
  </w:style>
  <w:style w:type="character" w:customStyle="1" w:styleId="TextodoEspaoReservado1">
    <w:name w:val="Texto do Espaço Reservado1"/>
    <w:basedOn w:val="Fontepargpadro"/>
    <w:semiHidden/>
    <w:rsid w:val="007B02CF"/>
    <w:rPr>
      <w:rFonts w:cs="Times New Roman"/>
      <w:color w:val="808080"/>
    </w:rPr>
  </w:style>
  <w:style w:type="paragraph" w:customStyle="1" w:styleId="CabealhodoSumrio1">
    <w:name w:val="Cabeçalho do Sumário1"/>
    <w:basedOn w:val="Ttulo1"/>
    <w:next w:val="Normal"/>
    <w:semiHidden/>
    <w:rsid w:val="007B02CF"/>
    <w:pPr>
      <w:numPr>
        <w:numId w:val="0"/>
      </w:numPr>
      <w:contextualSpacing w:val="0"/>
      <w:outlineLvl w:val="9"/>
    </w:pPr>
    <w:rPr>
      <w:rFonts w:eastAsia="Times New Roman"/>
    </w:rPr>
  </w:style>
  <w:style w:type="paragraph" w:customStyle="1" w:styleId="Bibliografia1">
    <w:name w:val="Bibliografia1"/>
    <w:basedOn w:val="Normal"/>
    <w:next w:val="Normal"/>
    <w:rsid w:val="007B02CF"/>
    <w:rPr>
      <w:rFonts w:ascii="Calibri" w:eastAsia="Times New Roman" w:hAnsi="Calibri" w:cs="Times New Roman"/>
    </w:rPr>
  </w:style>
  <w:style w:type="paragraph" w:customStyle="1" w:styleId="Reviso1">
    <w:name w:val="Revisão1"/>
    <w:hidden/>
    <w:semiHidden/>
    <w:rsid w:val="007B02CF"/>
    <w:pPr>
      <w:spacing w:after="0" w:line="240" w:lineRule="auto"/>
    </w:pPr>
    <w:rPr>
      <w:rFonts w:ascii="Calibri" w:eastAsia="Times New Roman" w:hAnsi="Calibri" w:cs="Times New Roman"/>
    </w:rPr>
  </w:style>
  <w:style w:type="character" w:styleId="Nmerodepgina">
    <w:name w:val="page number"/>
    <w:basedOn w:val="Fontepargpadro"/>
    <w:rsid w:val="007B02CF"/>
  </w:style>
  <w:style w:type="paragraph" w:styleId="MapadoDocumento">
    <w:name w:val="Document Map"/>
    <w:basedOn w:val="Normal"/>
    <w:link w:val="MapadoDocumentoChar"/>
    <w:uiPriority w:val="99"/>
    <w:semiHidden/>
    <w:unhideWhenUsed/>
    <w:rsid w:val="00CC49BF"/>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C49BF"/>
    <w:rPr>
      <w:rFonts w:ascii="Tahoma" w:hAnsi="Tahoma" w:cs="Tahoma"/>
      <w:sz w:val="16"/>
      <w:szCs w:val="16"/>
    </w:rPr>
  </w:style>
  <w:style w:type="character" w:customStyle="1" w:styleId="longtext1">
    <w:name w:val="long_text1"/>
    <w:basedOn w:val="Fontepargpadro"/>
    <w:rsid w:val="00C255EC"/>
    <w:rPr>
      <w:sz w:val="16"/>
      <w:szCs w:val="16"/>
    </w:rPr>
  </w:style>
  <w:style w:type="character" w:customStyle="1" w:styleId="shorttext1">
    <w:name w:val="short_text1"/>
    <w:basedOn w:val="Fontepargpadro"/>
    <w:rsid w:val="00C255EC"/>
    <w:rPr>
      <w:sz w:val="24"/>
      <w:szCs w:val="24"/>
    </w:rPr>
  </w:style>
</w:styles>
</file>

<file path=word/webSettings.xml><?xml version="1.0" encoding="utf-8"?>
<w:webSettings xmlns:r="http://schemas.openxmlformats.org/officeDocument/2006/relationships" xmlns:w="http://schemas.openxmlformats.org/wordprocessingml/2006/main">
  <w:divs>
    <w:div w:id="13113610">
      <w:bodyDiv w:val="1"/>
      <w:marLeft w:val="0"/>
      <w:marRight w:val="0"/>
      <w:marTop w:val="0"/>
      <w:marBottom w:val="0"/>
      <w:divBdr>
        <w:top w:val="none" w:sz="0" w:space="0" w:color="auto"/>
        <w:left w:val="none" w:sz="0" w:space="0" w:color="auto"/>
        <w:bottom w:val="none" w:sz="0" w:space="0" w:color="auto"/>
        <w:right w:val="none" w:sz="0" w:space="0" w:color="auto"/>
      </w:divBdr>
    </w:div>
    <w:div w:id="26218320">
      <w:bodyDiv w:val="1"/>
      <w:marLeft w:val="0"/>
      <w:marRight w:val="0"/>
      <w:marTop w:val="0"/>
      <w:marBottom w:val="0"/>
      <w:divBdr>
        <w:top w:val="none" w:sz="0" w:space="0" w:color="auto"/>
        <w:left w:val="none" w:sz="0" w:space="0" w:color="auto"/>
        <w:bottom w:val="none" w:sz="0" w:space="0" w:color="auto"/>
        <w:right w:val="none" w:sz="0" w:space="0" w:color="auto"/>
      </w:divBdr>
    </w:div>
    <w:div w:id="69666063">
      <w:bodyDiv w:val="1"/>
      <w:marLeft w:val="0"/>
      <w:marRight w:val="0"/>
      <w:marTop w:val="0"/>
      <w:marBottom w:val="0"/>
      <w:divBdr>
        <w:top w:val="none" w:sz="0" w:space="0" w:color="auto"/>
        <w:left w:val="none" w:sz="0" w:space="0" w:color="auto"/>
        <w:bottom w:val="none" w:sz="0" w:space="0" w:color="auto"/>
        <w:right w:val="none" w:sz="0" w:space="0" w:color="auto"/>
      </w:divBdr>
      <w:divsChild>
        <w:div w:id="530144671">
          <w:marLeft w:val="1166"/>
          <w:marRight w:val="0"/>
          <w:marTop w:val="0"/>
          <w:marBottom w:val="0"/>
          <w:divBdr>
            <w:top w:val="none" w:sz="0" w:space="0" w:color="auto"/>
            <w:left w:val="none" w:sz="0" w:space="0" w:color="auto"/>
            <w:bottom w:val="none" w:sz="0" w:space="0" w:color="auto"/>
            <w:right w:val="none" w:sz="0" w:space="0" w:color="auto"/>
          </w:divBdr>
        </w:div>
        <w:div w:id="873424811">
          <w:marLeft w:val="1166"/>
          <w:marRight w:val="0"/>
          <w:marTop w:val="0"/>
          <w:marBottom w:val="0"/>
          <w:divBdr>
            <w:top w:val="none" w:sz="0" w:space="0" w:color="auto"/>
            <w:left w:val="none" w:sz="0" w:space="0" w:color="auto"/>
            <w:bottom w:val="none" w:sz="0" w:space="0" w:color="auto"/>
            <w:right w:val="none" w:sz="0" w:space="0" w:color="auto"/>
          </w:divBdr>
        </w:div>
        <w:div w:id="1005397482">
          <w:marLeft w:val="1166"/>
          <w:marRight w:val="0"/>
          <w:marTop w:val="0"/>
          <w:marBottom w:val="0"/>
          <w:divBdr>
            <w:top w:val="none" w:sz="0" w:space="0" w:color="auto"/>
            <w:left w:val="none" w:sz="0" w:space="0" w:color="auto"/>
            <w:bottom w:val="none" w:sz="0" w:space="0" w:color="auto"/>
            <w:right w:val="none" w:sz="0" w:space="0" w:color="auto"/>
          </w:divBdr>
        </w:div>
        <w:div w:id="1559630053">
          <w:marLeft w:val="547"/>
          <w:marRight w:val="0"/>
          <w:marTop w:val="0"/>
          <w:marBottom w:val="0"/>
          <w:divBdr>
            <w:top w:val="none" w:sz="0" w:space="0" w:color="auto"/>
            <w:left w:val="none" w:sz="0" w:space="0" w:color="auto"/>
            <w:bottom w:val="none" w:sz="0" w:space="0" w:color="auto"/>
            <w:right w:val="none" w:sz="0" w:space="0" w:color="auto"/>
          </w:divBdr>
        </w:div>
      </w:divsChild>
    </w:div>
    <w:div w:id="71435101">
      <w:bodyDiv w:val="1"/>
      <w:marLeft w:val="0"/>
      <w:marRight w:val="0"/>
      <w:marTop w:val="0"/>
      <w:marBottom w:val="0"/>
      <w:divBdr>
        <w:top w:val="none" w:sz="0" w:space="0" w:color="auto"/>
        <w:left w:val="none" w:sz="0" w:space="0" w:color="auto"/>
        <w:bottom w:val="none" w:sz="0" w:space="0" w:color="auto"/>
        <w:right w:val="none" w:sz="0" w:space="0" w:color="auto"/>
      </w:divBdr>
    </w:div>
    <w:div w:id="101340246">
      <w:bodyDiv w:val="1"/>
      <w:marLeft w:val="0"/>
      <w:marRight w:val="0"/>
      <w:marTop w:val="0"/>
      <w:marBottom w:val="0"/>
      <w:divBdr>
        <w:top w:val="none" w:sz="0" w:space="0" w:color="auto"/>
        <w:left w:val="none" w:sz="0" w:space="0" w:color="auto"/>
        <w:bottom w:val="none" w:sz="0" w:space="0" w:color="auto"/>
        <w:right w:val="none" w:sz="0" w:space="0" w:color="auto"/>
      </w:divBdr>
    </w:div>
    <w:div w:id="102237073">
      <w:bodyDiv w:val="1"/>
      <w:marLeft w:val="0"/>
      <w:marRight w:val="0"/>
      <w:marTop w:val="0"/>
      <w:marBottom w:val="0"/>
      <w:divBdr>
        <w:top w:val="none" w:sz="0" w:space="0" w:color="auto"/>
        <w:left w:val="none" w:sz="0" w:space="0" w:color="auto"/>
        <w:bottom w:val="none" w:sz="0" w:space="0" w:color="auto"/>
        <w:right w:val="none" w:sz="0" w:space="0" w:color="auto"/>
      </w:divBdr>
    </w:div>
    <w:div w:id="145517308">
      <w:bodyDiv w:val="1"/>
      <w:marLeft w:val="0"/>
      <w:marRight w:val="0"/>
      <w:marTop w:val="0"/>
      <w:marBottom w:val="0"/>
      <w:divBdr>
        <w:top w:val="none" w:sz="0" w:space="0" w:color="auto"/>
        <w:left w:val="none" w:sz="0" w:space="0" w:color="auto"/>
        <w:bottom w:val="none" w:sz="0" w:space="0" w:color="auto"/>
        <w:right w:val="none" w:sz="0" w:space="0" w:color="auto"/>
      </w:divBdr>
    </w:div>
    <w:div w:id="164519621">
      <w:bodyDiv w:val="1"/>
      <w:marLeft w:val="0"/>
      <w:marRight w:val="0"/>
      <w:marTop w:val="0"/>
      <w:marBottom w:val="0"/>
      <w:divBdr>
        <w:top w:val="none" w:sz="0" w:space="0" w:color="auto"/>
        <w:left w:val="none" w:sz="0" w:space="0" w:color="auto"/>
        <w:bottom w:val="none" w:sz="0" w:space="0" w:color="auto"/>
        <w:right w:val="none" w:sz="0" w:space="0" w:color="auto"/>
      </w:divBdr>
    </w:div>
    <w:div w:id="219294096">
      <w:bodyDiv w:val="1"/>
      <w:marLeft w:val="0"/>
      <w:marRight w:val="0"/>
      <w:marTop w:val="0"/>
      <w:marBottom w:val="0"/>
      <w:divBdr>
        <w:top w:val="none" w:sz="0" w:space="0" w:color="auto"/>
        <w:left w:val="none" w:sz="0" w:space="0" w:color="auto"/>
        <w:bottom w:val="none" w:sz="0" w:space="0" w:color="auto"/>
        <w:right w:val="none" w:sz="0" w:space="0" w:color="auto"/>
      </w:divBdr>
    </w:div>
    <w:div w:id="277227197">
      <w:bodyDiv w:val="1"/>
      <w:marLeft w:val="0"/>
      <w:marRight w:val="0"/>
      <w:marTop w:val="0"/>
      <w:marBottom w:val="0"/>
      <w:divBdr>
        <w:top w:val="none" w:sz="0" w:space="0" w:color="auto"/>
        <w:left w:val="none" w:sz="0" w:space="0" w:color="auto"/>
        <w:bottom w:val="none" w:sz="0" w:space="0" w:color="auto"/>
        <w:right w:val="none" w:sz="0" w:space="0" w:color="auto"/>
      </w:divBdr>
    </w:div>
    <w:div w:id="320812741">
      <w:bodyDiv w:val="1"/>
      <w:marLeft w:val="0"/>
      <w:marRight w:val="0"/>
      <w:marTop w:val="0"/>
      <w:marBottom w:val="0"/>
      <w:divBdr>
        <w:top w:val="none" w:sz="0" w:space="0" w:color="auto"/>
        <w:left w:val="none" w:sz="0" w:space="0" w:color="auto"/>
        <w:bottom w:val="none" w:sz="0" w:space="0" w:color="auto"/>
        <w:right w:val="none" w:sz="0" w:space="0" w:color="auto"/>
      </w:divBdr>
    </w:div>
    <w:div w:id="348414402">
      <w:bodyDiv w:val="1"/>
      <w:marLeft w:val="0"/>
      <w:marRight w:val="0"/>
      <w:marTop w:val="0"/>
      <w:marBottom w:val="0"/>
      <w:divBdr>
        <w:top w:val="none" w:sz="0" w:space="0" w:color="auto"/>
        <w:left w:val="none" w:sz="0" w:space="0" w:color="auto"/>
        <w:bottom w:val="none" w:sz="0" w:space="0" w:color="auto"/>
        <w:right w:val="none" w:sz="0" w:space="0" w:color="auto"/>
      </w:divBdr>
      <w:divsChild>
        <w:div w:id="720247043">
          <w:marLeft w:val="547"/>
          <w:marRight w:val="0"/>
          <w:marTop w:val="134"/>
          <w:marBottom w:val="0"/>
          <w:divBdr>
            <w:top w:val="none" w:sz="0" w:space="0" w:color="auto"/>
            <w:left w:val="none" w:sz="0" w:space="0" w:color="auto"/>
            <w:bottom w:val="none" w:sz="0" w:space="0" w:color="auto"/>
            <w:right w:val="none" w:sz="0" w:space="0" w:color="auto"/>
          </w:divBdr>
        </w:div>
        <w:div w:id="1820221298">
          <w:marLeft w:val="547"/>
          <w:marRight w:val="0"/>
          <w:marTop w:val="134"/>
          <w:marBottom w:val="0"/>
          <w:divBdr>
            <w:top w:val="none" w:sz="0" w:space="0" w:color="auto"/>
            <w:left w:val="none" w:sz="0" w:space="0" w:color="auto"/>
            <w:bottom w:val="none" w:sz="0" w:space="0" w:color="auto"/>
            <w:right w:val="none" w:sz="0" w:space="0" w:color="auto"/>
          </w:divBdr>
        </w:div>
      </w:divsChild>
    </w:div>
    <w:div w:id="378281087">
      <w:bodyDiv w:val="1"/>
      <w:marLeft w:val="0"/>
      <w:marRight w:val="0"/>
      <w:marTop w:val="0"/>
      <w:marBottom w:val="0"/>
      <w:divBdr>
        <w:top w:val="none" w:sz="0" w:space="0" w:color="auto"/>
        <w:left w:val="none" w:sz="0" w:space="0" w:color="auto"/>
        <w:bottom w:val="none" w:sz="0" w:space="0" w:color="auto"/>
        <w:right w:val="none" w:sz="0" w:space="0" w:color="auto"/>
      </w:divBdr>
    </w:div>
    <w:div w:id="402339826">
      <w:bodyDiv w:val="1"/>
      <w:marLeft w:val="0"/>
      <w:marRight w:val="0"/>
      <w:marTop w:val="0"/>
      <w:marBottom w:val="0"/>
      <w:divBdr>
        <w:top w:val="none" w:sz="0" w:space="0" w:color="auto"/>
        <w:left w:val="none" w:sz="0" w:space="0" w:color="auto"/>
        <w:bottom w:val="none" w:sz="0" w:space="0" w:color="auto"/>
        <w:right w:val="none" w:sz="0" w:space="0" w:color="auto"/>
      </w:divBdr>
    </w:div>
    <w:div w:id="431124100">
      <w:bodyDiv w:val="1"/>
      <w:marLeft w:val="0"/>
      <w:marRight w:val="0"/>
      <w:marTop w:val="0"/>
      <w:marBottom w:val="0"/>
      <w:divBdr>
        <w:top w:val="none" w:sz="0" w:space="0" w:color="auto"/>
        <w:left w:val="none" w:sz="0" w:space="0" w:color="auto"/>
        <w:bottom w:val="none" w:sz="0" w:space="0" w:color="auto"/>
        <w:right w:val="none" w:sz="0" w:space="0" w:color="auto"/>
      </w:divBdr>
    </w:div>
    <w:div w:id="493691477">
      <w:bodyDiv w:val="1"/>
      <w:marLeft w:val="0"/>
      <w:marRight w:val="0"/>
      <w:marTop w:val="0"/>
      <w:marBottom w:val="0"/>
      <w:divBdr>
        <w:top w:val="none" w:sz="0" w:space="0" w:color="auto"/>
        <w:left w:val="none" w:sz="0" w:space="0" w:color="auto"/>
        <w:bottom w:val="none" w:sz="0" w:space="0" w:color="auto"/>
        <w:right w:val="none" w:sz="0" w:space="0" w:color="auto"/>
      </w:divBdr>
    </w:div>
    <w:div w:id="514616001">
      <w:bodyDiv w:val="1"/>
      <w:marLeft w:val="0"/>
      <w:marRight w:val="0"/>
      <w:marTop w:val="0"/>
      <w:marBottom w:val="0"/>
      <w:divBdr>
        <w:top w:val="none" w:sz="0" w:space="0" w:color="auto"/>
        <w:left w:val="none" w:sz="0" w:space="0" w:color="auto"/>
        <w:bottom w:val="none" w:sz="0" w:space="0" w:color="auto"/>
        <w:right w:val="none" w:sz="0" w:space="0" w:color="auto"/>
      </w:divBdr>
    </w:div>
    <w:div w:id="532690696">
      <w:bodyDiv w:val="1"/>
      <w:marLeft w:val="0"/>
      <w:marRight w:val="0"/>
      <w:marTop w:val="0"/>
      <w:marBottom w:val="0"/>
      <w:divBdr>
        <w:top w:val="none" w:sz="0" w:space="0" w:color="auto"/>
        <w:left w:val="none" w:sz="0" w:space="0" w:color="auto"/>
        <w:bottom w:val="none" w:sz="0" w:space="0" w:color="auto"/>
        <w:right w:val="none" w:sz="0" w:space="0" w:color="auto"/>
      </w:divBdr>
    </w:div>
    <w:div w:id="533885312">
      <w:bodyDiv w:val="1"/>
      <w:marLeft w:val="0"/>
      <w:marRight w:val="0"/>
      <w:marTop w:val="0"/>
      <w:marBottom w:val="0"/>
      <w:divBdr>
        <w:top w:val="none" w:sz="0" w:space="0" w:color="auto"/>
        <w:left w:val="none" w:sz="0" w:space="0" w:color="auto"/>
        <w:bottom w:val="none" w:sz="0" w:space="0" w:color="auto"/>
        <w:right w:val="none" w:sz="0" w:space="0" w:color="auto"/>
      </w:divBdr>
    </w:div>
    <w:div w:id="592593348">
      <w:bodyDiv w:val="1"/>
      <w:marLeft w:val="0"/>
      <w:marRight w:val="0"/>
      <w:marTop w:val="0"/>
      <w:marBottom w:val="0"/>
      <w:divBdr>
        <w:top w:val="none" w:sz="0" w:space="0" w:color="auto"/>
        <w:left w:val="none" w:sz="0" w:space="0" w:color="auto"/>
        <w:bottom w:val="none" w:sz="0" w:space="0" w:color="auto"/>
        <w:right w:val="none" w:sz="0" w:space="0" w:color="auto"/>
      </w:divBdr>
    </w:div>
    <w:div w:id="656227787">
      <w:bodyDiv w:val="1"/>
      <w:marLeft w:val="0"/>
      <w:marRight w:val="0"/>
      <w:marTop w:val="0"/>
      <w:marBottom w:val="0"/>
      <w:divBdr>
        <w:top w:val="none" w:sz="0" w:space="0" w:color="auto"/>
        <w:left w:val="none" w:sz="0" w:space="0" w:color="auto"/>
        <w:bottom w:val="none" w:sz="0" w:space="0" w:color="auto"/>
        <w:right w:val="none" w:sz="0" w:space="0" w:color="auto"/>
      </w:divBdr>
    </w:div>
    <w:div w:id="705641900">
      <w:bodyDiv w:val="1"/>
      <w:marLeft w:val="0"/>
      <w:marRight w:val="0"/>
      <w:marTop w:val="0"/>
      <w:marBottom w:val="0"/>
      <w:divBdr>
        <w:top w:val="none" w:sz="0" w:space="0" w:color="auto"/>
        <w:left w:val="none" w:sz="0" w:space="0" w:color="auto"/>
        <w:bottom w:val="none" w:sz="0" w:space="0" w:color="auto"/>
        <w:right w:val="none" w:sz="0" w:space="0" w:color="auto"/>
      </w:divBdr>
    </w:div>
    <w:div w:id="773090378">
      <w:bodyDiv w:val="1"/>
      <w:marLeft w:val="0"/>
      <w:marRight w:val="0"/>
      <w:marTop w:val="0"/>
      <w:marBottom w:val="0"/>
      <w:divBdr>
        <w:top w:val="none" w:sz="0" w:space="0" w:color="auto"/>
        <w:left w:val="none" w:sz="0" w:space="0" w:color="auto"/>
        <w:bottom w:val="none" w:sz="0" w:space="0" w:color="auto"/>
        <w:right w:val="none" w:sz="0" w:space="0" w:color="auto"/>
      </w:divBdr>
    </w:div>
    <w:div w:id="818763968">
      <w:bodyDiv w:val="1"/>
      <w:marLeft w:val="0"/>
      <w:marRight w:val="0"/>
      <w:marTop w:val="0"/>
      <w:marBottom w:val="0"/>
      <w:divBdr>
        <w:top w:val="none" w:sz="0" w:space="0" w:color="auto"/>
        <w:left w:val="none" w:sz="0" w:space="0" w:color="auto"/>
        <w:bottom w:val="none" w:sz="0" w:space="0" w:color="auto"/>
        <w:right w:val="none" w:sz="0" w:space="0" w:color="auto"/>
      </w:divBdr>
    </w:div>
    <w:div w:id="865681374">
      <w:bodyDiv w:val="1"/>
      <w:marLeft w:val="0"/>
      <w:marRight w:val="0"/>
      <w:marTop w:val="0"/>
      <w:marBottom w:val="0"/>
      <w:divBdr>
        <w:top w:val="none" w:sz="0" w:space="0" w:color="auto"/>
        <w:left w:val="none" w:sz="0" w:space="0" w:color="auto"/>
        <w:bottom w:val="none" w:sz="0" w:space="0" w:color="auto"/>
        <w:right w:val="none" w:sz="0" w:space="0" w:color="auto"/>
      </w:divBdr>
    </w:div>
    <w:div w:id="886843349">
      <w:bodyDiv w:val="1"/>
      <w:marLeft w:val="0"/>
      <w:marRight w:val="0"/>
      <w:marTop w:val="0"/>
      <w:marBottom w:val="0"/>
      <w:divBdr>
        <w:top w:val="none" w:sz="0" w:space="0" w:color="auto"/>
        <w:left w:val="none" w:sz="0" w:space="0" w:color="auto"/>
        <w:bottom w:val="none" w:sz="0" w:space="0" w:color="auto"/>
        <w:right w:val="none" w:sz="0" w:space="0" w:color="auto"/>
      </w:divBdr>
    </w:div>
    <w:div w:id="916135263">
      <w:bodyDiv w:val="1"/>
      <w:marLeft w:val="0"/>
      <w:marRight w:val="0"/>
      <w:marTop w:val="0"/>
      <w:marBottom w:val="0"/>
      <w:divBdr>
        <w:top w:val="none" w:sz="0" w:space="0" w:color="auto"/>
        <w:left w:val="none" w:sz="0" w:space="0" w:color="auto"/>
        <w:bottom w:val="none" w:sz="0" w:space="0" w:color="auto"/>
        <w:right w:val="none" w:sz="0" w:space="0" w:color="auto"/>
      </w:divBdr>
    </w:div>
    <w:div w:id="919173945">
      <w:bodyDiv w:val="1"/>
      <w:marLeft w:val="0"/>
      <w:marRight w:val="0"/>
      <w:marTop w:val="0"/>
      <w:marBottom w:val="0"/>
      <w:divBdr>
        <w:top w:val="none" w:sz="0" w:space="0" w:color="auto"/>
        <w:left w:val="none" w:sz="0" w:space="0" w:color="auto"/>
        <w:bottom w:val="none" w:sz="0" w:space="0" w:color="auto"/>
        <w:right w:val="none" w:sz="0" w:space="0" w:color="auto"/>
      </w:divBdr>
    </w:div>
    <w:div w:id="939678085">
      <w:bodyDiv w:val="1"/>
      <w:marLeft w:val="0"/>
      <w:marRight w:val="0"/>
      <w:marTop w:val="0"/>
      <w:marBottom w:val="0"/>
      <w:divBdr>
        <w:top w:val="none" w:sz="0" w:space="0" w:color="auto"/>
        <w:left w:val="none" w:sz="0" w:space="0" w:color="auto"/>
        <w:bottom w:val="none" w:sz="0" w:space="0" w:color="auto"/>
        <w:right w:val="none" w:sz="0" w:space="0" w:color="auto"/>
      </w:divBdr>
    </w:div>
    <w:div w:id="942808197">
      <w:bodyDiv w:val="1"/>
      <w:marLeft w:val="0"/>
      <w:marRight w:val="0"/>
      <w:marTop w:val="0"/>
      <w:marBottom w:val="0"/>
      <w:divBdr>
        <w:top w:val="none" w:sz="0" w:space="0" w:color="auto"/>
        <w:left w:val="none" w:sz="0" w:space="0" w:color="auto"/>
        <w:bottom w:val="none" w:sz="0" w:space="0" w:color="auto"/>
        <w:right w:val="none" w:sz="0" w:space="0" w:color="auto"/>
      </w:divBdr>
    </w:div>
    <w:div w:id="954751924">
      <w:bodyDiv w:val="1"/>
      <w:marLeft w:val="3"/>
      <w:marRight w:val="3"/>
      <w:marTop w:val="0"/>
      <w:marBottom w:val="0"/>
      <w:divBdr>
        <w:top w:val="none" w:sz="0" w:space="0" w:color="auto"/>
        <w:left w:val="none" w:sz="0" w:space="0" w:color="auto"/>
        <w:bottom w:val="none" w:sz="0" w:space="0" w:color="auto"/>
        <w:right w:val="none" w:sz="0" w:space="0" w:color="auto"/>
      </w:divBdr>
      <w:divsChild>
        <w:div w:id="1694498911">
          <w:marLeft w:val="0"/>
          <w:marRight w:val="0"/>
          <w:marTop w:val="180"/>
          <w:marBottom w:val="0"/>
          <w:divBdr>
            <w:top w:val="none" w:sz="0" w:space="0" w:color="auto"/>
            <w:left w:val="none" w:sz="0" w:space="0" w:color="auto"/>
            <w:bottom w:val="none" w:sz="0" w:space="0" w:color="auto"/>
            <w:right w:val="none" w:sz="0" w:space="0" w:color="auto"/>
          </w:divBdr>
          <w:divsChild>
            <w:div w:id="16851506">
              <w:marLeft w:val="0"/>
              <w:marRight w:val="0"/>
              <w:marTop w:val="0"/>
              <w:marBottom w:val="0"/>
              <w:divBdr>
                <w:top w:val="none" w:sz="0" w:space="0" w:color="auto"/>
                <w:left w:val="none" w:sz="0" w:space="0" w:color="auto"/>
                <w:bottom w:val="none" w:sz="0" w:space="0" w:color="auto"/>
                <w:right w:val="none" w:sz="0" w:space="0" w:color="auto"/>
              </w:divBdr>
              <w:divsChild>
                <w:div w:id="1884097313">
                  <w:marLeft w:val="0"/>
                  <w:marRight w:val="0"/>
                  <w:marTop w:val="0"/>
                  <w:marBottom w:val="0"/>
                  <w:divBdr>
                    <w:top w:val="none" w:sz="0" w:space="0" w:color="auto"/>
                    <w:left w:val="none" w:sz="0" w:space="0" w:color="auto"/>
                    <w:bottom w:val="none" w:sz="0" w:space="0" w:color="auto"/>
                    <w:right w:val="none" w:sz="0" w:space="0" w:color="auto"/>
                  </w:divBdr>
                  <w:divsChild>
                    <w:div w:id="859047492">
                      <w:marLeft w:val="0"/>
                      <w:marRight w:val="0"/>
                      <w:marTop w:val="0"/>
                      <w:marBottom w:val="0"/>
                      <w:divBdr>
                        <w:top w:val="none" w:sz="0" w:space="0" w:color="auto"/>
                        <w:left w:val="none" w:sz="0" w:space="0" w:color="auto"/>
                        <w:bottom w:val="none" w:sz="0" w:space="0" w:color="auto"/>
                        <w:right w:val="none" w:sz="0" w:space="0" w:color="auto"/>
                      </w:divBdr>
                      <w:divsChild>
                        <w:div w:id="1929538669">
                          <w:marLeft w:val="0"/>
                          <w:marRight w:val="0"/>
                          <w:marTop w:val="0"/>
                          <w:marBottom w:val="0"/>
                          <w:divBdr>
                            <w:top w:val="none" w:sz="0" w:space="0" w:color="auto"/>
                            <w:left w:val="none" w:sz="0" w:space="0" w:color="auto"/>
                            <w:bottom w:val="none" w:sz="0" w:space="0" w:color="auto"/>
                            <w:right w:val="none" w:sz="0" w:space="0" w:color="auto"/>
                          </w:divBdr>
                          <w:divsChild>
                            <w:div w:id="384722951">
                              <w:marLeft w:val="0"/>
                              <w:marRight w:val="0"/>
                              <w:marTop w:val="0"/>
                              <w:marBottom w:val="240"/>
                              <w:divBdr>
                                <w:top w:val="none" w:sz="0" w:space="0" w:color="auto"/>
                                <w:left w:val="none" w:sz="0" w:space="0" w:color="auto"/>
                                <w:bottom w:val="none" w:sz="0" w:space="0" w:color="auto"/>
                                <w:right w:val="none" w:sz="0" w:space="0" w:color="auto"/>
                              </w:divBdr>
                              <w:divsChild>
                                <w:div w:id="1351763610">
                                  <w:marLeft w:val="0"/>
                                  <w:marRight w:val="0"/>
                                  <w:marTop w:val="0"/>
                                  <w:marBottom w:val="0"/>
                                  <w:divBdr>
                                    <w:top w:val="none" w:sz="0" w:space="0" w:color="auto"/>
                                    <w:left w:val="none" w:sz="0" w:space="0" w:color="auto"/>
                                    <w:bottom w:val="none" w:sz="0" w:space="0" w:color="auto"/>
                                    <w:right w:val="none" w:sz="0" w:space="0" w:color="auto"/>
                                  </w:divBdr>
                                </w:div>
                              </w:divsChild>
                            </w:div>
                            <w:div w:id="1753618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9147">
      <w:bodyDiv w:val="1"/>
      <w:marLeft w:val="0"/>
      <w:marRight w:val="0"/>
      <w:marTop w:val="0"/>
      <w:marBottom w:val="0"/>
      <w:divBdr>
        <w:top w:val="none" w:sz="0" w:space="0" w:color="auto"/>
        <w:left w:val="none" w:sz="0" w:space="0" w:color="auto"/>
        <w:bottom w:val="none" w:sz="0" w:space="0" w:color="auto"/>
        <w:right w:val="none" w:sz="0" w:space="0" w:color="auto"/>
      </w:divBdr>
    </w:div>
    <w:div w:id="1036544350">
      <w:bodyDiv w:val="1"/>
      <w:marLeft w:val="0"/>
      <w:marRight w:val="0"/>
      <w:marTop w:val="0"/>
      <w:marBottom w:val="0"/>
      <w:divBdr>
        <w:top w:val="none" w:sz="0" w:space="0" w:color="auto"/>
        <w:left w:val="none" w:sz="0" w:space="0" w:color="auto"/>
        <w:bottom w:val="none" w:sz="0" w:space="0" w:color="auto"/>
        <w:right w:val="none" w:sz="0" w:space="0" w:color="auto"/>
      </w:divBdr>
    </w:div>
    <w:div w:id="1081949216">
      <w:bodyDiv w:val="1"/>
      <w:marLeft w:val="0"/>
      <w:marRight w:val="0"/>
      <w:marTop w:val="0"/>
      <w:marBottom w:val="0"/>
      <w:divBdr>
        <w:top w:val="none" w:sz="0" w:space="0" w:color="auto"/>
        <w:left w:val="none" w:sz="0" w:space="0" w:color="auto"/>
        <w:bottom w:val="none" w:sz="0" w:space="0" w:color="auto"/>
        <w:right w:val="none" w:sz="0" w:space="0" w:color="auto"/>
      </w:divBdr>
    </w:div>
    <w:div w:id="1125850143">
      <w:bodyDiv w:val="1"/>
      <w:marLeft w:val="0"/>
      <w:marRight w:val="0"/>
      <w:marTop w:val="0"/>
      <w:marBottom w:val="0"/>
      <w:divBdr>
        <w:top w:val="none" w:sz="0" w:space="0" w:color="auto"/>
        <w:left w:val="none" w:sz="0" w:space="0" w:color="auto"/>
        <w:bottom w:val="none" w:sz="0" w:space="0" w:color="auto"/>
        <w:right w:val="none" w:sz="0" w:space="0" w:color="auto"/>
      </w:divBdr>
    </w:div>
    <w:div w:id="1203520200">
      <w:bodyDiv w:val="1"/>
      <w:marLeft w:val="0"/>
      <w:marRight w:val="0"/>
      <w:marTop w:val="0"/>
      <w:marBottom w:val="0"/>
      <w:divBdr>
        <w:top w:val="none" w:sz="0" w:space="0" w:color="auto"/>
        <w:left w:val="none" w:sz="0" w:space="0" w:color="auto"/>
        <w:bottom w:val="none" w:sz="0" w:space="0" w:color="auto"/>
        <w:right w:val="none" w:sz="0" w:space="0" w:color="auto"/>
      </w:divBdr>
    </w:div>
    <w:div w:id="1214081170">
      <w:bodyDiv w:val="1"/>
      <w:marLeft w:val="0"/>
      <w:marRight w:val="0"/>
      <w:marTop w:val="0"/>
      <w:marBottom w:val="0"/>
      <w:divBdr>
        <w:top w:val="none" w:sz="0" w:space="0" w:color="auto"/>
        <w:left w:val="none" w:sz="0" w:space="0" w:color="auto"/>
        <w:bottom w:val="none" w:sz="0" w:space="0" w:color="auto"/>
        <w:right w:val="none" w:sz="0" w:space="0" w:color="auto"/>
      </w:divBdr>
    </w:div>
    <w:div w:id="1229459314">
      <w:bodyDiv w:val="1"/>
      <w:marLeft w:val="0"/>
      <w:marRight w:val="0"/>
      <w:marTop w:val="0"/>
      <w:marBottom w:val="0"/>
      <w:divBdr>
        <w:top w:val="none" w:sz="0" w:space="0" w:color="auto"/>
        <w:left w:val="none" w:sz="0" w:space="0" w:color="auto"/>
        <w:bottom w:val="none" w:sz="0" w:space="0" w:color="auto"/>
        <w:right w:val="none" w:sz="0" w:space="0" w:color="auto"/>
      </w:divBdr>
    </w:div>
    <w:div w:id="1282685420">
      <w:bodyDiv w:val="1"/>
      <w:marLeft w:val="0"/>
      <w:marRight w:val="0"/>
      <w:marTop w:val="0"/>
      <w:marBottom w:val="0"/>
      <w:divBdr>
        <w:top w:val="none" w:sz="0" w:space="0" w:color="auto"/>
        <w:left w:val="none" w:sz="0" w:space="0" w:color="auto"/>
        <w:bottom w:val="none" w:sz="0" w:space="0" w:color="auto"/>
        <w:right w:val="none" w:sz="0" w:space="0" w:color="auto"/>
      </w:divBdr>
    </w:div>
    <w:div w:id="1294826637">
      <w:bodyDiv w:val="1"/>
      <w:marLeft w:val="0"/>
      <w:marRight w:val="0"/>
      <w:marTop w:val="0"/>
      <w:marBottom w:val="0"/>
      <w:divBdr>
        <w:top w:val="none" w:sz="0" w:space="0" w:color="auto"/>
        <w:left w:val="none" w:sz="0" w:space="0" w:color="auto"/>
        <w:bottom w:val="none" w:sz="0" w:space="0" w:color="auto"/>
        <w:right w:val="none" w:sz="0" w:space="0" w:color="auto"/>
      </w:divBdr>
    </w:div>
    <w:div w:id="1308903396">
      <w:bodyDiv w:val="1"/>
      <w:marLeft w:val="0"/>
      <w:marRight w:val="0"/>
      <w:marTop w:val="0"/>
      <w:marBottom w:val="0"/>
      <w:divBdr>
        <w:top w:val="none" w:sz="0" w:space="0" w:color="auto"/>
        <w:left w:val="none" w:sz="0" w:space="0" w:color="auto"/>
        <w:bottom w:val="none" w:sz="0" w:space="0" w:color="auto"/>
        <w:right w:val="none" w:sz="0" w:space="0" w:color="auto"/>
      </w:divBdr>
      <w:divsChild>
        <w:div w:id="1214610987">
          <w:marLeft w:val="1166"/>
          <w:marRight w:val="0"/>
          <w:marTop w:val="0"/>
          <w:marBottom w:val="0"/>
          <w:divBdr>
            <w:top w:val="none" w:sz="0" w:space="0" w:color="auto"/>
            <w:left w:val="none" w:sz="0" w:space="0" w:color="auto"/>
            <w:bottom w:val="none" w:sz="0" w:space="0" w:color="auto"/>
            <w:right w:val="none" w:sz="0" w:space="0" w:color="auto"/>
          </w:divBdr>
        </w:div>
        <w:div w:id="1544095550">
          <w:marLeft w:val="1166"/>
          <w:marRight w:val="0"/>
          <w:marTop w:val="0"/>
          <w:marBottom w:val="0"/>
          <w:divBdr>
            <w:top w:val="none" w:sz="0" w:space="0" w:color="auto"/>
            <w:left w:val="none" w:sz="0" w:space="0" w:color="auto"/>
            <w:bottom w:val="none" w:sz="0" w:space="0" w:color="auto"/>
            <w:right w:val="none" w:sz="0" w:space="0" w:color="auto"/>
          </w:divBdr>
        </w:div>
        <w:div w:id="1604072380">
          <w:marLeft w:val="1166"/>
          <w:marRight w:val="0"/>
          <w:marTop w:val="0"/>
          <w:marBottom w:val="0"/>
          <w:divBdr>
            <w:top w:val="none" w:sz="0" w:space="0" w:color="auto"/>
            <w:left w:val="none" w:sz="0" w:space="0" w:color="auto"/>
            <w:bottom w:val="none" w:sz="0" w:space="0" w:color="auto"/>
            <w:right w:val="none" w:sz="0" w:space="0" w:color="auto"/>
          </w:divBdr>
        </w:div>
        <w:div w:id="2010214757">
          <w:marLeft w:val="547"/>
          <w:marRight w:val="0"/>
          <w:marTop w:val="0"/>
          <w:marBottom w:val="0"/>
          <w:divBdr>
            <w:top w:val="none" w:sz="0" w:space="0" w:color="auto"/>
            <w:left w:val="none" w:sz="0" w:space="0" w:color="auto"/>
            <w:bottom w:val="none" w:sz="0" w:space="0" w:color="auto"/>
            <w:right w:val="none" w:sz="0" w:space="0" w:color="auto"/>
          </w:divBdr>
        </w:div>
      </w:divsChild>
    </w:div>
    <w:div w:id="1316255763">
      <w:bodyDiv w:val="1"/>
      <w:marLeft w:val="0"/>
      <w:marRight w:val="0"/>
      <w:marTop w:val="0"/>
      <w:marBottom w:val="0"/>
      <w:divBdr>
        <w:top w:val="none" w:sz="0" w:space="0" w:color="auto"/>
        <w:left w:val="none" w:sz="0" w:space="0" w:color="auto"/>
        <w:bottom w:val="none" w:sz="0" w:space="0" w:color="auto"/>
        <w:right w:val="none" w:sz="0" w:space="0" w:color="auto"/>
      </w:divBdr>
    </w:div>
    <w:div w:id="1484151964">
      <w:bodyDiv w:val="1"/>
      <w:marLeft w:val="0"/>
      <w:marRight w:val="0"/>
      <w:marTop w:val="0"/>
      <w:marBottom w:val="0"/>
      <w:divBdr>
        <w:top w:val="none" w:sz="0" w:space="0" w:color="auto"/>
        <w:left w:val="none" w:sz="0" w:space="0" w:color="auto"/>
        <w:bottom w:val="none" w:sz="0" w:space="0" w:color="auto"/>
        <w:right w:val="none" w:sz="0" w:space="0" w:color="auto"/>
      </w:divBdr>
    </w:div>
    <w:div w:id="1493720658">
      <w:bodyDiv w:val="1"/>
      <w:marLeft w:val="0"/>
      <w:marRight w:val="0"/>
      <w:marTop w:val="0"/>
      <w:marBottom w:val="0"/>
      <w:divBdr>
        <w:top w:val="none" w:sz="0" w:space="0" w:color="auto"/>
        <w:left w:val="none" w:sz="0" w:space="0" w:color="auto"/>
        <w:bottom w:val="none" w:sz="0" w:space="0" w:color="auto"/>
        <w:right w:val="none" w:sz="0" w:space="0" w:color="auto"/>
      </w:divBdr>
    </w:div>
    <w:div w:id="1541624871">
      <w:bodyDiv w:val="1"/>
      <w:marLeft w:val="0"/>
      <w:marRight w:val="0"/>
      <w:marTop w:val="0"/>
      <w:marBottom w:val="0"/>
      <w:divBdr>
        <w:top w:val="none" w:sz="0" w:space="0" w:color="auto"/>
        <w:left w:val="none" w:sz="0" w:space="0" w:color="auto"/>
        <w:bottom w:val="none" w:sz="0" w:space="0" w:color="auto"/>
        <w:right w:val="none" w:sz="0" w:space="0" w:color="auto"/>
      </w:divBdr>
    </w:div>
    <w:div w:id="1554467762">
      <w:bodyDiv w:val="1"/>
      <w:marLeft w:val="0"/>
      <w:marRight w:val="0"/>
      <w:marTop w:val="0"/>
      <w:marBottom w:val="0"/>
      <w:divBdr>
        <w:top w:val="none" w:sz="0" w:space="0" w:color="auto"/>
        <w:left w:val="none" w:sz="0" w:space="0" w:color="auto"/>
        <w:bottom w:val="none" w:sz="0" w:space="0" w:color="auto"/>
        <w:right w:val="none" w:sz="0" w:space="0" w:color="auto"/>
      </w:divBdr>
    </w:div>
    <w:div w:id="1564440304">
      <w:bodyDiv w:val="1"/>
      <w:marLeft w:val="0"/>
      <w:marRight w:val="0"/>
      <w:marTop w:val="0"/>
      <w:marBottom w:val="0"/>
      <w:divBdr>
        <w:top w:val="none" w:sz="0" w:space="0" w:color="auto"/>
        <w:left w:val="none" w:sz="0" w:space="0" w:color="auto"/>
        <w:bottom w:val="none" w:sz="0" w:space="0" w:color="auto"/>
        <w:right w:val="none" w:sz="0" w:space="0" w:color="auto"/>
      </w:divBdr>
    </w:div>
    <w:div w:id="1575624368">
      <w:bodyDiv w:val="1"/>
      <w:marLeft w:val="0"/>
      <w:marRight w:val="0"/>
      <w:marTop w:val="0"/>
      <w:marBottom w:val="0"/>
      <w:divBdr>
        <w:top w:val="none" w:sz="0" w:space="0" w:color="auto"/>
        <w:left w:val="none" w:sz="0" w:space="0" w:color="auto"/>
        <w:bottom w:val="none" w:sz="0" w:space="0" w:color="auto"/>
        <w:right w:val="none" w:sz="0" w:space="0" w:color="auto"/>
      </w:divBdr>
    </w:div>
    <w:div w:id="1618558153">
      <w:bodyDiv w:val="1"/>
      <w:marLeft w:val="0"/>
      <w:marRight w:val="0"/>
      <w:marTop w:val="0"/>
      <w:marBottom w:val="0"/>
      <w:divBdr>
        <w:top w:val="none" w:sz="0" w:space="0" w:color="auto"/>
        <w:left w:val="none" w:sz="0" w:space="0" w:color="auto"/>
        <w:bottom w:val="none" w:sz="0" w:space="0" w:color="auto"/>
        <w:right w:val="none" w:sz="0" w:space="0" w:color="auto"/>
      </w:divBdr>
    </w:div>
    <w:div w:id="1624190081">
      <w:bodyDiv w:val="1"/>
      <w:marLeft w:val="0"/>
      <w:marRight w:val="0"/>
      <w:marTop w:val="0"/>
      <w:marBottom w:val="0"/>
      <w:divBdr>
        <w:top w:val="none" w:sz="0" w:space="0" w:color="auto"/>
        <w:left w:val="none" w:sz="0" w:space="0" w:color="auto"/>
        <w:bottom w:val="none" w:sz="0" w:space="0" w:color="auto"/>
        <w:right w:val="none" w:sz="0" w:space="0" w:color="auto"/>
      </w:divBdr>
    </w:div>
    <w:div w:id="1672290651">
      <w:bodyDiv w:val="1"/>
      <w:marLeft w:val="0"/>
      <w:marRight w:val="0"/>
      <w:marTop w:val="0"/>
      <w:marBottom w:val="0"/>
      <w:divBdr>
        <w:top w:val="none" w:sz="0" w:space="0" w:color="auto"/>
        <w:left w:val="none" w:sz="0" w:space="0" w:color="auto"/>
        <w:bottom w:val="none" w:sz="0" w:space="0" w:color="auto"/>
        <w:right w:val="none" w:sz="0" w:space="0" w:color="auto"/>
      </w:divBdr>
    </w:div>
    <w:div w:id="1674719299">
      <w:bodyDiv w:val="1"/>
      <w:marLeft w:val="0"/>
      <w:marRight w:val="0"/>
      <w:marTop w:val="0"/>
      <w:marBottom w:val="0"/>
      <w:divBdr>
        <w:top w:val="none" w:sz="0" w:space="0" w:color="auto"/>
        <w:left w:val="none" w:sz="0" w:space="0" w:color="auto"/>
        <w:bottom w:val="none" w:sz="0" w:space="0" w:color="auto"/>
        <w:right w:val="none" w:sz="0" w:space="0" w:color="auto"/>
      </w:divBdr>
    </w:div>
    <w:div w:id="1737049575">
      <w:bodyDiv w:val="1"/>
      <w:marLeft w:val="0"/>
      <w:marRight w:val="0"/>
      <w:marTop w:val="0"/>
      <w:marBottom w:val="0"/>
      <w:divBdr>
        <w:top w:val="none" w:sz="0" w:space="0" w:color="auto"/>
        <w:left w:val="none" w:sz="0" w:space="0" w:color="auto"/>
        <w:bottom w:val="none" w:sz="0" w:space="0" w:color="auto"/>
        <w:right w:val="none" w:sz="0" w:space="0" w:color="auto"/>
      </w:divBdr>
    </w:div>
    <w:div w:id="1737778946">
      <w:bodyDiv w:val="1"/>
      <w:marLeft w:val="0"/>
      <w:marRight w:val="0"/>
      <w:marTop w:val="0"/>
      <w:marBottom w:val="0"/>
      <w:divBdr>
        <w:top w:val="none" w:sz="0" w:space="0" w:color="auto"/>
        <w:left w:val="none" w:sz="0" w:space="0" w:color="auto"/>
        <w:bottom w:val="none" w:sz="0" w:space="0" w:color="auto"/>
        <w:right w:val="none" w:sz="0" w:space="0" w:color="auto"/>
      </w:divBdr>
    </w:div>
    <w:div w:id="1783652315">
      <w:bodyDiv w:val="1"/>
      <w:marLeft w:val="0"/>
      <w:marRight w:val="0"/>
      <w:marTop w:val="0"/>
      <w:marBottom w:val="0"/>
      <w:divBdr>
        <w:top w:val="none" w:sz="0" w:space="0" w:color="auto"/>
        <w:left w:val="none" w:sz="0" w:space="0" w:color="auto"/>
        <w:bottom w:val="none" w:sz="0" w:space="0" w:color="auto"/>
        <w:right w:val="none" w:sz="0" w:space="0" w:color="auto"/>
      </w:divBdr>
    </w:div>
    <w:div w:id="1787190260">
      <w:bodyDiv w:val="1"/>
      <w:marLeft w:val="0"/>
      <w:marRight w:val="0"/>
      <w:marTop w:val="0"/>
      <w:marBottom w:val="0"/>
      <w:divBdr>
        <w:top w:val="none" w:sz="0" w:space="0" w:color="auto"/>
        <w:left w:val="none" w:sz="0" w:space="0" w:color="auto"/>
        <w:bottom w:val="none" w:sz="0" w:space="0" w:color="auto"/>
        <w:right w:val="none" w:sz="0" w:space="0" w:color="auto"/>
      </w:divBdr>
    </w:div>
    <w:div w:id="1816992427">
      <w:bodyDiv w:val="1"/>
      <w:marLeft w:val="0"/>
      <w:marRight w:val="0"/>
      <w:marTop w:val="0"/>
      <w:marBottom w:val="0"/>
      <w:divBdr>
        <w:top w:val="none" w:sz="0" w:space="0" w:color="auto"/>
        <w:left w:val="none" w:sz="0" w:space="0" w:color="auto"/>
        <w:bottom w:val="none" w:sz="0" w:space="0" w:color="auto"/>
        <w:right w:val="none" w:sz="0" w:space="0" w:color="auto"/>
      </w:divBdr>
    </w:div>
    <w:div w:id="1817452737">
      <w:bodyDiv w:val="1"/>
      <w:marLeft w:val="0"/>
      <w:marRight w:val="0"/>
      <w:marTop w:val="0"/>
      <w:marBottom w:val="0"/>
      <w:divBdr>
        <w:top w:val="none" w:sz="0" w:space="0" w:color="auto"/>
        <w:left w:val="none" w:sz="0" w:space="0" w:color="auto"/>
        <w:bottom w:val="none" w:sz="0" w:space="0" w:color="auto"/>
        <w:right w:val="none" w:sz="0" w:space="0" w:color="auto"/>
      </w:divBdr>
    </w:div>
    <w:div w:id="1867283881">
      <w:bodyDiv w:val="1"/>
      <w:marLeft w:val="0"/>
      <w:marRight w:val="0"/>
      <w:marTop w:val="0"/>
      <w:marBottom w:val="0"/>
      <w:divBdr>
        <w:top w:val="none" w:sz="0" w:space="0" w:color="auto"/>
        <w:left w:val="none" w:sz="0" w:space="0" w:color="auto"/>
        <w:bottom w:val="none" w:sz="0" w:space="0" w:color="auto"/>
        <w:right w:val="none" w:sz="0" w:space="0" w:color="auto"/>
      </w:divBdr>
    </w:div>
    <w:div w:id="1899053716">
      <w:bodyDiv w:val="1"/>
      <w:marLeft w:val="0"/>
      <w:marRight w:val="0"/>
      <w:marTop w:val="0"/>
      <w:marBottom w:val="0"/>
      <w:divBdr>
        <w:top w:val="none" w:sz="0" w:space="0" w:color="auto"/>
        <w:left w:val="none" w:sz="0" w:space="0" w:color="auto"/>
        <w:bottom w:val="none" w:sz="0" w:space="0" w:color="auto"/>
        <w:right w:val="none" w:sz="0" w:space="0" w:color="auto"/>
      </w:divBdr>
    </w:div>
    <w:div w:id="1956863432">
      <w:bodyDiv w:val="1"/>
      <w:marLeft w:val="0"/>
      <w:marRight w:val="0"/>
      <w:marTop w:val="0"/>
      <w:marBottom w:val="0"/>
      <w:divBdr>
        <w:top w:val="none" w:sz="0" w:space="0" w:color="auto"/>
        <w:left w:val="none" w:sz="0" w:space="0" w:color="auto"/>
        <w:bottom w:val="none" w:sz="0" w:space="0" w:color="auto"/>
        <w:right w:val="none" w:sz="0" w:space="0" w:color="auto"/>
      </w:divBdr>
    </w:div>
    <w:div w:id="2020623497">
      <w:bodyDiv w:val="1"/>
      <w:marLeft w:val="0"/>
      <w:marRight w:val="0"/>
      <w:marTop w:val="0"/>
      <w:marBottom w:val="0"/>
      <w:divBdr>
        <w:top w:val="none" w:sz="0" w:space="0" w:color="auto"/>
        <w:left w:val="none" w:sz="0" w:space="0" w:color="auto"/>
        <w:bottom w:val="none" w:sz="0" w:space="0" w:color="auto"/>
        <w:right w:val="none" w:sz="0" w:space="0" w:color="auto"/>
      </w:divBdr>
    </w:div>
    <w:div w:id="2057729586">
      <w:bodyDiv w:val="1"/>
      <w:marLeft w:val="0"/>
      <w:marRight w:val="0"/>
      <w:marTop w:val="0"/>
      <w:marBottom w:val="0"/>
      <w:divBdr>
        <w:top w:val="none" w:sz="0" w:space="0" w:color="auto"/>
        <w:left w:val="none" w:sz="0" w:space="0" w:color="auto"/>
        <w:bottom w:val="none" w:sz="0" w:space="0" w:color="auto"/>
        <w:right w:val="none" w:sz="0" w:space="0" w:color="auto"/>
      </w:divBdr>
    </w:div>
    <w:div w:id="20819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aber.org.br//" TargetMode="External"/><Relationship Id="rId4" Type="http://schemas.openxmlformats.org/officeDocument/2006/relationships/settings" Target="settings.xml"/><Relationship Id="rId9" Type="http://schemas.openxmlformats.org/officeDocument/2006/relationships/hyperlink" Target="http://www.ibge.gov.b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Ada04</b:Tag>
    <b:SourceType>ArticleInAPeriodical</b:SourceType>
    <b:Guid>{FB56F448-04B4-4684-888A-1193E98AE017}</b:Guid>
    <b:LCID>0</b:LCID>
    <b:Author>
      <b:Author>
        <b:NameList>
          <b:Person>
            <b:Last>Adamson Dwight</b:Last>
            <b:First>David</b:First>
            <b:Middle>Clark,Mark Partidge</b:Middle>
          </b:Person>
        </b:NameList>
      </b:Author>
    </b:Author>
    <b:Title>Do urban agglomeration economies and amenities have a skill bias?</b:Title>
    <b:PeriodicalTitle>Journal of Regional Science</b:PeriodicalTitle>
    <b:Year>2004</b:Year>
    <b:RefOrder>2</b:RefOrder>
  </b:Source>
  <b:Source>
    <b:Tag>ADM</b:Tag>
    <b:SourceType>ElectronicSource</b:SourceType>
    <b:Guid>{0F4D187F-5B62-472D-A26E-B6A4A11C8C8D}</b:Guid>
    <b:LCID>0</b:LCID>
    <b:Title>ADMINISTRAÇÃO DAS HIDROVIAS DA AMAZÔNIA OCIDENTAL-AHIMOC</b:Title>
    <b:RefOrder>1</b:RefOrder>
  </b:Source>
</b:Sources>
</file>

<file path=customXml/itemProps1.xml><?xml version="1.0" encoding="utf-8"?>
<ds:datastoreItem xmlns:ds="http://schemas.openxmlformats.org/officeDocument/2006/customXml" ds:itemID="{9BC0AB2F-CCA7-43B9-B7DA-9528D8CC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12938</Words>
  <Characters>69870</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rrsilva</cp:lastModifiedBy>
  <cp:revision>7</cp:revision>
  <cp:lastPrinted>2011-03-30T11:17:00Z</cp:lastPrinted>
  <dcterms:created xsi:type="dcterms:W3CDTF">2011-07-20T12:11:00Z</dcterms:created>
  <dcterms:modified xsi:type="dcterms:W3CDTF">2011-07-20T13:58:00Z</dcterms:modified>
</cp:coreProperties>
</file>