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1B" w:rsidRPr="004D5365" w:rsidRDefault="007A0A9E" w:rsidP="00965681">
      <w:pPr>
        <w:jc w:val="center"/>
        <w:rPr>
          <w:b/>
        </w:rPr>
      </w:pPr>
      <w:r w:rsidRPr="004D5365">
        <w:rPr>
          <w:b/>
        </w:rPr>
        <w:t>Fluxos de conhecimento tecnológico</w:t>
      </w:r>
      <w:r w:rsidR="0000723D">
        <w:rPr>
          <w:b/>
        </w:rPr>
        <w:t xml:space="preserve">s </w:t>
      </w:r>
      <w:r w:rsidR="00F167F2" w:rsidRPr="004D5365">
        <w:rPr>
          <w:b/>
        </w:rPr>
        <w:t>intersetoriais d</w:t>
      </w:r>
      <w:r w:rsidR="00D2417A" w:rsidRPr="004D5365">
        <w:rPr>
          <w:b/>
        </w:rPr>
        <w:t>e</w:t>
      </w:r>
      <w:r w:rsidR="00F167F2" w:rsidRPr="004D5365">
        <w:rPr>
          <w:b/>
        </w:rPr>
        <w:t xml:space="preserve"> países do BRICS</w:t>
      </w:r>
      <w:r w:rsidR="00390EAA" w:rsidRPr="004D5365">
        <w:rPr>
          <w:b/>
        </w:rPr>
        <w:t xml:space="preserve">: </w:t>
      </w:r>
      <w:r w:rsidR="00C64207" w:rsidRPr="004D5365">
        <w:rPr>
          <w:b/>
        </w:rPr>
        <w:t>um</w:t>
      </w:r>
      <w:r w:rsidR="00F167F2" w:rsidRPr="004D5365">
        <w:rPr>
          <w:b/>
        </w:rPr>
        <w:t>a análise de insumo-produto</w:t>
      </w:r>
    </w:p>
    <w:p w:rsidR="0034081B" w:rsidRPr="004D5365" w:rsidRDefault="0034081B" w:rsidP="00965681"/>
    <w:p w:rsidR="00E80D4D" w:rsidRPr="004D5365" w:rsidRDefault="0034081B" w:rsidP="002147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D5365">
        <w:rPr>
          <w:rFonts w:ascii="Times New Roman" w:hAnsi="Times New Roman" w:cs="Times New Roman"/>
          <w:b/>
        </w:rPr>
        <w:t xml:space="preserve">RESUMO: </w:t>
      </w:r>
      <w:r w:rsidR="00E80D4D" w:rsidRPr="004D5365">
        <w:rPr>
          <w:rFonts w:ascii="Times New Roman" w:hAnsi="Times New Roman" w:cs="Times New Roman"/>
        </w:rPr>
        <w:t xml:space="preserve">Esse </w:t>
      </w:r>
      <w:r w:rsidR="00281717">
        <w:rPr>
          <w:rFonts w:ascii="Times New Roman" w:hAnsi="Times New Roman" w:cs="Times New Roman"/>
        </w:rPr>
        <w:t xml:space="preserve">artigo </w:t>
      </w:r>
      <w:r w:rsidR="00390EAA" w:rsidRPr="004D5365">
        <w:rPr>
          <w:rFonts w:ascii="Times New Roman" w:hAnsi="Times New Roman" w:cs="Times New Roman"/>
        </w:rPr>
        <w:t xml:space="preserve">avalia </w:t>
      </w:r>
      <w:r w:rsidR="00965681">
        <w:rPr>
          <w:rFonts w:ascii="Times New Roman" w:hAnsi="Times New Roman" w:cs="Times New Roman"/>
        </w:rPr>
        <w:t>o</w:t>
      </w:r>
      <w:r w:rsidR="00281717">
        <w:rPr>
          <w:rFonts w:ascii="Times New Roman" w:hAnsi="Times New Roman" w:cs="Times New Roman"/>
        </w:rPr>
        <w:t>S</w:t>
      </w:r>
      <w:r w:rsidR="00390EAA" w:rsidRPr="004D5365">
        <w:rPr>
          <w:rFonts w:ascii="Times New Roman" w:hAnsi="Times New Roman" w:cs="Times New Roman"/>
        </w:rPr>
        <w:t xml:space="preserve">istema </w:t>
      </w:r>
      <w:r w:rsidR="00281717">
        <w:rPr>
          <w:rFonts w:ascii="Times New Roman" w:hAnsi="Times New Roman" w:cs="Times New Roman"/>
        </w:rPr>
        <w:t>N</w:t>
      </w:r>
      <w:r w:rsidR="00390EAA" w:rsidRPr="004D5365">
        <w:rPr>
          <w:rFonts w:ascii="Times New Roman" w:hAnsi="Times New Roman" w:cs="Times New Roman"/>
        </w:rPr>
        <w:t xml:space="preserve">acional de </w:t>
      </w:r>
      <w:r w:rsidR="00281717">
        <w:rPr>
          <w:rFonts w:ascii="Times New Roman" w:hAnsi="Times New Roman" w:cs="Times New Roman"/>
        </w:rPr>
        <w:t>I</w:t>
      </w:r>
      <w:r w:rsidR="00390EAA" w:rsidRPr="004D5365">
        <w:rPr>
          <w:rFonts w:ascii="Times New Roman" w:hAnsi="Times New Roman" w:cs="Times New Roman"/>
        </w:rPr>
        <w:t>novação d</w:t>
      </w:r>
      <w:r w:rsidR="00281717">
        <w:rPr>
          <w:rFonts w:ascii="Times New Roman" w:hAnsi="Times New Roman" w:cs="Times New Roman"/>
        </w:rPr>
        <w:t>e países do</w:t>
      </w:r>
      <w:r w:rsidR="00C64207" w:rsidRPr="004D5365">
        <w:rPr>
          <w:rFonts w:ascii="Times New Roman" w:hAnsi="Times New Roman" w:cs="Times New Roman"/>
        </w:rPr>
        <w:t>B</w:t>
      </w:r>
      <w:r w:rsidR="00390EAA" w:rsidRPr="004D5365">
        <w:rPr>
          <w:rFonts w:ascii="Times New Roman" w:hAnsi="Times New Roman" w:cs="Times New Roman"/>
        </w:rPr>
        <w:t xml:space="preserve">RICS </w:t>
      </w:r>
      <w:r w:rsidR="00281717">
        <w:rPr>
          <w:rFonts w:ascii="Times New Roman" w:hAnsi="Times New Roman" w:cs="Times New Roman"/>
        </w:rPr>
        <w:t xml:space="preserve">no que tange a ligações </w:t>
      </w:r>
      <w:r w:rsidR="0021474E">
        <w:rPr>
          <w:rFonts w:ascii="Times New Roman" w:hAnsi="Times New Roman" w:cs="Times New Roman"/>
        </w:rPr>
        <w:t xml:space="preserve">setoriais entre usuário e produtor e a fluxos de conhecimento tecnológico de setores produtivos de Brasil, Rússia, China e África do Sul. Utiliza-se a abordagem de </w:t>
      </w:r>
      <w:r w:rsidR="00965681">
        <w:rPr>
          <w:rFonts w:ascii="Times New Roman" w:hAnsi="Times New Roman" w:cs="Times New Roman"/>
        </w:rPr>
        <w:t>insumo-</w:t>
      </w:r>
      <w:r w:rsidR="00C64207" w:rsidRPr="004D5365">
        <w:rPr>
          <w:rFonts w:ascii="Times New Roman" w:hAnsi="Times New Roman" w:cs="Times New Roman"/>
        </w:rPr>
        <w:t>produto</w:t>
      </w:r>
      <w:r w:rsidR="0021474E">
        <w:rPr>
          <w:rFonts w:ascii="Times New Roman" w:hAnsi="Times New Roman" w:cs="Times New Roman"/>
        </w:rPr>
        <w:t xml:space="preserve">, combinada com estatísticas setoriais de P&amp;D, a partir de metodologia proposta por </w:t>
      </w:r>
      <w:r w:rsidR="00C64207" w:rsidRPr="004D5365">
        <w:rPr>
          <w:rFonts w:ascii="Times New Roman" w:hAnsi="Times New Roman" w:cs="Times New Roman"/>
        </w:rPr>
        <w:t xml:space="preserve">Hauknes e Knell (2009). </w:t>
      </w:r>
      <w:r w:rsidR="00922158" w:rsidRPr="004D5365">
        <w:rPr>
          <w:rFonts w:ascii="Times New Roman" w:hAnsi="Times New Roman" w:cs="Times New Roman"/>
        </w:rPr>
        <w:t>S</w:t>
      </w:r>
      <w:r w:rsidR="00E80D4D" w:rsidRPr="004D5365">
        <w:rPr>
          <w:rFonts w:ascii="Times New Roman" w:hAnsi="Times New Roman" w:cs="Times New Roman"/>
        </w:rPr>
        <w:t>ão utilizadas as matrizes insumo-produto d</w:t>
      </w:r>
      <w:r w:rsidR="00965681">
        <w:rPr>
          <w:rFonts w:ascii="Times New Roman" w:hAnsi="Times New Roman" w:cs="Times New Roman"/>
        </w:rPr>
        <w:t xml:space="preserve">e </w:t>
      </w:r>
      <w:r w:rsidR="0021474E">
        <w:rPr>
          <w:rFonts w:ascii="Times New Roman" w:hAnsi="Times New Roman" w:cs="Times New Roman"/>
        </w:rPr>
        <w:t xml:space="preserve">2005 para </w:t>
      </w:r>
      <w:r w:rsidR="00965681">
        <w:rPr>
          <w:rFonts w:ascii="Times New Roman" w:hAnsi="Times New Roman" w:cs="Times New Roman"/>
        </w:rPr>
        <w:t>Brasil</w:t>
      </w:r>
      <w:r w:rsidR="0021474E">
        <w:rPr>
          <w:rFonts w:ascii="Times New Roman" w:hAnsi="Times New Roman" w:cs="Times New Roman"/>
        </w:rPr>
        <w:t xml:space="preserve"> e África do Sul e de 2000 para </w:t>
      </w:r>
      <w:r w:rsidR="00965681">
        <w:rPr>
          <w:rFonts w:ascii="Times New Roman" w:hAnsi="Times New Roman" w:cs="Times New Roman"/>
        </w:rPr>
        <w:t xml:space="preserve">Rússia </w:t>
      </w:r>
      <w:r w:rsidR="0021474E">
        <w:rPr>
          <w:rFonts w:ascii="Times New Roman" w:hAnsi="Times New Roman" w:cs="Times New Roman"/>
        </w:rPr>
        <w:t>e</w:t>
      </w:r>
      <w:r w:rsidR="00965681">
        <w:rPr>
          <w:rFonts w:ascii="Times New Roman" w:hAnsi="Times New Roman" w:cs="Times New Roman"/>
        </w:rPr>
        <w:t xml:space="preserve"> China</w:t>
      </w:r>
      <w:r w:rsidR="0021474E">
        <w:rPr>
          <w:rFonts w:ascii="Times New Roman" w:hAnsi="Times New Roman" w:cs="Times New Roman"/>
        </w:rPr>
        <w:t>, d</w:t>
      </w:r>
      <w:r w:rsidR="00E80D4D" w:rsidRPr="004D5365">
        <w:rPr>
          <w:rFonts w:ascii="Times New Roman" w:hAnsi="Times New Roman" w:cs="Times New Roman"/>
        </w:rPr>
        <w:t>isponibilizadas pela</w:t>
      </w:r>
      <w:r w:rsidR="00747205" w:rsidRPr="004D5365">
        <w:rPr>
          <w:rFonts w:ascii="Times New Roman" w:hAnsi="Times New Roman" w:cs="Times New Roman"/>
          <w:color w:val="auto"/>
        </w:rPr>
        <w:t xml:space="preserve"> Organização para Cooperação e Desenvolvimento Econômico (OCDE)</w:t>
      </w:r>
      <w:r w:rsidR="0021474E">
        <w:rPr>
          <w:rFonts w:ascii="Times New Roman" w:hAnsi="Times New Roman" w:cs="Times New Roman"/>
          <w:color w:val="auto"/>
        </w:rPr>
        <w:t xml:space="preserve">, assim como </w:t>
      </w:r>
      <w:r w:rsidR="00E80D4D" w:rsidRPr="004D5365">
        <w:rPr>
          <w:rFonts w:ascii="Times New Roman" w:hAnsi="Times New Roman" w:cs="Times New Roman"/>
        </w:rPr>
        <w:t xml:space="preserve">dados de </w:t>
      </w:r>
      <w:r w:rsidR="0021474E">
        <w:rPr>
          <w:rFonts w:ascii="Times New Roman" w:hAnsi="Times New Roman" w:cs="Times New Roman"/>
        </w:rPr>
        <w:t xml:space="preserve">P&amp;D </w:t>
      </w:r>
      <w:r w:rsidR="00E80D4D" w:rsidRPr="004D5365">
        <w:rPr>
          <w:rFonts w:ascii="Times New Roman" w:hAnsi="Times New Roman" w:cs="Times New Roman"/>
        </w:rPr>
        <w:t xml:space="preserve">da ANBERD </w:t>
      </w:r>
      <w:r w:rsidR="0021474E">
        <w:rPr>
          <w:rFonts w:ascii="Times New Roman" w:hAnsi="Times New Roman" w:cs="Times New Roman"/>
        </w:rPr>
        <w:t>e da PINTEC</w:t>
      </w:r>
      <w:r w:rsidR="00E80D4D" w:rsidRPr="004D5365">
        <w:rPr>
          <w:rFonts w:ascii="Times New Roman" w:hAnsi="Times New Roman" w:cs="Times New Roman"/>
        </w:rPr>
        <w:t>.</w:t>
      </w:r>
      <w:r w:rsidR="00965681">
        <w:rPr>
          <w:rFonts w:ascii="Times New Roman" w:hAnsi="Times New Roman" w:cs="Times New Roman"/>
        </w:rPr>
        <w:t xml:space="preserve"> Os principais resultados apontam </w:t>
      </w:r>
      <w:r w:rsidR="0021474E">
        <w:rPr>
          <w:rFonts w:ascii="Times New Roman" w:hAnsi="Times New Roman" w:cs="Times New Roman"/>
        </w:rPr>
        <w:t xml:space="preserve">que, em comparação com países desenvolvidos, há diferenças significativas em termos de setores que podem ser considerados produtores e utilizadores de tecnologia nos BRICS. Além disso, </w:t>
      </w:r>
      <w:r w:rsidR="0087784E">
        <w:rPr>
          <w:rFonts w:ascii="Times New Roman" w:hAnsi="Times New Roman" w:cs="Times New Roman"/>
        </w:rPr>
        <w:t xml:space="preserve">em alguns setores, pode-se observar que as direções dos </w:t>
      </w:r>
      <w:r w:rsidR="0021474E">
        <w:rPr>
          <w:rFonts w:ascii="Times New Roman" w:hAnsi="Times New Roman" w:cs="Times New Roman"/>
        </w:rPr>
        <w:t>fluxos de conhecimento tecnológico</w:t>
      </w:r>
      <w:r w:rsidR="0087784E">
        <w:rPr>
          <w:rFonts w:ascii="Times New Roman" w:hAnsi="Times New Roman" w:cs="Times New Roman"/>
        </w:rPr>
        <w:t xml:space="preserve"> seguem o mesmo sentido de países desenvolvidos, ressaltando a importância de setores de alta e média tecnologia para a produção, difusão e uso de conhecimento tecnológico.</w:t>
      </w:r>
    </w:p>
    <w:p w:rsidR="0034081B" w:rsidRPr="004D5365" w:rsidRDefault="0034081B" w:rsidP="00965681">
      <w:pPr>
        <w:ind w:firstLine="708"/>
      </w:pPr>
    </w:p>
    <w:p w:rsidR="0034081B" w:rsidRPr="004D5365" w:rsidRDefault="0034081B" w:rsidP="00965681">
      <w:r w:rsidRPr="004D5365">
        <w:rPr>
          <w:b/>
        </w:rPr>
        <w:t xml:space="preserve">PALAVRAS-CHAVE: </w:t>
      </w:r>
      <w:r w:rsidRPr="004D5365">
        <w:t xml:space="preserve">BRICS, </w:t>
      </w:r>
      <w:r w:rsidR="0087784E">
        <w:t xml:space="preserve">P&amp;D, </w:t>
      </w:r>
      <w:r w:rsidRPr="004D5365">
        <w:t xml:space="preserve">Conhecimento Incorporado, </w:t>
      </w:r>
      <w:r w:rsidR="0087784E">
        <w:t>Insumo-Produto</w:t>
      </w:r>
      <w:r w:rsidRPr="004D5365">
        <w:t>.</w:t>
      </w:r>
    </w:p>
    <w:p w:rsidR="0034081B" w:rsidRPr="004D5365" w:rsidRDefault="0034081B" w:rsidP="00965681"/>
    <w:p w:rsidR="008C3B13" w:rsidRDefault="0034081B" w:rsidP="00965681">
      <w:pPr>
        <w:rPr>
          <w:lang w:val="en-US"/>
        </w:rPr>
      </w:pPr>
      <w:r w:rsidRPr="0017645C">
        <w:rPr>
          <w:b/>
          <w:lang w:val="en-US"/>
        </w:rPr>
        <w:t>ABSTRACT:</w:t>
      </w:r>
      <w:r w:rsidR="00965681" w:rsidRPr="0017645C">
        <w:rPr>
          <w:lang w:val="en-US"/>
        </w:rPr>
        <w:t xml:space="preserve"> The </w:t>
      </w:r>
      <w:r w:rsidR="0017645C" w:rsidRPr="0017645C">
        <w:rPr>
          <w:lang w:val="en-US"/>
        </w:rPr>
        <w:t xml:space="preserve">aim </w:t>
      </w:r>
      <w:r w:rsidR="00965681" w:rsidRPr="0017645C">
        <w:rPr>
          <w:lang w:val="en-US"/>
        </w:rPr>
        <w:t xml:space="preserve">of this paper is to evaluate the </w:t>
      </w:r>
      <w:r w:rsidR="00E965C5">
        <w:rPr>
          <w:lang w:val="en-US"/>
        </w:rPr>
        <w:t>N</w:t>
      </w:r>
      <w:r w:rsidR="00965681" w:rsidRPr="0017645C">
        <w:rPr>
          <w:lang w:val="en-US"/>
        </w:rPr>
        <w:t xml:space="preserve">ational </w:t>
      </w:r>
      <w:r w:rsidR="00E965C5">
        <w:rPr>
          <w:lang w:val="en-US"/>
        </w:rPr>
        <w:t>I</w:t>
      </w:r>
      <w:r w:rsidR="00965681" w:rsidRPr="0017645C">
        <w:rPr>
          <w:lang w:val="en-US"/>
        </w:rPr>
        <w:t xml:space="preserve">nnovation </w:t>
      </w:r>
      <w:r w:rsidR="00E965C5">
        <w:rPr>
          <w:lang w:val="en-US"/>
        </w:rPr>
        <w:t>S</w:t>
      </w:r>
      <w:r w:rsidR="00965681" w:rsidRPr="0017645C">
        <w:rPr>
          <w:lang w:val="en-US"/>
        </w:rPr>
        <w:t>ystem of the BRICS countries</w:t>
      </w:r>
      <w:r w:rsidR="00E965C5">
        <w:rPr>
          <w:lang w:val="en-US"/>
        </w:rPr>
        <w:t xml:space="preserve">, emphasizing </w:t>
      </w:r>
      <w:r w:rsidR="001D2D99">
        <w:rPr>
          <w:lang w:val="en-US"/>
        </w:rPr>
        <w:t>industry</w:t>
      </w:r>
      <w:r w:rsidR="00E965C5">
        <w:rPr>
          <w:lang w:val="en-US"/>
        </w:rPr>
        <w:t xml:space="preserve"> linkages between user and producer sectors and technological knowledge flows between productive sectors in Brazil, Russia, China and South Africa. Based on an input-output tables for Brazil and </w:t>
      </w:r>
      <w:r w:rsidR="007B4E67">
        <w:rPr>
          <w:lang w:val="en-US"/>
        </w:rPr>
        <w:t xml:space="preserve">South Africa (2005) and Russia and China (2000), drawn from </w:t>
      </w:r>
      <w:r w:rsidR="007B4E67" w:rsidRPr="0017645C">
        <w:rPr>
          <w:lang w:val="en-US"/>
        </w:rPr>
        <w:t>Organization for Economic Cooperation and Development (OECD)</w:t>
      </w:r>
      <w:r w:rsidR="007B4E67">
        <w:rPr>
          <w:lang w:val="en-US"/>
        </w:rPr>
        <w:t xml:space="preserve">, as well as R&amp;D data from ANBERD for Russia, China and South Africa, and from </w:t>
      </w:r>
      <w:r w:rsidR="007B4E67" w:rsidRPr="00263C03">
        <w:rPr>
          <w:lang w:val="en-US"/>
        </w:rPr>
        <w:t>Technological Innovation Survey (PINTEC)</w:t>
      </w:r>
      <w:r w:rsidR="007B4E67">
        <w:rPr>
          <w:lang w:val="en-US"/>
        </w:rPr>
        <w:t xml:space="preserve"> for Brazil. </w:t>
      </w:r>
      <w:r w:rsidR="00080D1F" w:rsidRPr="0017645C">
        <w:rPr>
          <w:lang w:val="en-US"/>
        </w:rPr>
        <w:t xml:space="preserve">The main results points towards </w:t>
      </w:r>
      <w:r w:rsidR="007B4E67">
        <w:rPr>
          <w:lang w:val="en-US"/>
        </w:rPr>
        <w:t xml:space="preserve">significant differences among </w:t>
      </w:r>
      <w:r w:rsidR="001D2D99">
        <w:rPr>
          <w:lang w:val="en-US"/>
        </w:rPr>
        <w:t>industries</w:t>
      </w:r>
      <w:r w:rsidR="007B4E67">
        <w:rPr>
          <w:lang w:val="en-US"/>
        </w:rPr>
        <w:t xml:space="preserve"> which could be considered technological producers or users in the BRICS countries, in comparison with developed countries. Besides, for some </w:t>
      </w:r>
      <w:r w:rsidR="001D2D99">
        <w:rPr>
          <w:lang w:val="en-US"/>
        </w:rPr>
        <w:t>industries</w:t>
      </w:r>
      <w:r w:rsidR="007B4E67">
        <w:rPr>
          <w:lang w:val="en-US"/>
        </w:rPr>
        <w:t xml:space="preserve">, </w:t>
      </w:r>
      <w:r w:rsidR="008C3B13">
        <w:rPr>
          <w:lang w:val="en-US"/>
        </w:rPr>
        <w:t xml:space="preserve">the directions </w:t>
      </w:r>
      <w:r w:rsidR="001D2D99">
        <w:rPr>
          <w:lang w:val="en-US"/>
        </w:rPr>
        <w:t>of technological knowledge flows are the same than those observed in developed countries, highlighting the importance of high and medium technology industries for the production, diffusion and use of technology.</w:t>
      </w:r>
    </w:p>
    <w:p w:rsidR="00922158" w:rsidRPr="0017645C" w:rsidRDefault="00922158" w:rsidP="00965681">
      <w:pPr>
        <w:rPr>
          <w:lang w:val="en-US"/>
        </w:rPr>
      </w:pPr>
    </w:p>
    <w:p w:rsidR="0034081B" w:rsidRPr="004D5365" w:rsidRDefault="0034081B" w:rsidP="00965681">
      <w:pPr>
        <w:rPr>
          <w:i/>
          <w:u w:val="single"/>
          <w:lang w:val="en-US"/>
        </w:rPr>
      </w:pPr>
      <w:r w:rsidRPr="0017645C">
        <w:rPr>
          <w:b/>
          <w:lang w:val="en-US"/>
        </w:rPr>
        <w:t xml:space="preserve">KEY-WORDS: </w:t>
      </w:r>
      <w:r w:rsidRPr="0017645C">
        <w:rPr>
          <w:lang w:val="en-US"/>
        </w:rPr>
        <w:t xml:space="preserve">BRICS, </w:t>
      </w:r>
      <w:r w:rsidR="0017645C">
        <w:rPr>
          <w:lang w:val="en-US"/>
        </w:rPr>
        <w:t xml:space="preserve">R&amp;D, </w:t>
      </w:r>
      <w:r w:rsidRPr="0017645C">
        <w:rPr>
          <w:lang w:val="en-US"/>
        </w:rPr>
        <w:t>Embodied Knowledge</w:t>
      </w:r>
      <w:r w:rsidR="0017645C">
        <w:rPr>
          <w:lang w:val="en-US"/>
        </w:rPr>
        <w:t>, Input-Output.</w:t>
      </w:r>
    </w:p>
    <w:p w:rsidR="0034081B" w:rsidRPr="004D5365" w:rsidRDefault="0034081B" w:rsidP="00965681">
      <w:pPr>
        <w:rPr>
          <w:lang w:val="en-US"/>
        </w:rPr>
      </w:pPr>
    </w:p>
    <w:p w:rsidR="0034081B" w:rsidRPr="004D5365" w:rsidRDefault="0034081B" w:rsidP="00965681">
      <w:r w:rsidRPr="004D5365">
        <w:rPr>
          <w:b/>
        </w:rPr>
        <w:t xml:space="preserve">JEL CODE: </w:t>
      </w:r>
      <w:r w:rsidR="00603F36" w:rsidRPr="00603F36">
        <w:t>O57, O30, R15.</w:t>
      </w:r>
    </w:p>
    <w:p w:rsidR="0034081B" w:rsidRPr="004D5365" w:rsidRDefault="0034081B" w:rsidP="00965681"/>
    <w:p w:rsidR="00DA58B9" w:rsidRPr="00247537" w:rsidRDefault="00DA58B9" w:rsidP="00965681">
      <w:pPr>
        <w:pStyle w:val="PargrafodaLista1"/>
        <w:numPr>
          <w:ilvl w:val="0"/>
          <w:numId w:val="1"/>
        </w:numPr>
        <w:rPr>
          <w:b/>
        </w:rPr>
      </w:pPr>
      <w:r>
        <w:rPr>
          <w:b/>
        </w:rPr>
        <w:t>Introdução</w:t>
      </w:r>
    </w:p>
    <w:p w:rsidR="000A31D2" w:rsidRDefault="008B3995" w:rsidP="00965681">
      <w:pPr>
        <w:autoSpaceDE w:val="0"/>
        <w:autoSpaceDN w:val="0"/>
        <w:adjustRightInd w:val="0"/>
        <w:ind w:firstLine="708"/>
        <w:rPr>
          <w:iCs/>
          <w:szCs w:val="24"/>
        </w:rPr>
      </w:pPr>
      <w:r>
        <w:t>Esse artigo tem o propósito de explorar os fluxos de conhecimento tecnológico intersetoriais do Brasil, China, Rússia e África do Sul. Para tanto, utiliza</w:t>
      </w:r>
      <w:r w:rsidR="003D1D01">
        <w:t>-se a</w:t>
      </w:r>
      <w:r>
        <w:t xml:space="preserve"> metodologia de Hauknes e Knell (2009) que combina a abordagem de insumo-produto com dados de Pesquisa e Desenvolvimento (P&amp;D), seguindo a tradição inaugurada por Scherer (1982)</w:t>
      </w:r>
      <w:r w:rsidR="000A31D2">
        <w:t xml:space="preserve">, </w:t>
      </w:r>
      <w:r>
        <w:t>Papaconstantinou</w:t>
      </w:r>
      <w:r w:rsidRPr="001B102B">
        <w:rPr>
          <w:i/>
        </w:rPr>
        <w:t>et al</w:t>
      </w:r>
      <w:r>
        <w:t>. (1998)</w:t>
      </w:r>
      <w:r w:rsidR="000A31D2">
        <w:t xml:space="preserve">, </w:t>
      </w:r>
      <w:r w:rsidR="000A31D2" w:rsidRPr="009B23E8">
        <w:rPr>
          <w:szCs w:val="24"/>
        </w:rPr>
        <w:t>Wolff (1997)</w:t>
      </w:r>
      <w:r w:rsidR="000A31D2">
        <w:rPr>
          <w:szCs w:val="24"/>
        </w:rPr>
        <w:t xml:space="preserve">, </w:t>
      </w:r>
      <w:r w:rsidR="000A31D2" w:rsidRPr="0003649F">
        <w:rPr>
          <w:bCs/>
          <w:szCs w:val="24"/>
        </w:rPr>
        <w:t>Van</w:t>
      </w:r>
      <w:r w:rsidR="000A31D2" w:rsidRPr="0003649F">
        <w:rPr>
          <w:szCs w:val="24"/>
        </w:rPr>
        <w:t>Meijl (1997)</w:t>
      </w:r>
      <w:r w:rsidR="000A31D2">
        <w:rPr>
          <w:szCs w:val="24"/>
        </w:rPr>
        <w:t xml:space="preserve">, </w:t>
      </w:r>
      <w:r w:rsidR="000A31D2" w:rsidRPr="0003649F">
        <w:rPr>
          <w:szCs w:val="24"/>
        </w:rPr>
        <w:t>Sakurai</w:t>
      </w:r>
      <w:r w:rsidR="000A31D2" w:rsidRPr="001269A5">
        <w:rPr>
          <w:i/>
          <w:szCs w:val="24"/>
        </w:rPr>
        <w:t>et al</w:t>
      </w:r>
      <w:r w:rsidR="000A31D2">
        <w:rPr>
          <w:i/>
          <w:szCs w:val="24"/>
        </w:rPr>
        <w:t>.</w:t>
      </w:r>
      <w:r w:rsidR="000A31D2" w:rsidRPr="0003649F">
        <w:rPr>
          <w:szCs w:val="24"/>
        </w:rPr>
        <w:t xml:space="preserve"> (1997)</w:t>
      </w:r>
      <w:r w:rsidR="000A31D2">
        <w:rPr>
          <w:szCs w:val="24"/>
        </w:rPr>
        <w:t>,</w:t>
      </w:r>
      <w:r w:rsidR="000A31D2" w:rsidRPr="0003649F">
        <w:rPr>
          <w:szCs w:val="24"/>
        </w:rPr>
        <w:t>Vuori (1997)</w:t>
      </w:r>
      <w:r w:rsidR="000A31D2">
        <w:rPr>
          <w:szCs w:val="24"/>
        </w:rPr>
        <w:t xml:space="preserve"> e </w:t>
      </w:r>
      <w:r w:rsidR="000A31D2" w:rsidRPr="00DB7DE9">
        <w:rPr>
          <w:iCs/>
          <w:szCs w:val="24"/>
        </w:rPr>
        <w:t>Verspagen (1997)</w:t>
      </w:r>
      <w:r w:rsidR="000A31D2">
        <w:rPr>
          <w:iCs/>
          <w:szCs w:val="24"/>
        </w:rPr>
        <w:t xml:space="preserve">. </w:t>
      </w:r>
    </w:p>
    <w:p w:rsidR="008B3995" w:rsidRDefault="008B3995" w:rsidP="00965681">
      <w:pPr>
        <w:ind w:firstLine="708"/>
      </w:pPr>
      <w:r>
        <w:t xml:space="preserve">Diferentemente desses autores, porém, </w:t>
      </w:r>
      <w:r w:rsidR="001B102B">
        <w:t>H</w:t>
      </w:r>
      <w:r>
        <w:t>auknes e Knell (2009) reformulam e estendem a abordagem para captar</w:t>
      </w:r>
      <w:r w:rsidR="003D1D01">
        <w:t>,</w:t>
      </w:r>
      <w:r>
        <w:t xml:space="preserve"> de forma mais precisa,</w:t>
      </w:r>
      <w:r w:rsidR="003D1D01">
        <w:t xml:space="preserve"> os fluxos de conhecimento tecnológico, considerando a interação de setor por setor e evitando problemas de dupla contagem. Ao mesmo tempo, Hauknes e Knell (2009) avançam no sentido de agrupar os setores da matriz de insumo-produto por intensidade tecnológica, considerando e ampliando a taxonomia </w:t>
      </w:r>
      <w:r w:rsidR="00AC6B2F">
        <w:t xml:space="preserve">originariamente estabelecida por </w:t>
      </w:r>
      <w:r w:rsidR="003D1D01">
        <w:t>Pavitt (1984).</w:t>
      </w:r>
    </w:p>
    <w:p w:rsidR="00CD0487" w:rsidRDefault="00CD0487" w:rsidP="00965681">
      <w:pPr>
        <w:ind w:firstLine="708"/>
      </w:pPr>
      <w:r>
        <w:t>Ao realçar a interdependência setorial no que tange a fluxos produtivos e de conhecimento tecnológico, a abordagem metodológica permite explicitar algumas características de um Sistema Nacional de Inovação - SNI. Segundo Cassiolato e Lastres (2011</w:t>
      </w:r>
      <w:r w:rsidR="00217B5C">
        <w:t>, p. 3</w:t>
      </w:r>
      <w:r>
        <w:t xml:space="preserve">), um sistema de inovação "compreende uma série de elementos </w:t>
      </w:r>
      <w:r w:rsidR="00217B5C">
        <w:t xml:space="preserve">e relações que juntas ligam produção, assimilação, uso e difusão de conhecimento". </w:t>
      </w:r>
    </w:p>
    <w:p w:rsidR="00231B9E" w:rsidRDefault="00217B5C" w:rsidP="00965681">
      <w:pPr>
        <w:ind w:firstLine="708"/>
        <w:rPr>
          <w:rFonts w:ascii="TimesNewRomanPSMT" w:hAnsi="TimesNewRomanPSMT" w:cs="TimesNewRomanPSMT"/>
          <w:szCs w:val="24"/>
        </w:rPr>
      </w:pPr>
      <w:r>
        <w:lastRenderedPageBreak/>
        <w:t xml:space="preserve">O conhecimento tecnológico é tradicionalmente medido por </w:t>
      </w:r>
      <w:r w:rsidR="00231B9E">
        <w:t xml:space="preserve">medidas de insumo inovador como os </w:t>
      </w:r>
      <w:r>
        <w:t xml:space="preserve">gastos </w:t>
      </w:r>
      <w:r w:rsidR="00231B9E">
        <w:t>em</w:t>
      </w:r>
      <w:r>
        <w:t xml:space="preserve"> Pesquisa e Desenvolvimento (P&amp;D)</w:t>
      </w:r>
      <w:r w:rsidR="00231B9E">
        <w:t xml:space="preserve">. Entretanto, o conhecimento tecnológico produzido por um setor não se limita aos gastos em P&amp;D que ele efetua, pois as relações de compra e venda intersetoriais permitem que os setores adquiram conhecimento tecnológico incorporado em </w:t>
      </w:r>
      <w:r>
        <w:t xml:space="preserve">insumos e bens de capital. </w:t>
      </w:r>
      <w:r w:rsidR="00231B9E">
        <w:t xml:space="preserve">É por isso que </w:t>
      </w:r>
      <w:r w:rsidR="00231B9E" w:rsidRPr="00F96394">
        <w:rPr>
          <w:rFonts w:ascii="TimesNewRomanPSMT" w:hAnsi="TimesNewRomanPSMT" w:cs="TimesNewRomanPSMT"/>
          <w:szCs w:val="24"/>
        </w:rPr>
        <w:t>Schmookler (1966)</w:t>
      </w:r>
      <w:r w:rsidR="00231B9E">
        <w:rPr>
          <w:rFonts w:ascii="TimesNewRomanPSMT" w:hAnsi="TimesNewRomanPSMT" w:cs="TimesNewRomanPSMT"/>
          <w:szCs w:val="24"/>
        </w:rPr>
        <w:t>, por exemplo,</w:t>
      </w:r>
      <w:r w:rsidR="00231B9E" w:rsidRPr="00F96394">
        <w:rPr>
          <w:rFonts w:ascii="TimesNewRomanPSMT" w:hAnsi="TimesNewRomanPSMT" w:cs="TimesNewRomanPSMT"/>
          <w:szCs w:val="24"/>
        </w:rPr>
        <w:t xml:space="preserve"> associa as melhorias de desempenho tecnológico </w:t>
      </w:r>
      <w:r w:rsidR="00231B9E">
        <w:rPr>
          <w:rFonts w:ascii="TimesNewRomanPSMT" w:hAnsi="TimesNewRomanPSMT" w:cs="TimesNewRomanPSMT"/>
          <w:szCs w:val="24"/>
        </w:rPr>
        <w:t>de um setor ao seu próprio esforço inovador, mas também ao esforço inovador oriundo das demais indústrias da economia.</w:t>
      </w:r>
    </w:p>
    <w:p w:rsidR="00217B5C" w:rsidRDefault="00217B5C" w:rsidP="00965681">
      <w:pPr>
        <w:ind w:firstLine="708"/>
        <w:rPr>
          <w:iCs/>
          <w:szCs w:val="24"/>
        </w:rPr>
      </w:pPr>
      <w:r>
        <w:t xml:space="preserve">Ao permitir a análise de fluxos interindustriais, a abordagem de insumo-produto é uma forma de mensurar os transbordamentos de conhecimento tecnológico que ocorrem entre os setores industriais. </w:t>
      </w:r>
      <w:r>
        <w:rPr>
          <w:iCs/>
          <w:szCs w:val="24"/>
        </w:rPr>
        <w:t>Transbordamentos de conhecimento podem ser definidos como externalidades geradas pelo investimento em P&amp;D de um agente que facilita o esforço inovativo de outro agente (Breschi e Lissoni, 2001). Os métodos de insumo-produto, em geral, captam o tipo de transbordamentoconhecido como “</w:t>
      </w:r>
      <w:r>
        <w:rPr>
          <w:i/>
          <w:iCs/>
          <w:szCs w:val="24"/>
        </w:rPr>
        <w:t xml:space="preserve">rentspillovers”. </w:t>
      </w:r>
      <w:r>
        <w:rPr>
          <w:iCs/>
          <w:szCs w:val="24"/>
        </w:rPr>
        <w:t>Segundo Griliches (1979), esses últimos refletem transações com insumos intensivos em P&amp;D que são comprados a um preço que não reflete seu verdadeiro valor, considerando a melhoria na qualidade.</w:t>
      </w:r>
    </w:p>
    <w:p w:rsidR="00E06FE9" w:rsidRDefault="0046357A" w:rsidP="00965681">
      <w:pPr>
        <w:ind w:firstLine="708"/>
      </w:pPr>
      <w:r>
        <w:t xml:space="preserve">Nesse sentido, o presente trabalho busca avançar no entendimento de alguns aspectos dos </w:t>
      </w:r>
      <w:r w:rsidR="00D2417A">
        <w:t>SNI</w:t>
      </w:r>
      <w:r>
        <w:t xml:space="preserve"> de países em desenvolvimento, como Brasil, China, Rússia e África do Sul, explorando o potencial setorial de geração e uso de conhecimento tecnológico. Embora marcados por grande heterogeneidade estrutural, nas suas dimensões sociais, industriais, científicas e tecnológicas (Albuquerque, 2003), </w:t>
      </w:r>
      <w:r w:rsidR="006A1D9F">
        <w:t>Lundvall (2011) destaca a importância d</w:t>
      </w:r>
      <w:r w:rsidR="00E06FE9">
        <w:t xml:space="preserve">esses países, que, ao lado da Índia, compõem o acrônimo BRICS.  </w:t>
      </w:r>
    </w:p>
    <w:p w:rsidR="002B3D06" w:rsidRDefault="002B3D06" w:rsidP="00965681">
      <w:pPr>
        <w:ind w:firstLine="708"/>
      </w:pPr>
      <w:r>
        <w:t>Com base no autor</w:t>
      </w:r>
      <w:r w:rsidR="00E06FE9">
        <w:t xml:space="preserve">, essa crescente importância </w:t>
      </w:r>
      <w:r>
        <w:t xml:space="preserve">no cenário internacional vai além da extensão territorial, do contingente populacional e do total de produção, pois também </w:t>
      </w:r>
      <w:r w:rsidR="00E06FE9">
        <w:t xml:space="preserve">está associada a </w:t>
      </w:r>
      <w:r w:rsidR="006A1D9F">
        <w:t xml:space="preserve">mudanças nos </w:t>
      </w:r>
      <w:r w:rsidR="00D2417A">
        <w:t>SNI</w:t>
      </w:r>
      <w:r w:rsidR="006A1D9F">
        <w:t xml:space="preserve"> destes países nos últimos anos, </w:t>
      </w:r>
      <w:r w:rsidR="00E06FE9">
        <w:t>que os capacitaram como grande</w:t>
      </w:r>
      <w:r w:rsidR="000761C3">
        <w:t>s</w:t>
      </w:r>
      <w:r w:rsidR="00E06FE9">
        <w:t xml:space="preserve"> produtores de conhecimento, além do Japão, Estados Unidos e Europa. </w:t>
      </w:r>
    </w:p>
    <w:p w:rsidR="002B3D06" w:rsidRDefault="0088529A" w:rsidP="00965681">
      <w:pPr>
        <w:ind w:firstLine="708"/>
      </w:pPr>
      <w:r>
        <w:t xml:space="preserve">Para conhecer o potencial desses países, é preciso realizar </w:t>
      </w:r>
      <w:r w:rsidR="0059378F">
        <w:t xml:space="preserve">estudos comparativos </w:t>
      </w:r>
      <w:r w:rsidR="00E06FE9">
        <w:t>no sentido de suprir</w:t>
      </w:r>
      <w:r>
        <w:t xml:space="preserve"> algumas lacunas na literatura empírica. </w:t>
      </w:r>
      <w:r w:rsidR="00E06FE9">
        <w:t>Isso porque p</w:t>
      </w:r>
      <w:r>
        <w:t xml:space="preserve">oucos trabalhos </w:t>
      </w:r>
      <w:r w:rsidR="0059378F">
        <w:t>foram realizados</w:t>
      </w:r>
      <w:r>
        <w:t xml:space="preserve"> a fim de comparar e detalhar os </w:t>
      </w:r>
      <w:r w:rsidR="003A3249">
        <w:t>SNI’s</w:t>
      </w:r>
      <w:r>
        <w:t xml:space="preserve"> dos BRICS. Entre estes, </w:t>
      </w:r>
      <w:r w:rsidR="0059378F">
        <w:t xml:space="preserve">podem ser citados o </w:t>
      </w:r>
      <w:r>
        <w:t xml:space="preserve">estudo </w:t>
      </w:r>
      <w:r w:rsidR="0059378F">
        <w:t>de Albuquerque (2003)</w:t>
      </w:r>
      <w:r w:rsidR="00E06FE9">
        <w:t>,</w:t>
      </w:r>
      <w:r w:rsidR="0059378F">
        <w:t xml:space="preserve"> que </w:t>
      </w:r>
      <w:r>
        <w:t xml:space="preserve">aborda </w:t>
      </w:r>
      <w:r w:rsidR="0059378F">
        <w:t>Brasil, Índia e África do Sul</w:t>
      </w:r>
      <w:r>
        <w:t xml:space="preserve">, apresentando características do sistema de ciência e tecnologia desses países a partir de dados de publicações científicas e patentes registradas no escritório norte-americano de patentes. </w:t>
      </w:r>
      <w:r w:rsidR="00E06FE9">
        <w:t xml:space="preserve">Outro exemplo é a série de artigos organizados por </w:t>
      </w:r>
      <w:r w:rsidR="005B144D">
        <w:t>Cassiolato e Vitorino (2011)</w:t>
      </w:r>
      <w:r w:rsidR="00E06FE9">
        <w:t>, que</w:t>
      </w:r>
      <w:r w:rsidR="005B144D">
        <w:t xml:space="preserve"> apresenta</w:t>
      </w:r>
      <w:r w:rsidR="007A0A9E">
        <w:t>m</w:t>
      </w:r>
      <w:r w:rsidR="005B144D">
        <w:t xml:space="preserve"> uma série de estudos sobre cada um dos países</w:t>
      </w:r>
      <w:r w:rsidR="002B3D06">
        <w:t>.</w:t>
      </w:r>
    </w:p>
    <w:p w:rsidR="00747205" w:rsidRDefault="00DA58B9" w:rsidP="00965681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iCs/>
          <w:szCs w:val="24"/>
        </w:rPr>
        <w:t xml:space="preserve">Seguindo a mesma linha </w:t>
      </w:r>
      <w:r w:rsidR="000A31D2">
        <w:rPr>
          <w:iCs/>
          <w:szCs w:val="24"/>
        </w:rPr>
        <w:t xml:space="preserve">metodológica </w:t>
      </w:r>
      <w:r>
        <w:rPr>
          <w:iCs/>
          <w:szCs w:val="24"/>
        </w:rPr>
        <w:t xml:space="preserve">de </w:t>
      </w:r>
      <w:r w:rsidRPr="00F96394">
        <w:rPr>
          <w:rFonts w:ascii="TimesNewRomanPSMT" w:hAnsi="TimesNewRomanPSMT" w:cs="TimesNewRomanPSMT"/>
          <w:szCs w:val="24"/>
        </w:rPr>
        <w:t>Hauknes e Knell (2009)</w:t>
      </w:r>
      <w:r>
        <w:rPr>
          <w:rFonts w:ascii="TimesNewRomanPSMT" w:hAnsi="TimesNewRomanPSMT" w:cs="TimesNewRomanPSMT"/>
          <w:szCs w:val="24"/>
        </w:rPr>
        <w:t>,</w:t>
      </w:r>
      <w:r>
        <w:rPr>
          <w:iCs/>
          <w:szCs w:val="24"/>
        </w:rPr>
        <w:t xml:space="preserve"> o objetivo deste trabalho é estimar e analisar os fluxos diretos e indiretos de conhecimento entre diferentes indústrias</w:t>
      </w:r>
      <w:r w:rsidR="000A31D2">
        <w:rPr>
          <w:iCs/>
          <w:szCs w:val="24"/>
        </w:rPr>
        <w:t xml:space="preserve">, abordando </w:t>
      </w:r>
      <w:r w:rsidR="002B3D06">
        <w:rPr>
          <w:iCs/>
          <w:szCs w:val="24"/>
        </w:rPr>
        <w:t xml:space="preserve">as </w:t>
      </w:r>
      <w:r>
        <w:rPr>
          <w:iCs/>
          <w:szCs w:val="24"/>
        </w:rPr>
        <w:t xml:space="preserve">ligações entre </w:t>
      </w:r>
      <w:r w:rsidR="002B3D06">
        <w:rPr>
          <w:iCs/>
          <w:szCs w:val="24"/>
        </w:rPr>
        <w:t xml:space="preserve">setores </w:t>
      </w:r>
      <w:r>
        <w:rPr>
          <w:iCs/>
          <w:szCs w:val="24"/>
        </w:rPr>
        <w:t>fornecedores e consumidores</w:t>
      </w:r>
      <w:r w:rsidR="002B3D06">
        <w:rPr>
          <w:iCs/>
          <w:szCs w:val="24"/>
        </w:rPr>
        <w:t xml:space="preserve">. </w:t>
      </w:r>
      <w:r w:rsidRPr="0047795D">
        <w:rPr>
          <w:szCs w:val="24"/>
        </w:rPr>
        <w:t>Para ta</w:t>
      </w:r>
      <w:r>
        <w:rPr>
          <w:szCs w:val="24"/>
        </w:rPr>
        <w:t>nto</w:t>
      </w:r>
      <w:r w:rsidR="002B3D06">
        <w:rPr>
          <w:szCs w:val="24"/>
        </w:rPr>
        <w:t>,</w:t>
      </w:r>
      <w:r>
        <w:rPr>
          <w:szCs w:val="24"/>
        </w:rPr>
        <w:t xml:space="preserve"> são utilizadasas matrizes insumo-produto de Brasil, China, Rússia e África do Sul</w:t>
      </w:r>
      <w:r w:rsidR="002B3D06">
        <w:rPr>
          <w:szCs w:val="24"/>
        </w:rPr>
        <w:t xml:space="preserve">. Nos casos de </w:t>
      </w:r>
      <w:r>
        <w:rPr>
          <w:szCs w:val="24"/>
        </w:rPr>
        <w:t>Brasil e África do Sul</w:t>
      </w:r>
      <w:r w:rsidR="002B3D06">
        <w:rPr>
          <w:szCs w:val="24"/>
        </w:rPr>
        <w:t xml:space="preserve">, os dados se referem ao </w:t>
      </w:r>
      <w:r>
        <w:rPr>
          <w:szCs w:val="24"/>
        </w:rPr>
        <w:t xml:space="preserve">ano de 2005, enquanto </w:t>
      </w:r>
      <w:r w:rsidR="002B3D06">
        <w:rPr>
          <w:szCs w:val="24"/>
        </w:rPr>
        <w:t xml:space="preserve">que, para </w:t>
      </w:r>
      <w:r>
        <w:rPr>
          <w:szCs w:val="24"/>
        </w:rPr>
        <w:t>China e Rússia</w:t>
      </w:r>
      <w:r w:rsidR="002B3D06">
        <w:rPr>
          <w:szCs w:val="24"/>
        </w:rPr>
        <w:t xml:space="preserve">, </w:t>
      </w:r>
      <w:r w:rsidR="00747205">
        <w:rPr>
          <w:szCs w:val="24"/>
        </w:rPr>
        <w:t xml:space="preserve">a base é de </w:t>
      </w:r>
      <w:r>
        <w:rPr>
          <w:szCs w:val="24"/>
        </w:rPr>
        <w:t>2000</w:t>
      </w:r>
      <w:r w:rsidR="00747205">
        <w:rPr>
          <w:szCs w:val="24"/>
        </w:rPr>
        <w:t xml:space="preserve">. Todos os dados são oriundos da </w:t>
      </w:r>
      <w:r w:rsidR="00747205">
        <w:t xml:space="preserve">Organização para Cooperação e Desenvolvimento Econômico (OCDE) </w:t>
      </w:r>
      <w:r>
        <w:rPr>
          <w:szCs w:val="24"/>
        </w:rPr>
        <w:t xml:space="preserve">e os dados de </w:t>
      </w:r>
      <w:r w:rsidR="00747205">
        <w:rPr>
          <w:szCs w:val="24"/>
        </w:rPr>
        <w:t xml:space="preserve">P&amp;D são referentes à </w:t>
      </w:r>
      <w:r w:rsidR="00747205" w:rsidRPr="003501FC">
        <w:rPr>
          <w:i/>
        </w:rPr>
        <w:t>Analytical Business Enterprise Research</w:t>
      </w:r>
      <w:r w:rsidR="002C5FF6">
        <w:rPr>
          <w:i/>
        </w:rPr>
        <w:t xml:space="preserve"> </w:t>
      </w:r>
      <w:r w:rsidR="00747205" w:rsidRPr="003501FC">
        <w:rPr>
          <w:i/>
        </w:rPr>
        <w:t>and</w:t>
      </w:r>
      <w:r w:rsidR="002C5FF6">
        <w:rPr>
          <w:i/>
        </w:rPr>
        <w:t xml:space="preserve"> </w:t>
      </w:r>
      <w:r w:rsidR="00747205" w:rsidRPr="003501FC">
        <w:rPr>
          <w:i/>
        </w:rPr>
        <w:t>Development</w:t>
      </w:r>
      <w:r w:rsidR="002C5FF6">
        <w:rPr>
          <w:i/>
        </w:rPr>
        <w:t xml:space="preserve"> </w:t>
      </w:r>
      <w:r w:rsidR="00747205">
        <w:rPr>
          <w:szCs w:val="24"/>
        </w:rPr>
        <w:t>(</w:t>
      </w:r>
      <w:r>
        <w:rPr>
          <w:szCs w:val="24"/>
        </w:rPr>
        <w:t>ANBERD</w:t>
      </w:r>
      <w:r w:rsidR="00747205">
        <w:rPr>
          <w:szCs w:val="24"/>
        </w:rPr>
        <w:t xml:space="preserve">), nos casos de </w:t>
      </w:r>
      <w:r>
        <w:rPr>
          <w:szCs w:val="24"/>
        </w:rPr>
        <w:t>África do Sul, China e Rússia</w:t>
      </w:r>
      <w:r w:rsidR="00747205">
        <w:rPr>
          <w:szCs w:val="24"/>
        </w:rPr>
        <w:t xml:space="preserve">, e à </w:t>
      </w:r>
      <w:r>
        <w:rPr>
          <w:szCs w:val="24"/>
        </w:rPr>
        <w:t>P</w:t>
      </w:r>
      <w:r w:rsidR="00747205">
        <w:rPr>
          <w:szCs w:val="24"/>
        </w:rPr>
        <w:t>esquisa de Inovação Tecnológica (P</w:t>
      </w:r>
      <w:r>
        <w:rPr>
          <w:szCs w:val="24"/>
        </w:rPr>
        <w:t>INTEC</w:t>
      </w:r>
      <w:r w:rsidR="00747205">
        <w:rPr>
          <w:szCs w:val="24"/>
        </w:rPr>
        <w:t>), no caso brasileiro.</w:t>
      </w:r>
      <w:r w:rsidR="001B102B">
        <w:rPr>
          <w:rStyle w:val="Refdenotaderodap"/>
          <w:szCs w:val="24"/>
        </w:rPr>
        <w:footnoteReference w:id="2"/>
      </w:r>
    </w:p>
    <w:p w:rsidR="00DA58B9" w:rsidRDefault="00DA58B9" w:rsidP="00965681">
      <w:pPr>
        <w:autoSpaceDE w:val="0"/>
        <w:autoSpaceDN w:val="0"/>
        <w:adjustRightInd w:val="0"/>
        <w:ind w:firstLine="708"/>
      </w:pPr>
      <w:r w:rsidRPr="00B51AA7">
        <w:rPr>
          <w:szCs w:val="24"/>
        </w:rPr>
        <w:t xml:space="preserve">Esse trabalho se divide em mais </w:t>
      </w:r>
      <w:r>
        <w:rPr>
          <w:szCs w:val="24"/>
        </w:rPr>
        <w:t>quatro</w:t>
      </w:r>
      <w:r w:rsidRPr="00B51AA7">
        <w:rPr>
          <w:szCs w:val="24"/>
        </w:rPr>
        <w:t xml:space="preserve"> partes. Na segunda</w:t>
      </w:r>
      <w:r w:rsidR="00747205">
        <w:rPr>
          <w:szCs w:val="24"/>
        </w:rPr>
        <w:t>,</w:t>
      </w:r>
      <w:r>
        <w:rPr>
          <w:szCs w:val="24"/>
        </w:rPr>
        <w:t>será apresentada uma breve discussão sobre o S</w:t>
      </w:r>
      <w:r w:rsidR="00747205">
        <w:rPr>
          <w:szCs w:val="24"/>
        </w:rPr>
        <w:t>NI d</w:t>
      </w:r>
      <w:r>
        <w:rPr>
          <w:szCs w:val="24"/>
        </w:rPr>
        <w:t>os BRICS. Na terceira</w:t>
      </w:r>
      <w:r w:rsidR="00747205">
        <w:rPr>
          <w:szCs w:val="24"/>
        </w:rPr>
        <w:t>,</w:t>
      </w:r>
      <w:r>
        <w:rPr>
          <w:szCs w:val="24"/>
        </w:rPr>
        <w:t xml:space="preserve"> apresenta-</w:t>
      </w:r>
      <w:r w:rsidRPr="00B51AA7">
        <w:rPr>
          <w:szCs w:val="24"/>
        </w:rPr>
        <w:t>s</w:t>
      </w:r>
      <w:r>
        <w:rPr>
          <w:szCs w:val="24"/>
        </w:rPr>
        <w:t>e</w:t>
      </w:r>
      <w:r w:rsidRPr="00B51AA7">
        <w:rPr>
          <w:szCs w:val="24"/>
        </w:rPr>
        <w:t xml:space="preserve"> a metodologia </w:t>
      </w:r>
      <w:r>
        <w:rPr>
          <w:szCs w:val="24"/>
        </w:rPr>
        <w:t xml:space="preserve">utilizada. Na quarta seção são discutidos </w:t>
      </w:r>
      <w:r w:rsidRPr="00B51AA7">
        <w:rPr>
          <w:szCs w:val="24"/>
        </w:rPr>
        <w:t>os resultados</w:t>
      </w:r>
      <w:r>
        <w:rPr>
          <w:szCs w:val="24"/>
        </w:rPr>
        <w:t>.</w:t>
      </w:r>
      <w:r w:rsidRPr="00B51AA7">
        <w:rPr>
          <w:szCs w:val="24"/>
        </w:rPr>
        <w:t xml:space="preserve"> Por</w:t>
      </w:r>
      <w:r w:rsidRPr="00B51AA7">
        <w:t xml:space="preserve"> fim</w:t>
      </w:r>
      <w:r>
        <w:t>,</w:t>
      </w:r>
      <w:r w:rsidRPr="00B51AA7">
        <w:t xml:space="preserve"> são apresentadas as considerações finais.</w:t>
      </w:r>
    </w:p>
    <w:p w:rsidR="00DA58B9" w:rsidRDefault="00DA58B9" w:rsidP="00965681">
      <w:pPr>
        <w:ind w:firstLine="708"/>
      </w:pPr>
    </w:p>
    <w:p w:rsidR="001D2D99" w:rsidRDefault="001D2D99" w:rsidP="00965681">
      <w:pPr>
        <w:ind w:firstLine="708"/>
      </w:pPr>
    </w:p>
    <w:p w:rsidR="00A05DEF" w:rsidRDefault="00A05DEF" w:rsidP="00965681">
      <w:pPr>
        <w:ind w:firstLine="708"/>
      </w:pPr>
    </w:p>
    <w:p w:rsidR="00A05DEF" w:rsidRDefault="00A05DEF" w:rsidP="00965681">
      <w:pPr>
        <w:ind w:firstLine="708"/>
      </w:pPr>
    </w:p>
    <w:p w:rsidR="00DA58B9" w:rsidRDefault="00DA58B9" w:rsidP="00965681">
      <w:pPr>
        <w:pStyle w:val="PargrafodaLista1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Características gerais do </w:t>
      </w:r>
      <w:r w:rsidR="00CF3EB2">
        <w:rPr>
          <w:b/>
        </w:rPr>
        <w:t xml:space="preserve">sistemas produtivos e de inovação </w:t>
      </w:r>
      <w:r>
        <w:rPr>
          <w:b/>
        </w:rPr>
        <w:t>dos BRICS</w:t>
      </w:r>
    </w:p>
    <w:p w:rsidR="00DA58B9" w:rsidRDefault="00DA58B9" w:rsidP="00965681">
      <w:pPr>
        <w:ind w:firstLine="708"/>
      </w:pPr>
      <w:r>
        <w:t>O SNI não pode ser entendido apenas como o processo inovativo derivado da P&amp;D</w:t>
      </w:r>
      <w:r w:rsidR="005F5F1B">
        <w:t xml:space="preserve">. O SNI possui diversas dimensões, que englobam a estrutura produtiva, o capital humano, o sistema financeiro e creditício, entre outros (Cassiolato e Lastres, 2011). Nesse sentido, a posição relativa de cada SNI reflete um conjunto de condições históricas de cada país. No caso dos países </w:t>
      </w:r>
      <w:r w:rsidR="00A74984">
        <w:t xml:space="preserve">como </w:t>
      </w:r>
      <w:r w:rsidR="005F5F1B">
        <w:t>Brasil, Chinae África do Sul, há uma combinação singular de atraso tecnológico e social (Albuquerque, 2003).</w:t>
      </w:r>
    </w:p>
    <w:p w:rsidR="00DA58B9" w:rsidRDefault="00DC2FAA" w:rsidP="00965681">
      <w:r>
        <w:tab/>
      </w:r>
      <w:r w:rsidR="00A74984">
        <w:t xml:space="preserve">Além de ser influenciado por diferentes condições históricas, o </w:t>
      </w:r>
      <w:r w:rsidR="00DA58B9">
        <w:t xml:space="preserve">SNI </w:t>
      </w:r>
      <w:r w:rsidR="00A74984">
        <w:t>desses países</w:t>
      </w:r>
      <w:r w:rsidR="00DA58B9">
        <w:t xml:space="preserve">, </w:t>
      </w:r>
      <w:r w:rsidR="00A74984">
        <w:t>é uma</w:t>
      </w:r>
      <w:r w:rsidR="00DA58B9">
        <w:t xml:space="preserve"> construção recente, </w:t>
      </w:r>
      <w:r w:rsidR="00A74984">
        <w:t xml:space="preserve">que data </w:t>
      </w:r>
      <w:r w:rsidR="00DA58B9">
        <w:t xml:space="preserve">aproximadamente dos últimos 30 anos. </w:t>
      </w:r>
      <w:r w:rsidR="00A74984">
        <w:t xml:space="preserve">Ao comparar os BRICS, </w:t>
      </w:r>
      <w:r w:rsidR="00DA58B9">
        <w:t>Cassiolato e Lastres (2011) e Cassiolato e Vitorino (2011)</w:t>
      </w:r>
      <w:r w:rsidR="00A74984">
        <w:t xml:space="preserve"> destacam </w:t>
      </w:r>
      <w:r w:rsidR="00DA58B9">
        <w:t>que: i) a Rússia possui</w:t>
      </w:r>
      <w:r w:rsidR="00A74984">
        <w:t xml:space="preserve"> grande contingente de</w:t>
      </w:r>
      <w:r w:rsidR="00DA58B9">
        <w:t xml:space="preserve"> mão-de-obra qualificada</w:t>
      </w:r>
      <w:r w:rsidR="00A74984">
        <w:t>, em relação aos outros países do BRICS</w:t>
      </w:r>
      <w:r w:rsidR="00DA58B9">
        <w:t xml:space="preserve">; ii) o Brasil e África do Sul possuem, em setores ligados ao meio-ambiente, as suas principais oportunidades tecnológicas e restrições; </w:t>
      </w:r>
      <w:r w:rsidR="00A74984">
        <w:t xml:space="preserve">e </w:t>
      </w:r>
      <w:r w:rsidR="00DA58B9">
        <w:t>iii) a China obteve sucesso em numa transformação quantitativa e qualitativa de infraestrutura técnica e científica, além de mobilizar o sistema nacional de educação e acumular capacidades produtivas</w:t>
      </w:r>
      <w:r w:rsidR="001B102B">
        <w:t>.</w:t>
      </w:r>
    </w:p>
    <w:p w:rsidR="003D1297" w:rsidRDefault="003D1297" w:rsidP="00965681">
      <w:r w:rsidRPr="006F2CBB">
        <w:tab/>
        <w:t>Dados da Redesist (2011) permitem que sejam</w:t>
      </w:r>
      <w:r>
        <w:t xml:space="preserve"> evidenciados os principais setores nas economias dos BRICS para o ano de 2006. De forma resumida</w:t>
      </w:r>
      <w:r w:rsidR="0000723D">
        <w:t>,</w:t>
      </w:r>
      <w:r w:rsidR="00F9177B">
        <w:t xml:space="preserve"> é possível</w:t>
      </w:r>
      <w:r>
        <w:t xml:space="preserve"> destacar alguns resultados para os países analisados neste trabalho</w:t>
      </w:r>
      <w:r w:rsidR="00F9177B">
        <w:t>,</w:t>
      </w:r>
      <w:r>
        <w:t xml:space="preserve"> como para o Brasil, no qual o setor primário é de grande importância, principalmente como agroexportador. Os serviços apresentam duas características fundamentais</w:t>
      </w:r>
      <w:r w:rsidR="0000723D">
        <w:t xml:space="preserve">: possuem peso </w:t>
      </w:r>
      <w:r>
        <w:t xml:space="preserve">na economia </w:t>
      </w:r>
      <w:r w:rsidR="0000723D">
        <w:t xml:space="preserve">e </w:t>
      </w:r>
      <w:r>
        <w:t>são disseminadores de tecnologia. Dos principais setores</w:t>
      </w:r>
      <w:r w:rsidR="00922D8F">
        <w:t>,</w:t>
      </w:r>
      <w:r>
        <w:t xml:space="preserve"> destacam</w:t>
      </w:r>
      <w:r w:rsidR="00922D8F">
        <w:t>-se</w:t>
      </w:r>
      <w:r>
        <w:t xml:space="preserve"> os ligados aos processamentos de recursos naturais e o de refino de petróleo e coque</w:t>
      </w:r>
      <w:r w:rsidR="00922D8F">
        <w:t>,</w:t>
      </w:r>
      <w:r>
        <w:t xml:space="preserve"> além dos </w:t>
      </w:r>
      <w:r w:rsidR="00922D8F">
        <w:t>combustíveis</w:t>
      </w:r>
      <w:r>
        <w:t>.</w:t>
      </w:r>
    </w:p>
    <w:p w:rsidR="003D1297" w:rsidRDefault="003D1297" w:rsidP="00965681">
      <w:r>
        <w:tab/>
        <w:t>Para Rússia</w:t>
      </w:r>
      <w:r w:rsidR="00922D8F">
        <w:t>,</w:t>
      </w:r>
      <w:r>
        <w:t xml:space="preserve"> o setor primário correspondia a 13% do PIB, sendo os principais componentes, petróleo e gás e agricultura. O setor secundário representava 24% do PIB com dest</w:t>
      </w:r>
      <w:r w:rsidR="008D42AB">
        <w:t>a</w:t>
      </w:r>
      <w:r>
        <w:t xml:space="preserve">que </w:t>
      </w:r>
      <w:r w:rsidR="008D42AB">
        <w:t>par</w:t>
      </w:r>
      <w:r>
        <w:t>a</w:t>
      </w:r>
      <w:r w:rsidR="008D42AB">
        <w:t xml:space="preserve"> refino do petróleo e coque, metalurgia, máquinas e alimentos. O setor terciário</w:t>
      </w:r>
      <w:r w:rsidR="00922D8F">
        <w:t>,</w:t>
      </w:r>
      <w:r w:rsidR="008D42AB">
        <w:t xml:space="preserve"> por sua vez</w:t>
      </w:r>
      <w:r w:rsidR="00922D8F">
        <w:t>,</w:t>
      </w:r>
      <w:r w:rsidR="008D42AB">
        <w:t xml:space="preserve"> apresentava 51% do PIB</w:t>
      </w:r>
      <w:r w:rsidR="00922D8F">
        <w:t>,</w:t>
      </w:r>
      <w:r w:rsidR="008D42AB">
        <w:t xml:space="preserve"> com o comércio responsável por 35% e educação </w:t>
      </w:r>
      <w:r w:rsidR="00922D8F">
        <w:t>com</w:t>
      </w:r>
      <w:r w:rsidR="008D42AB">
        <w:t xml:space="preserve"> 6,8%. O setor mais dinâmico cabe aos softwares</w:t>
      </w:r>
      <w:r w:rsidR="00922D8F">
        <w:t>,</w:t>
      </w:r>
      <w:r w:rsidR="008D42AB">
        <w:t xml:space="preserve"> sendo a Rússia a terceira maior exportadora</w:t>
      </w:r>
      <w:r w:rsidR="00922D8F">
        <w:t>,</w:t>
      </w:r>
      <w:r w:rsidR="008D42AB">
        <w:t xml:space="preserve"> atrás de Índia e China respectivamente.</w:t>
      </w:r>
    </w:p>
    <w:p w:rsidR="008D42AB" w:rsidRDefault="008D42AB" w:rsidP="00965681">
      <w:r>
        <w:tab/>
        <w:t>A China</w:t>
      </w:r>
      <w:r w:rsidR="00922D8F">
        <w:t>,</w:t>
      </w:r>
      <w:r>
        <w:t xml:space="preserve"> por sua vez</w:t>
      </w:r>
      <w:r w:rsidR="00922D8F">
        <w:t>,</w:t>
      </w:r>
      <w:r>
        <w:t xml:space="preserve"> tinha em 2006 mais de 60% do PIB associado à agricultura e </w:t>
      </w:r>
      <w:r w:rsidR="00922D8F">
        <w:t xml:space="preserve">à </w:t>
      </w:r>
      <w:r>
        <w:t xml:space="preserve">indústria. O setor primário apresentava cerca de 12% do PIB e o setor secundário cerca de 50% do PIB com destaque para mineração, manufatura, produção e distribuição </w:t>
      </w:r>
      <w:r w:rsidR="00922D8F">
        <w:t xml:space="preserve">de </w:t>
      </w:r>
      <w:r>
        <w:t>eletricidade, gás e ág</w:t>
      </w:r>
      <w:r w:rsidR="00922D8F">
        <w:t>u</w:t>
      </w:r>
      <w:r>
        <w:t>a</w:t>
      </w:r>
      <w:r w:rsidR="00922D8F">
        <w:t>, alé</w:t>
      </w:r>
      <w:r>
        <w:t>m da construção. Quanto ao setor terciário – cerca de 40% do PIB</w:t>
      </w:r>
      <w:r w:rsidR="00922D8F">
        <w:t>,</w:t>
      </w:r>
      <w:r>
        <w:t xml:space="preserve"> os principais componentes estão nos transportes e comércio. </w:t>
      </w:r>
    </w:p>
    <w:p w:rsidR="008D42AB" w:rsidRPr="006F2CBB" w:rsidRDefault="008D42AB" w:rsidP="00965681">
      <w:r>
        <w:tab/>
        <w:t>Já a África do Sul apresenta um setor secundário com 24% do valor adicionado e um setor terciário com 65% do valor adicionado. A participação do governo no PIB tem diminuído</w:t>
      </w:r>
      <w:r w:rsidR="001F1F62">
        <w:t>,</w:t>
      </w:r>
      <w:r>
        <w:t xml:space="preserve"> assim como a </w:t>
      </w:r>
      <w:r w:rsidR="001F1F62">
        <w:t>participação</w:t>
      </w:r>
      <w:r>
        <w:t xml:space="preserve"> dos serviços tem aumentado. Destacam-se os setores de alimentos, metais, metalurgia e máquinas. </w:t>
      </w: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Em termos de</w:t>
      </w:r>
      <w:r w:rsidR="00400344">
        <w:rPr>
          <w:rFonts w:ascii="Times New Roman" w:hAnsi="Times New Roman" w:cs="Times New Roman"/>
          <w:color w:val="auto"/>
        </w:rPr>
        <w:t xml:space="preserve"> produção mundial de inovações</w:t>
      </w:r>
      <w:r w:rsidR="0060211F">
        <w:rPr>
          <w:rFonts w:ascii="Times New Roman" w:hAnsi="Times New Roman" w:cs="Times New Roman"/>
          <w:color w:val="auto"/>
        </w:rPr>
        <w:t xml:space="preserve">, quando </w:t>
      </w:r>
      <w:r>
        <w:rPr>
          <w:rFonts w:ascii="Times New Roman" w:hAnsi="Times New Roman" w:cs="Times New Roman"/>
          <w:color w:val="auto"/>
        </w:rPr>
        <w:t>medida por patentes, verifica-se que os BRICS</w:t>
      </w:r>
      <w:r>
        <w:rPr>
          <w:rStyle w:val="Refdenotaderodap"/>
          <w:rFonts w:eastAsiaTheme="majorEastAsia"/>
          <w:color w:val="auto"/>
        </w:rPr>
        <w:footnoteReference w:id="3"/>
      </w:r>
      <w:r>
        <w:rPr>
          <w:rFonts w:ascii="Times New Roman" w:hAnsi="Times New Roman" w:cs="Times New Roman"/>
          <w:color w:val="auto"/>
        </w:rPr>
        <w:t xml:space="preserve"> constituem participação modesta (menos de 5%) no número de patentes dos principais escritórios de patenteamento mundiais, que são o europeu (</w:t>
      </w:r>
      <w:r w:rsidRPr="00DB3177">
        <w:rPr>
          <w:rFonts w:ascii="Times New Roman" w:hAnsi="Times New Roman" w:cs="Times New Roman"/>
          <w:i/>
          <w:color w:val="auto"/>
        </w:rPr>
        <w:t>European</w:t>
      </w:r>
      <w:r w:rsidR="006776F2">
        <w:rPr>
          <w:rFonts w:ascii="Times New Roman" w:hAnsi="Times New Roman" w:cs="Times New Roman"/>
          <w:i/>
          <w:color w:val="auto"/>
        </w:rPr>
        <w:t xml:space="preserve"> </w:t>
      </w:r>
      <w:r w:rsidRPr="00DB3177">
        <w:rPr>
          <w:rFonts w:ascii="Times New Roman" w:hAnsi="Times New Roman" w:cs="Times New Roman"/>
          <w:i/>
          <w:color w:val="auto"/>
        </w:rPr>
        <w:t>Patent Office</w:t>
      </w:r>
      <w:r>
        <w:rPr>
          <w:rFonts w:ascii="Times New Roman" w:hAnsi="Times New Roman" w:cs="Times New Roman"/>
          <w:color w:val="auto"/>
        </w:rPr>
        <w:t>-</w:t>
      </w:r>
      <w:r w:rsidRPr="0003251F">
        <w:rPr>
          <w:rFonts w:ascii="Times New Roman" w:hAnsi="Times New Roman" w:cs="Times New Roman"/>
          <w:color w:val="auto"/>
        </w:rPr>
        <w:t xml:space="preserve">EPO), </w:t>
      </w:r>
      <w:r>
        <w:rPr>
          <w:rFonts w:ascii="Times New Roman" w:hAnsi="Times New Roman" w:cs="Times New Roman"/>
          <w:color w:val="auto"/>
        </w:rPr>
        <w:t>o japonês (</w:t>
      </w:r>
      <w:r w:rsidRPr="00DB3177">
        <w:rPr>
          <w:rFonts w:ascii="Times New Roman" w:hAnsi="Times New Roman" w:cs="Times New Roman"/>
          <w:i/>
          <w:color w:val="auto"/>
        </w:rPr>
        <w:t>Japan</w:t>
      </w:r>
      <w:r w:rsidR="006776F2">
        <w:rPr>
          <w:rFonts w:ascii="Times New Roman" w:hAnsi="Times New Roman" w:cs="Times New Roman"/>
          <w:i/>
          <w:color w:val="auto"/>
        </w:rPr>
        <w:t xml:space="preserve"> </w:t>
      </w:r>
      <w:r w:rsidRPr="00DB3177">
        <w:rPr>
          <w:rFonts w:ascii="Times New Roman" w:hAnsi="Times New Roman" w:cs="Times New Roman"/>
          <w:i/>
          <w:color w:val="auto"/>
        </w:rPr>
        <w:t>Patent Office</w:t>
      </w:r>
      <w:r>
        <w:rPr>
          <w:rFonts w:ascii="Times New Roman" w:hAnsi="Times New Roman" w:cs="Times New Roman"/>
          <w:color w:val="auto"/>
        </w:rPr>
        <w:t>-</w:t>
      </w:r>
      <w:r w:rsidRPr="0003251F">
        <w:rPr>
          <w:rFonts w:ascii="Times New Roman" w:hAnsi="Times New Roman" w:cs="Times New Roman"/>
          <w:color w:val="auto"/>
        </w:rPr>
        <w:t xml:space="preserve">JPO) </w:t>
      </w:r>
      <w:r>
        <w:rPr>
          <w:rFonts w:ascii="Times New Roman" w:hAnsi="Times New Roman" w:cs="Times New Roman"/>
          <w:color w:val="auto"/>
        </w:rPr>
        <w:t>e</w:t>
      </w:r>
      <w:r w:rsidR="006776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 norte-americano (</w:t>
      </w:r>
      <w:r w:rsidRPr="00DB3177">
        <w:rPr>
          <w:rFonts w:ascii="Times New Roman" w:hAnsi="Times New Roman" w:cs="Times New Roman"/>
          <w:i/>
          <w:color w:val="auto"/>
        </w:rPr>
        <w:t>US Patent</w:t>
      </w:r>
      <w:r w:rsidR="006776F2">
        <w:rPr>
          <w:rFonts w:ascii="Times New Roman" w:hAnsi="Times New Roman" w:cs="Times New Roman"/>
          <w:i/>
          <w:color w:val="auto"/>
        </w:rPr>
        <w:t xml:space="preserve"> </w:t>
      </w:r>
      <w:r w:rsidRPr="00DB3177">
        <w:rPr>
          <w:rFonts w:ascii="Times New Roman" w:hAnsi="Times New Roman" w:cs="Times New Roman"/>
          <w:i/>
          <w:color w:val="auto"/>
        </w:rPr>
        <w:t>and</w:t>
      </w:r>
      <w:r w:rsidR="006776F2">
        <w:rPr>
          <w:rFonts w:ascii="Times New Roman" w:hAnsi="Times New Roman" w:cs="Times New Roman"/>
          <w:i/>
          <w:color w:val="auto"/>
        </w:rPr>
        <w:t xml:space="preserve"> </w:t>
      </w:r>
      <w:r w:rsidRPr="00DB3177">
        <w:rPr>
          <w:rFonts w:ascii="Times New Roman" w:hAnsi="Times New Roman" w:cs="Times New Roman"/>
          <w:i/>
          <w:color w:val="auto"/>
        </w:rPr>
        <w:t>Trademark Office</w:t>
      </w:r>
      <w:r>
        <w:rPr>
          <w:rFonts w:ascii="Times New Roman" w:hAnsi="Times New Roman" w:cs="Times New Roman"/>
          <w:color w:val="auto"/>
        </w:rPr>
        <w:t>-</w:t>
      </w:r>
      <w:r w:rsidRPr="0003251F">
        <w:rPr>
          <w:rFonts w:ascii="Times New Roman" w:hAnsi="Times New Roman" w:cs="Times New Roman"/>
          <w:color w:val="auto"/>
        </w:rPr>
        <w:t>USPTO)</w:t>
      </w:r>
      <w:r w:rsidR="0060211F">
        <w:rPr>
          <w:rFonts w:ascii="Times New Roman" w:hAnsi="Times New Roman" w:cs="Times New Roman"/>
          <w:color w:val="auto"/>
        </w:rPr>
        <w:t>, segundo OCDE (2008)</w:t>
      </w:r>
      <w:r>
        <w:rPr>
          <w:rFonts w:ascii="Times New Roman" w:hAnsi="Times New Roman" w:cs="Times New Roman"/>
          <w:color w:val="auto"/>
        </w:rPr>
        <w:t>. Desagregando a análise para algumas áreas específicas de patenteamento, a representatividade desses países é de 5,2% para tecnologia de informação e comunicação (ICT), 2,7% para biotecnologias (BIO) e 6,5% para energias renováveis (ER). Ainda que representem pouco no total do patenteamento mundial, essas áreas apresentaram notável crescimento nos últimos anos, entre 1995 e 2005.</w:t>
      </w:r>
    </w:p>
    <w:p w:rsidR="00DA58B9" w:rsidRPr="00612BD2" w:rsidRDefault="00DA58B9" w:rsidP="0096568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Na área de ICT, os </w:t>
      </w:r>
      <w:r w:rsidR="0060211F">
        <w:rPr>
          <w:rFonts w:ascii="Times New Roman" w:hAnsi="Times New Roman" w:cs="Times New Roman"/>
          <w:color w:val="auto"/>
        </w:rPr>
        <w:t xml:space="preserve">países do </w:t>
      </w:r>
      <w:r>
        <w:rPr>
          <w:rFonts w:ascii="Times New Roman" w:hAnsi="Times New Roman" w:cs="Times New Roman"/>
          <w:color w:val="auto"/>
        </w:rPr>
        <w:t>BRICS foram os quemais cresceram, com média de crescimento de</w:t>
      </w:r>
      <w:r w:rsidR="00D15BE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37,9% </w:t>
      </w:r>
      <w:r w:rsidRPr="00CF3EB2">
        <w:rPr>
          <w:rFonts w:ascii="Times New Roman" w:hAnsi="Times New Roman" w:cs="Times New Roman"/>
          <w:i/>
          <w:color w:val="auto"/>
        </w:rPr>
        <w:t>vis-à-vis</w:t>
      </w:r>
      <w:r>
        <w:rPr>
          <w:rFonts w:ascii="Times New Roman" w:hAnsi="Times New Roman" w:cs="Times New Roman"/>
          <w:color w:val="auto"/>
        </w:rPr>
        <w:t xml:space="preserve"> a média mundial, de 15,5% Na área de BIO, a média de crescimento dos BRICS foi também a maior, sendo em média 22%, contra 5% de média mundial. Analisando as </w:t>
      </w:r>
      <w:r>
        <w:rPr>
          <w:rFonts w:ascii="Times New Roman" w:hAnsi="Times New Roman" w:cs="Times New Roman"/>
          <w:color w:val="auto"/>
        </w:rPr>
        <w:lastRenderedPageBreak/>
        <w:t xml:space="preserve">patentes de energia renovável, o Japão foi quem mais cresceu (27,7%), seguido pelos BRICS (27,6%), enquanto a média mundial foi de 15,8%. </w:t>
      </w:r>
    </w:p>
    <w:p w:rsidR="00A40228" w:rsidRDefault="00A40228" w:rsidP="00965681">
      <w:pPr>
        <w:ind w:firstLine="708"/>
      </w:pPr>
    </w:p>
    <w:p w:rsidR="00DA58B9" w:rsidRDefault="00DA58B9" w:rsidP="00965681">
      <w:pPr>
        <w:pStyle w:val="PargrafodaLista1"/>
        <w:numPr>
          <w:ilvl w:val="0"/>
          <w:numId w:val="1"/>
        </w:numPr>
        <w:rPr>
          <w:b/>
        </w:rPr>
      </w:pPr>
      <w:r>
        <w:rPr>
          <w:b/>
        </w:rPr>
        <w:t>Aspectos Metodológicos</w:t>
      </w:r>
    </w:p>
    <w:p w:rsidR="00DA58B9" w:rsidRPr="006A5B0F" w:rsidRDefault="00DA58B9" w:rsidP="00965681">
      <w:pPr>
        <w:pStyle w:val="PargrafodaLista1"/>
        <w:ind w:left="792"/>
      </w:pPr>
    </w:p>
    <w:p w:rsidR="00DA58B9" w:rsidRDefault="00F60E4B" w:rsidP="00965681">
      <w:pPr>
        <w:pStyle w:val="PargrafodaLista1"/>
        <w:numPr>
          <w:ilvl w:val="1"/>
          <w:numId w:val="1"/>
        </w:numPr>
        <w:rPr>
          <w:b/>
        </w:rPr>
      </w:pPr>
      <w:r>
        <w:rPr>
          <w:b/>
        </w:rPr>
        <w:t>O modelo de insumo-produto e os f</w:t>
      </w:r>
      <w:r w:rsidR="00DA58B9">
        <w:rPr>
          <w:b/>
        </w:rPr>
        <w:t>luxos diretos e indiretos de atividade de P&amp;D</w:t>
      </w:r>
      <w:r>
        <w:rPr>
          <w:rStyle w:val="Refdenotaderodap"/>
        </w:rPr>
        <w:footnoteReference w:id="4"/>
      </w:r>
    </w:p>
    <w:p w:rsidR="00DA58B9" w:rsidRDefault="00DA58B9" w:rsidP="00965681">
      <w:pPr>
        <w:ind w:firstLine="708"/>
      </w:pPr>
      <w:r>
        <w:t>Seja o modelo de insumo-produto que descreve os fluxos monetários para os setores da economia: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Default="00DA58B9" w:rsidP="00965681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Z+f=X</m:t>
                </m:r>
              </m:oMath>
            </m:oMathPara>
          </w:p>
        </w:tc>
        <w:tc>
          <w:tcPr>
            <w:tcW w:w="864" w:type="pct"/>
          </w:tcPr>
          <w:p w:rsidR="00DA58B9" w:rsidRDefault="00DA58B9" w:rsidP="00965681">
            <w:r>
              <w:t>(1)</w:t>
            </w:r>
          </w:p>
        </w:tc>
      </w:tr>
    </w:tbl>
    <w:p w:rsidR="00DA58B9" w:rsidRDefault="00DA58B9" w:rsidP="00965681">
      <w:pPr>
        <w:jc w:val="center"/>
        <w:rPr>
          <w:b/>
        </w:rPr>
      </w:pPr>
    </w:p>
    <w:p w:rsidR="00DA58B9" w:rsidRDefault="00DA58B9" w:rsidP="00965681">
      <w:r>
        <w:t xml:space="preserve">tal que </w:t>
      </w:r>
      <w:r w:rsidRPr="00C112E6">
        <w:rPr>
          <w:b/>
          <w:i/>
        </w:rPr>
        <w:t>Z</w:t>
      </w:r>
      <w:r>
        <w:t xml:space="preserve"> é a matriz de Consumo Intermediário, </w:t>
      </w:r>
      <w:r w:rsidRPr="00C112E6">
        <w:rPr>
          <w:b/>
          <w:i/>
        </w:rPr>
        <w:t>f</w:t>
      </w:r>
      <w:r>
        <w:t xml:space="preserve"> é a matriz de Demanda Final e </w:t>
      </w:r>
      <w:r w:rsidRPr="00C112E6">
        <w:rPr>
          <w:b/>
          <w:i/>
        </w:rPr>
        <w:t>X</w:t>
      </w:r>
      <w:r>
        <w:t xml:space="preserve"> é a matriz  de Produto Final. Definindo então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=diag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C06652">
        <w:fldChar w:fldCharType="begin"/>
      </w:r>
      <w:r>
        <w:instrText xml:space="preserve"> QUOTE </w:instrText>
      </w:r>
      <w:r>
        <w:rPr>
          <w:noProof/>
          <w:lang w:eastAsia="pt-BR"/>
        </w:rPr>
        <w:drawing>
          <wp:inline distT="0" distB="0" distL="0" distR="0">
            <wp:extent cx="809625" cy="180975"/>
            <wp:effectExtent l="19050" t="0" r="9525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652">
        <w:fldChar w:fldCharType="end"/>
      </w:r>
      <w:r>
        <w:t xml:space="preserve">é possível encontrar a matriz de coeficientes técnicos </w:t>
      </w:r>
      <w:r w:rsidRPr="00C112E6">
        <w:rPr>
          <w:b/>
          <w:i/>
        </w:rPr>
        <w:t>A</w:t>
      </w:r>
      <w: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Default="00DA58B9" w:rsidP="00965681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pt-BR"/>
                  </w:rPr>
                  <m:t>A=Z(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  <w:noProof/>
                        <w:lang w:eastAsia="pt-B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lang w:eastAsia="pt-BR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pt-BR"/>
                  </w:rPr>
                  <m:t>)</m:t>
                </m:r>
              </m:oMath>
            </m:oMathPara>
          </w:p>
        </w:tc>
        <w:tc>
          <w:tcPr>
            <w:tcW w:w="864" w:type="pct"/>
          </w:tcPr>
          <w:p w:rsidR="00DA58B9" w:rsidRDefault="00DA58B9" w:rsidP="00965681">
            <w:r>
              <w:t>(2)</w:t>
            </w:r>
          </w:p>
        </w:tc>
      </w:tr>
    </w:tbl>
    <w:p w:rsidR="00DA58B9" w:rsidRDefault="00DA58B9" w:rsidP="00965681">
      <w:pPr>
        <w:jc w:val="center"/>
        <w:rPr>
          <w:noProof/>
          <w:lang w:eastAsia="pt-BR"/>
        </w:rPr>
      </w:pPr>
    </w:p>
    <w:p w:rsidR="00DA58B9" w:rsidRDefault="00DA58B9" w:rsidP="00965681">
      <w:pPr>
        <w:ind w:firstLine="708"/>
        <w:rPr>
          <w:bCs/>
          <w:szCs w:val="24"/>
        </w:rPr>
      </w:pPr>
      <w:r>
        <w:rPr>
          <w:bCs/>
          <w:szCs w:val="24"/>
        </w:rPr>
        <w:t xml:space="preserve">Cada elemento de </w:t>
      </w:r>
      <w:r w:rsidRPr="008C3B19">
        <w:rPr>
          <w:b/>
          <w:bCs/>
          <w:i/>
          <w:szCs w:val="24"/>
        </w:rPr>
        <w:t>A</w:t>
      </w:r>
      <w:r>
        <w:rPr>
          <w:bCs/>
          <w:szCs w:val="24"/>
        </w:rPr>
        <w:t xml:space="preserve"> é definido de forma geral como </w:t>
      </w:r>
      <m:oMath>
        <m:sSub>
          <m:sSubPr>
            <m:ctrlPr>
              <w:rPr>
                <w:rFonts w:ascii="Cambria Math" w:hAnsi="Cambria Math"/>
                <w:bCs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ij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bCs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j</m:t>
                </m:r>
              </m:sub>
            </m:sSub>
          </m:den>
        </m:f>
      </m:oMath>
      <w:r w:rsidR="00C06652">
        <w:rPr>
          <w:bCs/>
          <w:szCs w:val="24"/>
        </w:rPr>
        <w:fldChar w:fldCharType="begin"/>
      </w:r>
      <w:r>
        <w:rPr>
          <w:bCs/>
          <w:szCs w:val="24"/>
        </w:rPr>
        <w:instrText xml:space="preserve"> QUOTE </w:instrText>
      </w:r>
      <w:r>
        <w:rPr>
          <w:noProof/>
          <w:lang w:eastAsia="pt-BR"/>
        </w:rPr>
        <w:drawing>
          <wp:inline distT="0" distB="0" distL="0" distR="0">
            <wp:extent cx="619125" cy="371475"/>
            <wp:effectExtent l="19050" t="0" r="9525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652">
        <w:rPr>
          <w:bCs/>
          <w:szCs w:val="24"/>
        </w:rPr>
        <w:fldChar w:fldCharType="end"/>
      </w:r>
      <w:r>
        <w:rPr>
          <w:bCs/>
          <w:szCs w:val="24"/>
        </w:rPr>
        <w:t xml:space="preserve">, correspondendo à proporção de insumos do setor </w:t>
      </w:r>
      <w:r w:rsidRPr="008C3B19">
        <w:rPr>
          <w:bCs/>
          <w:i/>
          <w:szCs w:val="24"/>
        </w:rPr>
        <w:t>i</w:t>
      </w:r>
      <w:r>
        <w:rPr>
          <w:bCs/>
          <w:szCs w:val="24"/>
        </w:rPr>
        <w:t xml:space="preserve"> que o setor </w:t>
      </w:r>
      <w:r w:rsidRPr="008C3B19">
        <w:rPr>
          <w:bCs/>
          <w:i/>
          <w:szCs w:val="24"/>
        </w:rPr>
        <w:t>j</w:t>
      </w:r>
      <w:r>
        <w:rPr>
          <w:bCs/>
          <w:szCs w:val="24"/>
        </w:rPr>
        <w:t xml:space="preserve"> necessita para produção de $ 1 de produto.</w:t>
      </w:r>
    </w:p>
    <w:p w:rsidR="00DA58B9" w:rsidRDefault="00DA58B9" w:rsidP="00965681">
      <w:r>
        <w:tab/>
        <w:t>Resolvendo o problema,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Default="00DA58B9" w:rsidP="00965681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AX+f=X</m:t>
                </m:r>
              </m:oMath>
            </m:oMathPara>
          </w:p>
        </w:tc>
        <w:tc>
          <w:tcPr>
            <w:tcW w:w="864" w:type="pct"/>
          </w:tcPr>
          <w:p w:rsidR="00DA58B9" w:rsidRDefault="00DA58B9" w:rsidP="00965681">
            <w:r>
              <w:t>(3)</w:t>
            </w:r>
          </w:p>
        </w:tc>
      </w:tr>
    </w:tbl>
    <w:p w:rsidR="00DA58B9" w:rsidRDefault="00DA58B9" w:rsidP="00965681">
      <w:pPr>
        <w:jc w:val="center"/>
        <w:rPr>
          <w:b/>
        </w:rPr>
      </w:pPr>
    </w:p>
    <w:p w:rsidR="00DA58B9" w:rsidRDefault="00DA58B9" w:rsidP="00965681">
      <w:r>
        <w:t>o que por manipulação  algébrica, redunda em: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Default="00DA58B9" w:rsidP="00965681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X=Bf</m:t>
                </m:r>
              </m:oMath>
            </m:oMathPara>
          </w:p>
        </w:tc>
        <w:tc>
          <w:tcPr>
            <w:tcW w:w="864" w:type="pct"/>
          </w:tcPr>
          <w:p w:rsidR="00DA58B9" w:rsidRDefault="00DA58B9" w:rsidP="00965681">
            <w:r>
              <w:t>(4)</w:t>
            </w:r>
          </w:p>
        </w:tc>
      </w:tr>
    </w:tbl>
    <w:p w:rsidR="00DA58B9" w:rsidRDefault="00DA58B9" w:rsidP="00965681"/>
    <w:p w:rsidR="00DA58B9" w:rsidRDefault="00DA58B9" w:rsidP="00965681">
      <w:pPr>
        <w:jc w:val="center"/>
        <w:rPr>
          <w:b/>
        </w:rPr>
      </w:pPr>
    </w:p>
    <w:p w:rsidR="00DA58B9" w:rsidRDefault="00DA58B9" w:rsidP="00965681">
      <w:r>
        <w:t xml:space="preserve">onde,  </w:t>
      </w:r>
      <w:r w:rsidRPr="00C112E6">
        <w:rPr>
          <w:b/>
          <w:i/>
        </w:rPr>
        <w:t>B</w:t>
      </w:r>
      <w:r>
        <w:t xml:space="preserve"> é a matriz inversa de Leontief dada por </w:t>
      </w:r>
      <m:oMath>
        <m:r>
          <m:rPr>
            <m:sty m:val="bi"/>
          </m:rP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(I-A)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</m:oMath>
      <w:r>
        <w:t xml:space="preserve">. Os elementos </w:t>
      </w:r>
      <w:r w:rsidRPr="00156B00">
        <w:rPr>
          <w:i/>
        </w:rPr>
        <w:t>b</w:t>
      </w:r>
      <w:r w:rsidRPr="00156B00">
        <w:rPr>
          <w:i/>
          <w:vertAlign w:val="subscript"/>
        </w:rPr>
        <w:t>ij</w:t>
      </w:r>
      <w:r>
        <w:t xml:space="preserve">da matriz </w:t>
      </w:r>
      <w:r w:rsidRPr="008C3B19">
        <w:rPr>
          <w:b/>
          <w:i/>
        </w:rPr>
        <w:t>B</w:t>
      </w:r>
      <w:r>
        <w:t>podem ser entendidos como os requerimentos diretos e indiretos da indústria</w:t>
      </w:r>
      <w:r w:rsidRPr="008C3B19">
        <w:rPr>
          <w:i/>
        </w:rPr>
        <w:t>j</w:t>
      </w:r>
      <w:r>
        <w:t xml:space="preserve"> para suprir um aumento unitário da produção de </w:t>
      </w:r>
      <w:r>
        <w:rPr>
          <w:i/>
        </w:rPr>
        <w:t>i</w:t>
      </w:r>
      <w:r>
        <w:t xml:space="preserve">.  </w:t>
      </w:r>
    </w:p>
    <w:p w:rsidR="00830B36" w:rsidRDefault="00830B36" w:rsidP="00965681">
      <w:pPr>
        <w:ind w:firstLine="708"/>
      </w:pPr>
      <w:r>
        <w:t>Uma limitação desta abordagem é o fato de que variações tecnológicas são exógenas ao sistema econômico, já que a tecnologia está representada pelos coeficientes técnicos da matriz de insumo-produto. Entretanto, a análise realizada neste trabalho, além de ser para apenas um período de tempo, ela se foca na estrutura de produção e nos fluxos de insumos entre os diferentes setores da economia sendo esta metodologia, portanto, apropriada para tal análise.</w:t>
      </w:r>
    </w:p>
    <w:p w:rsidR="00DA58B9" w:rsidRDefault="00F60E4B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Em termos de atividade inovadora, define-se que os gastos de </w:t>
      </w:r>
      <w:r w:rsidR="00DA58B9">
        <w:rPr>
          <w:rFonts w:ascii="Times New Roman" w:hAnsi="Times New Roman" w:cs="Times New Roman"/>
          <w:color w:val="auto"/>
        </w:rPr>
        <w:t>P&amp;D contido</w:t>
      </w:r>
      <w:r>
        <w:rPr>
          <w:rFonts w:ascii="Times New Roman" w:hAnsi="Times New Roman" w:cs="Times New Roman"/>
          <w:color w:val="auto"/>
        </w:rPr>
        <w:t>s</w:t>
      </w:r>
      <w:r w:rsidR="00DA58B9">
        <w:rPr>
          <w:rFonts w:ascii="Times New Roman" w:hAnsi="Times New Roman" w:cs="Times New Roman"/>
          <w:color w:val="auto"/>
        </w:rPr>
        <w:t xml:space="preserve"> na indústria </w:t>
      </w:r>
      <w:r w:rsidR="00DA58B9">
        <w:rPr>
          <w:rFonts w:ascii="Times New Roman" w:hAnsi="Times New Roman" w:cs="Times New Roman"/>
          <w:i/>
          <w:color w:val="auto"/>
        </w:rPr>
        <w:t>j</w:t>
      </w:r>
      <w:r>
        <w:rPr>
          <w:rFonts w:ascii="Times New Roman" w:hAnsi="Times New Roman" w:cs="Times New Roman"/>
          <w:color w:val="auto"/>
        </w:rPr>
        <w:t xml:space="preserve">são </w:t>
      </w:r>
      <w:r w:rsidR="00DA58B9">
        <w:rPr>
          <w:rFonts w:ascii="Times New Roman" w:hAnsi="Times New Roman" w:cs="Times New Roman"/>
          <w:color w:val="auto"/>
        </w:rPr>
        <w:t>composto</w:t>
      </w:r>
      <w:r>
        <w:rPr>
          <w:rFonts w:ascii="Times New Roman" w:hAnsi="Times New Roman" w:cs="Times New Roman"/>
          <w:color w:val="auto"/>
        </w:rPr>
        <w:t>s</w:t>
      </w:r>
      <w:r w:rsidR="00DA58B9">
        <w:rPr>
          <w:rFonts w:ascii="Times New Roman" w:hAnsi="Times New Roman" w:cs="Times New Roman"/>
          <w:color w:val="auto"/>
        </w:rPr>
        <w:t xml:space="preserve"> pelo</w:t>
      </w:r>
      <w:r>
        <w:rPr>
          <w:rFonts w:ascii="Times New Roman" w:hAnsi="Times New Roman" w:cs="Times New Roman"/>
          <w:color w:val="auto"/>
        </w:rPr>
        <w:t>s</w:t>
      </w:r>
      <w:r w:rsidR="00DA58B9">
        <w:rPr>
          <w:rFonts w:ascii="Times New Roman" w:hAnsi="Times New Roman" w:cs="Times New Roman"/>
          <w:color w:val="auto"/>
        </w:rPr>
        <w:t xml:space="preserve"> gasto</w:t>
      </w:r>
      <w:r>
        <w:rPr>
          <w:rFonts w:ascii="Times New Roman" w:hAnsi="Times New Roman" w:cs="Times New Roman"/>
          <w:color w:val="auto"/>
        </w:rPr>
        <w:t>s</w:t>
      </w:r>
      <w:r w:rsidR="00DA58B9">
        <w:rPr>
          <w:rFonts w:ascii="Times New Roman" w:hAnsi="Times New Roman" w:cs="Times New Roman"/>
          <w:color w:val="auto"/>
        </w:rPr>
        <w:t xml:space="preserve"> direto</w:t>
      </w:r>
      <w:r>
        <w:rPr>
          <w:rFonts w:ascii="Times New Roman" w:hAnsi="Times New Roman" w:cs="Times New Roman"/>
          <w:color w:val="auto"/>
        </w:rPr>
        <w:t>s</w:t>
      </w:r>
      <w:r w:rsidR="00DA58B9">
        <w:rPr>
          <w:rFonts w:ascii="Times New Roman" w:hAnsi="Times New Roman" w:cs="Times New Roman"/>
          <w:color w:val="auto"/>
        </w:rPr>
        <w:t xml:space="preserve"> em P&amp;D e pelo P&amp;D incorporado nos insumos domésticos adquiridos, bens e serviços de investimento domésticos, insumos intermediários importados e bens e serviços de investimentos importados. Pode-se</w:t>
      </w:r>
      <w:r>
        <w:rPr>
          <w:rFonts w:ascii="Times New Roman" w:hAnsi="Times New Roman" w:cs="Times New Roman"/>
          <w:color w:val="auto"/>
        </w:rPr>
        <w:t>,</w:t>
      </w:r>
      <w:r w:rsidR="00DA58B9">
        <w:rPr>
          <w:rFonts w:ascii="Times New Roman" w:hAnsi="Times New Roman" w:cs="Times New Roman"/>
          <w:color w:val="auto"/>
        </w:rPr>
        <w:t xml:space="preserve"> então</w:t>
      </w:r>
      <w:r>
        <w:rPr>
          <w:rFonts w:ascii="Times New Roman" w:hAnsi="Times New Roman" w:cs="Times New Roman"/>
          <w:color w:val="auto"/>
        </w:rPr>
        <w:t>,</w:t>
      </w:r>
      <w:r w:rsidR="00DA58B9">
        <w:rPr>
          <w:rFonts w:ascii="Times New Roman" w:hAnsi="Times New Roman" w:cs="Times New Roman"/>
          <w:color w:val="auto"/>
        </w:rPr>
        <w:t xml:space="preserve"> definir intensidade direta de P&amp;D</w:t>
      </w:r>
      <w:r>
        <w:rPr>
          <w:rFonts w:ascii="Times New Roman" w:hAnsi="Times New Roman" w:cs="Times New Roman"/>
          <w:color w:val="auto"/>
        </w:rPr>
        <w:t xml:space="preserve"> como</w:t>
      </w:r>
      <w:r w:rsidR="00DA58B9">
        <w:rPr>
          <w:rFonts w:ascii="Times New Roman" w:hAnsi="Times New Roman" w:cs="Times New Roman"/>
          <w:color w:val="auto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Default="00C06652" w:rsidP="0096568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(5)</w:t>
            </w:r>
          </w:p>
        </w:tc>
      </w:tr>
    </w:tbl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Onde </w:t>
      </w:r>
      <w:r w:rsidRPr="00DB3177">
        <w:rPr>
          <w:rFonts w:ascii="Times New Roman" w:hAnsi="Times New Roman" w:cs="Times New Roman"/>
          <w:i/>
          <w:color w:val="auto"/>
        </w:rPr>
        <w:t>R</w:t>
      </w:r>
      <w:r w:rsidRPr="00DB3177">
        <w:rPr>
          <w:rFonts w:ascii="Times New Roman" w:hAnsi="Times New Roman" w:cs="Times New Roman"/>
          <w:i/>
          <w:color w:val="auto"/>
          <w:vertAlign w:val="subscript"/>
        </w:rPr>
        <w:t>i</w:t>
      </w:r>
      <w:r>
        <w:rPr>
          <w:rFonts w:ascii="Times New Roman" w:hAnsi="Times New Roman" w:cs="Times New Roman"/>
          <w:color w:val="auto"/>
        </w:rPr>
        <w:t xml:space="preserve"> é gasto em P&amp;D no setor </w:t>
      </w:r>
      <w:r w:rsidRPr="00666AB7">
        <w:rPr>
          <w:rFonts w:ascii="Times New Roman" w:hAnsi="Times New Roman" w:cs="Times New Roman"/>
          <w:i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e </w:t>
      </w:r>
      <w:r w:rsidRPr="00DB3177">
        <w:rPr>
          <w:rFonts w:ascii="Times New Roman" w:hAnsi="Times New Roman" w:cs="Times New Roman"/>
          <w:i/>
          <w:color w:val="auto"/>
        </w:rPr>
        <w:t>X</w:t>
      </w:r>
      <w:r w:rsidRPr="00E74CF7">
        <w:rPr>
          <w:rFonts w:ascii="Times New Roman" w:hAnsi="Times New Roman" w:cs="Times New Roman"/>
          <w:i/>
          <w:color w:val="auto"/>
          <w:vertAlign w:val="subscript"/>
        </w:rPr>
        <w:t>i</w:t>
      </w:r>
      <w:r>
        <w:rPr>
          <w:rFonts w:ascii="Times New Roman" w:hAnsi="Times New Roman" w:cs="Times New Roman"/>
          <w:color w:val="auto"/>
        </w:rPr>
        <w:t xml:space="preserve"> é o produto bruto do setor </w:t>
      </w:r>
      <w:r w:rsidRPr="00666AB7">
        <w:rPr>
          <w:rFonts w:ascii="Times New Roman" w:hAnsi="Times New Roman" w:cs="Times New Roman"/>
          <w:i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Sendo a matriz </w:t>
      </w:r>
      <m:oMath>
        <m:r>
          <m:rPr>
            <m:sty m:val="bi"/>
          </m:rPr>
          <w:rPr>
            <w:rFonts w:ascii="Cambria Math" w:hAnsi="Cambria Math" w:cs="Times New Roman"/>
            <w:color w:val="auto"/>
          </w:rPr>
          <m:t>r=[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</w:rPr>
          <m:t>]</m:t>
        </m:r>
      </m:oMath>
      <w:r>
        <w:rPr>
          <w:rFonts w:ascii="Times New Roman" w:hAnsi="Times New Roman" w:cs="Times New Roman"/>
          <w:b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e definindo </w:t>
      </w:r>
      <m:oMath>
        <m:acc>
          <m:acc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r</m:t>
            </m:r>
          </m:e>
        </m:acc>
        <m:r>
          <w:rPr>
            <w:rFonts w:ascii="Cambria Math" w:hAnsi="Cambria Math" w:cs="Times New Roman"/>
            <w:color w:val="auto"/>
          </w:rPr>
          <m:t>=diag(</m:t>
        </m:r>
        <m:r>
          <m:rPr>
            <m:sty m:val="bi"/>
          </m:rPr>
          <w:rPr>
            <w:rFonts w:ascii="Cambria Math" w:hAnsi="Cambria Math" w:cs="Times New Roman"/>
            <w:color w:val="auto"/>
          </w:rPr>
          <m:t>r</m:t>
        </m:r>
        <m:r>
          <w:rPr>
            <w:rFonts w:ascii="Cambria Math" w:hAnsi="Cambria Math" w:cs="Times New Roman"/>
            <w:color w:val="auto"/>
          </w:rPr>
          <m:t>)</m:t>
        </m:r>
      </m:oMath>
      <w:r>
        <w:rPr>
          <w:rFonts w:ascii="Times New Roman" w:hAnsi="Times New Roman" w:cs="Times New Roman"/>
          <w:color w:val="auto"/>
        </w:rPr>
        <w:t xml:space="preserve">, é possível então encontrar a  matriz </w:t>
      </w:r>
      <w:r w:rsidRPr="00E8723B">
        <w:rPr>
          <w:rFonts w:ascii="Times New Roman" w:hAnsi="Times New Roman" w:cs="Times New Roman"/>
          <w:b/>
          <w:i/>
          <w:color w:val="auto"/>
        </w:rPr>
        <w:t>T</w:t>
      </w:r>
      <w:r>
        <w:rPr>
          <w:rFonts w:ascii="Times New Roman" w:hAnsi="Times New Roman" w:cs="Times New Roman"/>
          <w:color w:val="auto"/>
        </w:rPr>
        <w:t xml:space="preserve"> de P&amp;D doméstico incorporado total por unidade da demanda final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Default="00DA58B9" w:rsidP="00965681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T=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B=[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(6)</w:t>
            </w:r>
          </w:p>
        </w:tc>
      </w:tr>
    </w:tbl>
    <w:p w:rsidR="00F9177B" w:rsidRDefault="00F9177B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DA58B9" w:rsidRDefault="001B102B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matriz </w:t>
      </w:r>
      <w:r w:rsidRPr="00E8723B">
        <w:rPr>
          <w:rFonts w:ascii="Times New Roman" w:hAnsi="Times New Roman" w:cs="Times New Roman"/>
          <w:b/>
          <w:i/>
          <w:color w:val="auto"/>
        </w:rPr>
        <w:t>T</w:t>
      </w:r>
      <w:r>
        <w:rPr>
          <w:rFonts w:ascii="Times New Roman" w:hAnsi="Times New Roman" w:cs="Times New Roman"/>
          <w:color w:val="auto"/>
        </w:rPr>
        <w:t xml:space="preserve">, porém, contém um problema de dupla contagem, o que pode gerar problemas. A dupla contagem surge porque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rPr>
          <w:rFonts w:ascii="Times New Roman" w:hAnsi="Times New Roman" w:cs="Times New Roman"/>
          <w:color w:val="auto"/>
          <w:szCs w:val="22"/>
        </w:rPr>
        <w:t xml:space="preserve"> inclui tanto as ligações para trás que </w:t>
      </w:r>
      <w:r w:rsidRPr="0087536D">
        <w:rPr>
          <w:rFonts w:ascii="Times New Roman" w:hAnsi="Times New Roman" w:cs="Times New Roman"/>
          <w:i/>
          <w:color w:val="auto"/>
          <w:szCs w:val="22"/>
        </w:rPr>
        <w:t>j</w:t>
      </w:r>
      <w:r>
        <w:rPr>
          <w:rFonts w:ascii="Times New Roman" w:hAnsi="Times New Roman" w:cs="Times New Roman"/>
          <w:color w:val="auto"/>
          <w:szCs w:val="22"/>
        </w:rPr>
        <w:t xml:space="preserve"> requer para determinação da intensidade de P&amp;D industrial incorporado, assim como as ligações interindustriais para frente da indústria </w:t>
      </w:r>
      <w:r>
        <w:rPr>
          <w:rFonts w:ascii="Times New Roman" w:hAnsi="Times New Roman" w:cs="Times New Roman"/>
          <w:i/>
          <w:color w:val="auto"/>
          <w:szCs w:val="22"/>
        </w:rPr>
        <w:t>j</w:t>
      </w:r>
      <w:r>
        <w:rPr>
          <w:rFonts w:ascii="Times New Roman" w:hAnsi="Times New Roman" w:cs="Times New Roman"/>
          <w:color w:val="auto"/>
          <w:szCs w:val="22"/>
        </w:rPr>
        <w:t xml:space="preserve">, antes de chegar nas categorias exógenas de demanda final de </w:t>
      </w:r>
      <w:r>
        <w:rPr>
          <w:rFonts w:ascii="Times New Roman" w:hAnsi="Times New Roman" w:cs="Times New Roman"/>
          <w:i/>
          <w:color w:val="auto"/>
          <w:szCs w:val="22"/>
        </w:rPr>
        <w:t>j</w:t>
      </w:r>
      <w:r>
        <w:rPr>
          <w:rFonts w:ascii="Times New Roman" w:hAnsi="Times New Roman" w:cs="Times New Roman"/>
          <w:color w:val="auto"/>
          <w:szCs w:val="22"/>
        </w:rPr>
        <w:t xml:space="preserve"> (Hauknes e Knell, 2009). </w:t>
      </w:r>
      <w:r w:rsidR="00DA58B9">
        <w:rPr>
          <w:rFonts w:ascii="Times New Roman" w:hAnsi="Times New Roman" w:cs="Times New Roman"/>
          <w:color w:val="auto"/>
        </w:rPr>
        <w:lastRenderedPageBreak/>
        <w:t>Baseando-se então em Miller e Blair (2009) e Papaconstantinou</w:t>
      </w:r>
      <w:r w:rsidR="00DA58B9" w:rsidRPr="00E8723B">
        <w:rPr>
          <w:rFonts w:ascii="Times New Roman" w:hAnsi="Times New Roman" w:cs="Times New Roman"/>
          <w:i/>
          <w:color w:val="auto"/>
        </w:rPr>
        <w:t>et al</w:t>
      </w:r>
      <w:r w:rsidR="00CF3EB2">
        <w:rPr>
          <w:rFonts w:ascii="Times New Roman" w:hAnsi="Times New Roman" w:cs="Times New Roman"/>
          <w:i/>
          <w:color w:val="auto"/>
        </w:rPr>
        <w:t>.</w:t>
      </w:r>
      <w:r w:rsidR="00DA58B9">
        <w:rPr>
          <w:rFonts w:ascii="Times New Roman" w:hAnsi="Times New Roman" w:cs="Times New Roman"/>
          <w:color w:val="auto"/>
        </w:rPr>
        <w:t xml:space="preserve"> (1998), remove-se o problema da dupla contagem utilizando o multiplicador baseado no produto-por-produto</w:t>
      </w:r>
      <w:r w:rsidR="00DA58B9">
        <w:rPr>
          <w:rStyle w:val="Refdenotaderodap"/>
          <w:rFonts w:ascii="Times New Roman" w:hAnsi="Times New Roman"/>
          <w:color w:val="auto"/>
        </w:rPr>
        <w:footnoteReference w:id="5"/>
      </w:r>
      <w:r w:rsidR="00DA58B9">
        <w:rPr>
          <w:rFonts w:ascii="Times New Roman" w:hAnsi="Times New Roman" w:cs="Times New Roman"/>
          <w:color w:val="auto"/>
        </w:rPr>
        <w:t>, o que leva a: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Default="00DA58B9" w:rsidP="00965681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Tx=</m:t>
                </m:r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=[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(7)</w:t>
            </w:r>
          </w:p>
        </w:tc>
      </w:tr>
    </w:tbl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Onde, </w:t>
      </w:r>
      <m:oMath>
        <m:sSup>
          <m:sSupPr>
            <m:ctrlPr>
              <w:rPr>
                <w:rFonts w:ascii="Cambria Math" w:hAnsi="Cambria Math" w:cs="Times New Roman"/>
                <w:i/>
                <w:color w:val="aut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B</m:t>
            </m:r>
          </m:e>
          <m:sup>
            <m:r>
              <w:rPr>
                <w:rFonts w:ascii="Cambria Math" w:hAnsi="Cambria Math" w:cs="Times New Roman"/>
                <w:color w:val="auto"/>
              </w:rPr>
              <m:t>*</m:t>
            </m:r>
          </m:sup>
        </m:sSup>
        <m:r>
          <w:rPr>
            <w:rFonts w:ascii="Cambria Math" w:hAnsi="Cambria Math" w:cs="Times New Roman"/>
            <w:color w:val="auto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auto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B</m:t>
            </m:r>
            <m:r>
              <w:rPr>
                <w:rFonts w:ascii="Cambria Math" w:hAnsi="Cambria Math" w:cs="Times New Roman"/>
                <w:color w:val="auto"/>
              </w:rPr>
              <m:t>(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auto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</w:rPr>
                  <m:t>B</m:t>
                </m:r>
              </m:e>
            </m:acc>
            <m:r>
              <w:rPr>
                <w:rFonts w:ascii="Cambria Math" w:hAnsi="Cambria Math" w:cs="Times New Roman"/>
                <w:color w:val="auto"/>
              </w:rPr>
              <m:t>)</m:t>
            </m:r>
          </m:e>
          <m:sup>
            <m:r>
              <w:rPr>
                <w:rFonts w:ascii="Cambria Math" w:hAnsi="Cambria Math" w:cs="Times New Roman"/>
                <w:color w:val="auto"/>
              </w:rPr>
              <m:t>-1</m:t>
            </m:r>
          </m:sup>
        </m:sSup>
      </m:oMath>
      <w:r>
        <w:rPr>
          <w:rFonts w:ascii="Times New Roman" w:hAnsi="Times New Roman" w:cs="Times New Roman"/>
          <w:color w:val="auto"/>
        </w:rPr>
        <w:t xml:space="preserve">, sendo que </w:t>
      </w:r>
      <m:oMath>
        <m:acc>
          <m:acc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B</m:t>
            </m:r>
          </m:e>
        </m:acc>
        <m:r>
          <w:rPr>
            <w:rFonts w:ascii="Cambria Math" w:hAnsi="Cambria Math" w:cs="Times New Roman"/>
            <w:color w:val="auto"/>
          </w:rPr>
          <m:t>=diag(</m:t>
        </m:r>
        <m:r>
          <m:rPr>
            <m:sty m:val="bi"/>
          </m:rPr>
          <w:rPr>
            <w:rFonts w:ascii="Cambria Math" w:hAnsi="Cambria Math" w:cs="Times New Roman"/>
            <w:color w:val="auto"/>
          </w:rPr>
          <m:t>B</m:t>
        </m:r>
        <m:r>
          <w:rPr>
            <w:rFonts w:ascii="Cambria Math" w:hAnsi="Cambria Math" w:cs="Times New Roman"/>
            <w:color w:val="auto"/>
          </w:rPr>
          <m:t>)</m:t>
        </m:r>
      </m:oMath>
      <w:r>
        <w:rPr>
          <w:rFonts w:ascii="Times New Roman" w:hAnsi="Times New Roman" w:cs="Times New Roman"/>
          <w:color w:val="auto"/>
        </w:rPr>
        <w:t>.</w:t>
      </w:r>
    </w:p>
    <w:p w:rsidR="00DA58B9" w:rsidRPr="00A0329D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54CAD">
        <w:rPr>
          <w:rFonts w:ascii="Times New Roman" w:hAnsi="Times New Roman" w:cs="Times New Roman"/>
          <w:b/>
          <w:i/>
          <w:color w:val="auto"/>
        </w:rPr>
        <w:t>Tx</w:t>
      </w:r>
      <w:r>
        <w:rPr>
          <w:rFonts w:ascii="Times New Roman" w:hAnsi="Times New Roman" w:cs="Times New Roman"/>
          <w:color w:val="auto"/>
        </w:rPr>
        <w:t xml:space="preserve">irá medir, então, o P&amp;D total incorporado, ou a intensidade tecnológica da indústria </w:t>
      </w:r>
      <w:r>
        <w:rPr>
          <w:rFonts w:ascii="Times New Roman" w:hAnsi="Times New Roman" w:cs="Times New Roman"/>
          <w:i/>
          <w:color w:val="auto"/>
        </w:rPr>
        <w:t xml:space="preserve">j, </w:t>
      </w:r>
      <w:r>
        <w:rPr>
          <w:rFonts w:ascii="Times New Roman" w:hAnsi="Times New Roman" w:cs="Times New Roman"/>
          <w:color w:val="auto"/>
        </w:rPr>
        <w:t xml:space="preserve">relativa ao produto total desta indústria. Hauknes e Knell (2009) destacam o fato de que, enquanto </w:t>
      </w:r>
      <w:r w:rsidRPr="00E54CAD">
        <w:rPr>
          <w:rFonts w:ascii="Times New Roman" w:hAnsi="Times New Roman" w:cs="Times New Roman"/>
          <w:b/>
          <w:i/>
          <w:color w:val="auto"/>
        </w:rPr>
        <w:t>T</w:t>
      </w:r>
      <w:r>
        <w:rPr>
          <w:rFonts w:ascii="Times New Roman" w:hAnsi="Times New Roman" w:cs="Times New Roman"/>
          <w:color w:val="auto"/>
        </w:rPr>
        <w:t xml:space="preserve">mede a intensidade tecnológica por unidade da demanda final, </w:t>
      </w:r>
      <w:r w:rsidRPr="00A0329D">
        <w:rPr>
          <w:rFonts w:ascii="Times New Roman" w:hAnsi="Times New Roman" w:cs="Times New Roman"/>
          <w:b/>
          <w:i/>
          <w:color w:val="auto"/>
        </w:rPr>
        <w:t>Tx</w:t>
      </w:r>
      <w:r>
        <w:rPr>
          <w:rFonts w:ascii="Times New Roman" w:hAnsi="Times New Roman" w:cs="Times New Roman"/>
          <w:color w:val="auto"/>
        </w:rPr>
        <w:t xml:space="preserve"> mede a intensidade tecnológica por unidade do produto total.</w:t>
      </w: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Adotando então </w:t>
      </w:r>
      <w:r w:rsidRPr="00A0329D">
        <w:rPr>
          <w:rFonts w:ascii="Times New Roman" w:hAnsi="Times New Roman" w:cs="Times New Roman"/>
          <w:b/>
          <w:i/>
          <w:color w:val="auto"/>
        </w:rPr>
        <w:t>Tx</w:t>
      </w:r>
      <w:r>
        <w:rPr>
          <w:rFonts w:ascii="Times New Roman" w:hAnsi="Times New Roman" w:cs="Times New Roman"/>
          <w:color w:val="auto"/>
        </w:rPr>
        <w:t>, é possível escrever o P&amp;D próprio como: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Pr="006E658C" w:rsidRDefault="00C06652" w:rsidP="00965681">
            <w:pPr>
              <w:pStyle w:val="Default"/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color w:val="auto"/>
                    </w:rPr>
                    <m:t>d</m:t>
                  </m:r>
                </m:sup>
              </m:sSubSup>
              <m:r>
                <w:rPr>
                  <w:rFonts w:ascii="Cambria Math" w:hAnsi="Cambria Math" w:cs="Times New Roman"/>
                  <w:color w:val="auto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tx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 xml:space="preserve"> </m:t>
              </m:r>
            </m:oMath>
            <w:r w:rsidR="00DA58B9">
              <w:rPr>
                <w:rFonts w:ascii="Times New Roman" w:hAnsi="Times New Roman" w:cs="Times New Roman"/>
                <w:color w:val="auto"/>
              </w:rPr>
              <w:t>se</w:t>
            </w:r>
            <w:r w:rsidR="006776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A58B9" w:rsidRPr="00F9754D">
              <w:rPr>
                <w:rFonts w:ascii="Times New Roman" w:hAnsi="Times New Roman" w:cs="Times New Roman"/>
                <w:i/>
                <w:color w:val="auto"/>
              </w:rPr>
              <w:t>i=j</w:t>
            </w:r>
            <w:r w:rsidR="00DA58B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(8)</w:t>
            </w:r>
          </w:p>
        </w:tc>
      </w:tr>
    </w:tbl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 P&amp;D incorporado nos insumos domésticos é, então, igual a: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Pr="006E658C" w:rsidRDefault="00C06652" w:rsidP="00965681">
            <w:pPr>
              <w:pStyle w:val="Default"/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d</m:t>
                    </m:r>
                  </m:sup>
                </m:sSubSup>
                <m:r>
                  <w:rPr>
                    <w:rFonts w:ascii="Cambria Math" w:hAnsi="Cambria Math" w:cs="Times New Roman"/>
                    <w:color w:val="auto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i=1,  i≠j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i</m:t>
                            </m:r>
                          </m:sub>
                        </m:sSub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auto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auto"/>
                                  </w:rPr>
                                  <m:t>ij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auto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auto"/>
                                  </w:rPr>
                                  <m:t>jj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</m:oMath>
            </m:oMathPara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(9)</w:t>
            </w:r>
          </w:p>
        </w:tc>
      </w:tr>
    </w:tbl>
    <w:p w:rsidR="00DA58B9" w:rsidRDefault="00DA58B9" w:rsidP="009656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A58B9" w:rsidRDefault="00DA58B9" w:rsidP="0096568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partir do qual é possível definir, </w:t>
      </w:r>
      <m:oMath>
        <m:sSup>
          <m:sSupPr>
            <m:ctrlPr>
              <w:rPr>
                <w:rFonts w:ascii="Cambria Math" w:hAnsi="Cambria Math" w:cs="Times New Roman"/>
                <w:i/>
                <w:color w:val="auto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</w:rPr>
              <m:t>s</m:t>
            </m:r>
          </m:e>
          <m:sup>
            <m:r>
              <w:rPr>
                <w:rFonts w:ascii="Cambria Math" w:hAnsi="Cambria Math" w:cs="Times New Roman"/>
                <w:color w:val="auto"/>
              </w:rPr>
              <m:t>d</m:t>
            </m:r>
          </m:sup>
        </m:sSup>
      </m:oMath>
      <w:r>
        <w:rPr>
          <w:rFonts w:ascii="Times New Roman" w:hAnsi="Times New Roman" w:cs="Times New Roman"/>
          <w:color w:val="auto"/>
        </w:rPr>
        <w:t xml:space="preserve"> – intensidade do P&amp;D doméstico total contido (em </w:t>
      </w:r>
      <w:r>
        <w:rPr>
          <w:rFonts w:ascii="Times New Roman" w:hAnsi="Times New Roman" w:cs="Times New Roman"/>
          <w:i/>
          <w:color w:val="auto"/>
        </w:rPr>
        <w:t>j</w:t>
      </w:r>
      <w:r w:rsidRPr="000F4CBE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– como  a soma de </w:t>
      </w:r>
      <m:oMath>
        <m:sSubSup>
          <m:sSubSupPr>
            <m:ctrlPr>
              <w:rPr>
                <w:rFonts w:ascii="Cambria Math" w:hAnsi="Cambria Math" w:cs="Times New Roman"/>
                <w:i/>
                <w:color w:val="auto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</w:rPr>
              <m:t>r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j</m:t>
            </m:r>
          </m:sub>
          <m:sup>
            <m:r>
              <w:rPr>
                <w:rFonts w:ascii="Cambria Math" w:hAnsi="Cambria Math" w:cs="Times New Roman"/>
                <w:color w:val="auto"/>
              </w:rPr>
              <m:t>d</m:t>
            </m:r>
          </m:sup>
        </m:sSubSup>
      </m:oMath>
      <w:r>
        <w:rPr>
          <w:rFonts w:ascii="Times New Roman" w:hAnsi="Times New Roman" w:cs="Times New Roman"/>
          <w:color w:val="auto"/>
        </w:rPr>
        <w:t xml:space="preserve">e </w:t>
      </w:r>
      <m:oMath>
        <m:sSubSup>
          <m:sSubSupPr>
            <m:ctrlPr>
              <w:rPr>
                <w:rFonts w:ascii="Cambria Math" w:hAnsi="Cambria Math" w:cs="Times New Roman"/>
                <w:i/>
                <w:color w:val="auto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</w:rPr>
              <m:t>t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j</m:t>
            </m:r>
          </m:sub>
          <m:sup>
            <m:r>
              <w:rPr>
                <w:rFonts w:ascii="Cambria Math" w:hAnsi="Cambria Math" w:cs="Times New Roman"/>
                <w:color w:val="auto"/>
              </w:rPr>
              <m:t>d</m:t>
            </m:r>
          </m:sup>
        </m:sSubSup>
      </m:oMath>
      <w:r>
        <w:rPr>
          <w:rFonts w:ascii="Times New Roman" w:hAnsi="Times New Roman" w:cs="Times New Roman"/>
          <w:color w:val="auto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Pr="006E658C" w:rsidRDefault="00C06652" w:rsidP="00965681">
            <w:pPr>
              <w:pStyle w:val="Default"/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d</m:t>
                    </m:r>
                  </m:sup>
                </m:sSubSup>
                <m:r>
                  <w:rPr>
                    <w:rFonts w:ascii="Cambria Math" w:hAnsi="Cambria Math" w:cs="Times New Roman"/>
                    <w:color w:val="auto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d</m:t>
                    </m:r>
                  </m:sup>
                </m:sSubSup>
                <m:r>
                  <w:rPr>
                    <w:rFonts w:ascii="Cambria Math" w:hAnsi="Cambria Math" w:cs="Times New Roman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d</m:t>
                    </m:r>
                  </m:sup>
                </m:sSubSup>
                <m:r>
                  <w:rPr>
                    <w:rFonts w:ascii="Cambria Math" w:hAnsi="Cambria Math" w:cs="Times New Roman"/>
                    <w:color w:val="auto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d</m:t>
                            </m:r>
                          </m:sup>
                        </m:sSubSup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auto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auto"/>
                                  </w:rPr>
                                  <m:t>ij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auto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auto"/>
                                  </w:rPr>
                                  <m:t>jj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nary>
              </m:oMath>
            </m:oMathPara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(10)</w:t>
            </w:r>
          </w:p>
        </w:tc>
      </w:tr>
    </w:tbl>
    <w:p w:rsidR="00DA58B9" w:rsidRDefault="00DA58B9" w:rsidP="009656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Hauknes e Knell (2009) apontam que a fórmula acima apresenta um viés “para baixo” que aumenta com a agregação. Ainda são necessários os outros canais de fluxos de P&amp;D incorporados, que foram definidos acima. Assim, uma maneira simples de considerar comércio internacional é</w:t>
      </w:r>
      <w:r>
        <w:rPr>
          <w:rStyle w:val="Refdenotaderodap"/>
          <w:rFonts w:ascii="Times New Roman" w:hAnsi="Times New Roman"/>
          <w:color w:val="auto"/>
        </w:rPr>
        <w:footnoteReference w:id="6"/>
      </w:r>
      <w:r>
        <w:rPr>
          <w:rFonts w:ascii="Times New Roman" w:hAnsi="Times New Roman" w:cs="Times New Roman"/>
          <w:color w:val="auto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Pr="006E658C" w:rsidRDefault="00C06652" w:rsidP="00965681">
            <w:pPr>
              <w:pStyle w:val="Default"/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x</m:t>
                    </m:r>
                  </m:sup>
                </m:sSubSup>
                <m:r>
                  <w:rPr>
                    <w:rFonts w:ascii="Cambria Math" w:hAnsi="Cambria Math" w:cs="Times New Roman"/>
                    <w:color w:val="auto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d</m:t>
                    </m:r>
                  </m:sup>
                </m:sSubSup>
                <m:r>
                  <w:rPr>
                    <w:rFonts w:ascii="Cambria Math" w:hAnsi="Cambria Math" w:cs="Times New Roman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d</m:t>
                    </m:r>
                  </m:sup>
                </m:sSubSup>
                <m:r>
                  <w:rPr>
                    <w:rFonts w:ascii="Cambria Math" w:hAnsi="Cambria Math" w:cs="Times New Roman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m</m:t>
                    </m:r>
                  </m:sup>
                </m:sSubSup>
                <m:r>
                  <w:rPr>
                    <w:rFonts w:ascii="Cambria Math" w:hAnsi="Cambria Math" w:cs="Times New Roman"/>
                    <w:color w:val="auto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d</m:t>
                            </m:r>
                          </m:sup>
                        </m:sSub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auto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auto"/>
                                  </w:rPr>
                                  <m:t>ij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auto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auto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auto"/>
                                  </w:rPr>
                                  <m:t>jj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F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ij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(11)</w:t>
            </w:r>
          </w:p>
        </w:tc>
      </w:tr>
    </w:tbl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DA58B9" w:rsidRPr="00141945" w:rsidRDefault="00DA58B9" w:rsidP="0096568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onde, </w:t>
      </w:r>
      <m:oMath>
        <m:sSubSup>
          <m:sSubSupPr>
            <m:ctrlPr>
              <w:rPr>
                <w:rFonts w:ascii="Cambria Math" w:hAnsi="Cambria Math" w:cs="Times New Roman"/>
                <w:i/>
                <w:color w:val="auto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</w:rPr>
              <m:t>t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j</m:t>
            </m:r>
          </m:sub>
          <m:sup>
            <m:r>
              <w:rPr>
                <w:rFonts w:ascii="Cambria Math" w:hAnsi="Cambria Math" w:cs="Times New Roman"/>
                <w:color w:val="auto"/>
              </w:rPr>
              <m:t>m</m:t>
            </m:r>
          </m:sup>
        </m:sSubSup>
      </m:oMath>
      <w:r>
        <w:rPr>
          <w:rFonts w:ascii="Times New Roman" w:hAnsi="Times New Roman" w:cs="Times New Roman"/>
          <w:color w:val="auto"/>
        </w:rPr>
        <w:t xml:space="preserve"> é o gasto de P&amp;D incorporado em insumos importados, </w:t>
      </w:r>
      <m:oMath>
        <m:sSubSup>
          <m:sSubSupPr>
            <m:ctrlPr>
              <w:rPr>
                <w:rFonts w:ascii="Cambria Math" w:hAnsi="Cambria Math" w:cs="Times New Roman"/>
                <w:i/>
                <w:color w:val="auto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</w:rPr>
              <m:t>R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i</m:t>
            </m:r>
          </m:sub>
          <m:sup>
            <m:r>
              <w:rPr>
                <w:rFonts w:ascii="Cambria Math" w:hAnsi="Cambria Math" w:cs="Times New Roman"/>
                <w:color w:val="auto"/>
              </w:rPr>
              <m:t>F</m:t>
            </m:r>
          </m:sup>
        </m:sSubSup>
      </m:oMath>
      <w:r>
        <w:rPr>
          <w:rFonts w:ascii="Times New Roman" w:hAnsi="Times New Roman" w:cs="Times New Roman"/>
          <w:color w:val="auto"/>
        </w:rPr>
        <w:t>é a fronteira tecnológica, definida como a média de intensidade de P&amp;D entre os Estados Unidos e a Europa-15</w:t>
      </w:r>
      <w:r>
        <w:rPr>
          <w:rStyle w:val="Refdenotaderodap"/>
          <w:rFonts w:ascii="Times New Roman" w:hAnsi="Times New Roman"/>
          <w:color w:val="auto"/>
        </w:rPr>
        <w:footnoteReference w:id="7"/>
      </w:r>
      <w:r>
        <w:rPr>
          <w:rFonts w:ascii="Times New Roman" w:hAnsi="Times New Roman" w:cs="Times New Roman"/>
          <w:color w:val="auto"/>
        </w:rPr>
        <w:t xml:space="preserve">, e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ij</m:t>
            </m:r>
          </m:sub>
        </m:sSub>
      </m:oMath>
      <w:r>
        <w:rPr>
          <w:rFonts w:ascii="Times New Roman" w:hAnsi="Times New Roman" w:cs="Times New Roman"/>
          <w:color w:val="auto"/>
        </w:rPr>
        <w:t xml:space="preserve"> são os elementos da matriz </w:t>
      </w:r>
      <w:r w:rsidRPr="00141945">
        <w:rPr>
          <w:rFonts w:ascii="Times New Roman" w:hAnsi="Times New Roman" w:cs="Times New Roman"/>
          <w:b/>
          <w:i/>
          <w:color w:val="auto"/>
        </w:rPr>
        <w:t>M</w:t>
      </w:r>
      <w:r>
        <w:rPr>
          <w:rFonts w:ascii="Times New Roman" w:hAnsi="Times New Roman" w:cs="Times New Roman"/>
          <w:color w:val="auto"/>
        </w:rPr>
        <w:t xml:space="preserve"> de coeficientes importados de todos os setores estrangeiros </w:t>
      </w:r>
      <w:r>
        <w:rPr>
          <w:rFonts w:ascii="Times New Roman" w:hAnsi="Times New Roman" w:cs="Times New Roman"/>
          <w:i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para o setor doméstico </w:t>
      </w:r>
      <w:r>
        <w:rPr>
          <w:rFonts w:ascii="Times New Roman" w:hAnsi="Times New Roman" w:cs="Times New Roman"/>
          <w:i/>
          <w:color w:val="auto"/>
        </w:rPr>
        <w:t>j</w:t>
      </w:r>
      <w:r>
        <w:rPr>
          <w:rFonts w:ascii="Times New Roman" w:hAnsi="Times New Roman" w:cs="Times New Roman"/>
          <w:color w:val="auto"/>
        </w:rPr>
        <w:t>.</w:t>
      </w: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Tomando o vetor de formação bruta de capital fixo da demanda final </w:t>
      </w:r>
      <m:oMath>
        <m:r>
          <w:rPr>
            <w:rFonts w:ascii="Cambria Math" w:hAnsi="Cambria Math" w:cs="Times New Roman"/>
            <w:color w:val="auto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color w:val="auto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</w:rPr>
              <m:t>Y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i</m:t>
            </m:r>
          </m:sub>
          <m:sup>
            <m:r>
              <w:rPr>
                <w:rFonts w:ascii="Cambria Math" w:hAnsi="Cambria Math" w:cs="Times New Roman"/>
                <w:color w:val="auto"/>
              </w:rPr>
              <m:t>I</m:t>
            </m:r>
          </m:sup>
        </m:sSubSup>
        <m:r>
          <w:rPr>
            <w:rFonts w:ascii="Cambria Math" w:hAnsi="Cambria Math" w:cs="Times New Roman"/>
            <w:color w:val="auto"/>
          </w:rPr>
          <m:t>)</m:t>
        </m:r>
      </m:oMath>
      <w:r>
        <w:rPr>
          <w:rFonts w:ascii="Times New Roman" w:hAnsi="Times New Roman" w:cs="Times New Roman"/>
          <w:color w:val="auto"/>
        </w:rPr>
        <w:t xml:space="preserve"> e dividindo pelo produto total do setor </w:t>
      </w:r>
      <m:oMath>
        <m:r>
          <w:rPr>
            <w:rFonts w:ascii="Cambria Math" w:hAnsi="Cambria Math" w:cs="Times New Roman"/>
            <w:color w:val="auto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color w:val="auto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j</m:t>
            </m:r>
          </m:sub>
          <m:sup/>
        </m:sSubSup>
        <m:r>
          <w:rPr>
            <w:rFonts w:ascii="Cambria Math" w:hAnsi="Cambria Math" w:cs="Times New Roman"/>
            <w:color w:val="auto"/>
          </w:rPr>
          <m:t>)</m:t>
        </m:r>
      </m:oMath>
      <w:r>
        <w:rPr>
          <w:rFonts w:ascii="Times New Roman" w:hAnsi="Times New Roman" w:cs="Times New Roman"/>
          <w:color w:val="auto"/>
        </w:rPr>
        <w:t xml:space="preserve">, tem-se o vetor </w:t>
      </w:r>
      <m:oMath>
        <m:sSubSup>
          <m:sSubSupPr>
            <m:ctrlPr>
              <w:rPr>
                <w:rFonts w:ascii="Cambria Math" w:hAnsi="Cambria Math" w:cs="Times New Roman"/>
                <w:i/>
                <w:color w:val="auto"/>
              </w:rPr>
            </m:ctrlPr>
          </m:sSubSupPr>
          <m:e>
            <m:r>
              <w:rPr>
                <w:rFonts w:ascii="Cambria Math" w:hAnsi="Cambria Math" w:cs="Times New Roman"/>
                <w:color w:val="auto"/>
              </w:rPr>
              <m:t>I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ij</m:t>
            </m:r>
          </m:sub>
          <m:sup>
            <m:r>
              <w:rPr>
                <w:rFonts w:ascii="Cambria Math" w:hAnsi="Cambria Math" w:cs="Times New Roman"/>
                <w:color w:val="auto"/>
              </w:rPr>
              <m:t>d</m:t>
            </m:r>
          </m:sup>
        </m:sSubSup>
      </m:oMath>
      <w:r>
        <w:rPr>
          <w:rFonts w:ascii="Times New Roman" w:hAnsi="Times New Roman" w:cs="Times New Roman"/>
          <w:color w:val="auto"/>
        </w:rPr>
        <w:t>. Assim, o P&amp;D incorporado nas compras de bens de capital domésticos é: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Pr="006E658C" w:rsidRDefault="00C06652" w:rsidP="00965681">
            <w:pPr>
              <w:pStyle w:val="Default"/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dc</m:t>
                    </m:r>
                  </m:sup>
                </m:sSubSup>
                <m:r>
                  <w:rPr>
                    <w:rFonts w:ascii="Cambria Math" w:hAnsi="Cambria Math" w:cs="Times New Roman"/>
                    <w:color w:val="auto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i</m:t>
                        </m:r>
                      </m:sub>
                    </m:sSub>
                  </m:e>
                </m:nary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k=1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ik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ik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d</m:t>
                            </m:r>
                          </m:sup>
                        </m:sSubSup>
                      </m:e>
                    </m:nary>
                  </m:e>
                </m:d>
              </m:oMath>
            </m:oMathPara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(12)</w:t>
            </w:r>
          </w:p>
        </w:tc>
      </w:tr>
    </w:tbl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DA58B9" w:rsidRDefault="00DA58B9" w:rsidP="0096568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Enquanto o P&amp;D incorporado nas compras de bens de capital estrangeiros é: 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Pr="006E658C" w:rsidRDefault="00C06652" w:rsidP="00965681">
            <w:pPr>
              <w:pStyle w:val="Default"/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mc</m:t>
                    </m:r>
                  </m:sup>
                </m:sSubSup>
                <m:r>
                  <w:rPr>
                    <w:rFonts w:ascii="Cambria Math" w:hAnsi="Cambria Math" w:cs="Times New Roman"/>
                    <w:color w:val="auto"/>
                  </w:rPr>
                  <m:t>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auto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F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ij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m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(13)</w:t>
            </w:r>
          </w:p>
        </w:tc>
      </w:tr>
    </w:tbl>
    <w:p w:rsidR="00DA58B9" w:rsidRDefault="00DA58B9" w:rsidP="0096568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A58B9" w:rsidRDefault="00DA58B9" w:rsidP="0096568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A58B9" w:rsidRPr="009C2782" w:rsidRDefault="00DA58B9" w:rsidP="0096568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onde</w:t>
      </w:r>
      <w:r w:rsidR="006776F2">
        <w:rPr>
          <w:rFonts w:ascii="Times New Roman" w:hAnsi="Times New Roman" w:cs="Times New Roman"/>
          <w:color w:val="auto"/>
        </w:rPr>
        <w:t xml:space="preserve"> </w:t>
      </w:r>
      <w:r w:rsidRPr="00F9754D">
        <w:rPr>
          <w:rFonts w:ascii="Times New Roman" w:hAnsi="Times New Roman" w:cs="Times New Roman"/>
          <w:i/>
          <w:color w:val="auto"/>
        </w:rPr>
        <w:t>I</w:t>
      </w:r>
      <w:r w:rsidRPr="00F9754D">
        <w:rPr>
          <w:rFonts w:ascii="Times New Roman" w:hAnsi="Times New Roman" w:cs="Times New Roman"/>
          <w:i/>
          <w:color w:val="auto"/>
          <w:vertAlign w:val="superscript"/>
        </w:rPr>
        <w:t>m</w:t>
      </w:r>
      <w:r>
        <w:rPr>
          <w:rFonts w:ascii="Times New Roman" w:hAnsi="Times New Roman" w:cs="Times New Roman"/>
          <w:color w:val="auto"/>
        </w:rPr>
        <w:t xml:space="preserve">, é vetor de investimentos por unidade total do produto do setor </w:t>
      </w:r>
      <w:r w:rsidRPr="009C2782">
        <w:rPr>
          <w:rFonts w:ascii="Times New Roman" w:hAnsi="Times New Roman" w:cs="Times New Roman"/>
          <w:i/>
          <w:color w:val="auto"/>
        </w:rPr>
        <w:t>j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Por fim</w:t>
      </w:r>
      <w:r w:rsidR="00CF3EB2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então, a intensidade </w:t>
      </w:r>
      <w:r w:rsidR="007C3ABC">
        <w:rPr>
          <w:rFonts w:ascii="Times New Roman" w:hAnsi="Times New Roman" w:cs="Times New Roman"/>
          <w:color w:val="auto"/>
        </w:rPr>
        <w:t>tecnológica</w:t>
      </w:r>
      <w:r w:rsidR="00D15BED">
        <w:rPr>
          <w:rFonts w:ascii="Times New Roman" w:hAnsi="Times New Roman" w:cs="Times New Roman"/>
          <w:color w:val="auto"/>
        </w:rPr>
        <w:t xml:space="preserve"> total incorporada</w:t>
      </w:r>
      <w:r>
        <w:rPr>
          <w:rFonts w:ascii="Times New Roman" w:hAnsi="Times New Roman" w:cs="Times New Roman"/>
          <w:color w:val="auto"/>
        </w:rPr>
        <w:t xml:space="preserve"> pela indústria </w:t>
      </w:r>
      <w:r>
        <w:rPr>
          <w:rFonts w:ascii="Times New Roman" w:hAnsi="Times New Roman" w:cs="Times New Roman"/>
          <w:i/>
          <w:color w:val="auto"/>
        </w:rPr>
        <w:t>j</w:t>
      </w:r>
      <w:r>
        <w:rPr>
          <w:rFonts w:ascii="Times New Roman" w:hAnsi="Times New Roman" w:cs="Times New Roman"/>
          <w:color w:val="auto"/>
        </w:rPr>
        <w:t xml:space="preserve"> é: 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Pr="006E658C" w:rsidRDefault="00C06652" w:rsidP="00965681">
            <w:pPr>
              <w:pStyle w:val="Default"/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dc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mc</m:t>
                    </m:r>
                  </m:sup>
                </m:sSubSup>
              </m:oMath>
            </m:oMathPara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(14)</w:t>
            </w:r>
          </w:p>
        </w:tc>
      </w:tr>
    </w:tbl>
    <w:p w:rsidR="00DA58B9" w:rsidRPr="006A5B0F" w:rsidRDefault="00DA58B9" w:rsidP="00965681">
      <w:pPr>
        <w:pStyle w:val="PargrafodaLista1"/>
        <w:ind w:left="0"/>
      </w:pPr>
    </w:p>
    <w:p w:rsidR="00DA58B9" w:rsidRDefault="00DA58B9" w:rsidP="00965681">
      <w:pPr>
        <w:pStyle w:val="PargrafodaLista1"/>
        <w:numPr>
          <w:ilvl w:val="1"/>
          <w:numId w:val="1"/>
        </w:numPr>
        <w:rPr>
          <w:b/>
        </w:rPr>
      </w:pPr>
      <w:r>
        <w:rPr>
          <w:b/>
        </w:rPr>
        <w:t>Ligações do produtor e usuário</w:t>
      </w: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subseção acima tratou apenas na parte doméstica da matriz de Insumo-Produto e focou na análise de setores específicos, não sendo, portanto adequados para descreverem ligações intersetoriais. A equação que mede </w:t>
      </w:r>
      <m:oMath>
        <m:sSup>
          <m:sSupPr>
            <m:ctrlPr>
              <w:rPr>
                <w:rFonts w:ascii="Cambria Math" w:hAnsi="Cambria Math" w:cs="Times New Roman"/>
                <w:i/>
                <w:color w:val="auto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</w:rPr>
              <m:t>s</m:t>
            </m:r>
          </m:e>
          <m:sup>
            <m:r>
              <w:rPr>
                <w:rFonts w:ascii="Cambria Math" w:hAnsi="Cambria Math" w:cs="Times New Roman"/>
                <w:color w:val="auto"/>
              </w:rPr>
              <m:t>d</m:t>
            </m:r>
          </m:sup>
        </m:sSup>
      </m:oMath>
      <w:r>
        <w:rPr>
          <w:rFonts w:ascii="Times New Roman" w:hAnsi="Times New Roman" w:cs="Times New Roman"/>
          <w:color w:val="auto"/>
        </w:rPr>
        <w:t xml:space="preserve"> (intensidade do P&amp;D doméstico total) capta as ligações para trás focando apenas um setor, no sentido do índice de Hirschman (1958).</w:t>
      </w: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Além da questão do foco em apenas um único setor, a equação de </w:t>
      </w:r>
      <m:oMath>
        <m:sSup>
          <m:sSupPr>
            <m:ctrlPr>
              <w:rPr>
                <w:rFonts w:ascii="Cambria Math" w:hAnsi="Cambria Math" w:cs="Times New Roman"/>
                <w:i/>
                <w:color w:val="auto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</w:rPr>
              <m:t>s</m:t>
            </m:r>
          </m:e>
          <m:sup>
            <m:r>
              <w:rPr>
                <w:rFonts w:ascii="Cambria Math" w:hAnsi="Cambria Math" w:cs="Times New Roman"/>
                <w:color w:val="auto"/>
              </w:rPr>
              <m:t>d</m:t>
            </m:r>
          </m:sup>
        </m:sSup>
      </m:oMath>
      <w:r>
        <w:rPr>
          <w:rFonts w:ascii="Times New Roman" w:hAnsi="Times New Roman" w:cs="Times New Roman"/>
          <w:color w:val="auto"/>
        </w:rPr>
        <w:t xml:space="preserve"> superestima as ligações entre pares de indústrias </w:t>
      </w:r>
      <w:r>
        <w:rPr>
          <w:rFonts w:ascii="Times New Roman" w:hAnsi="Times New Roman" w:cs="Times New Roman"/>
          <w:i/>
          <w:color w:val="auto"/>
        </w:rPr>
        <w:t xml:space="preserve">i </w:t>
      </w:r>
      <w:r w:rsidRPr="00102B97">
        <w:rPr>
          <w:rFonts w:ascii="Times New Roman" w:hAnsi="Times New Roman" w:cs="Times New Roman"/>
          <w:color w:val="auto"/>
        </w:rPr>
        <w:t xml:space="preserve">e </w:t>
      </w:r>
      <w:r>
        <w:rPr>
          <w:rFonts w:ascii="Times New Roman" w:hAnsi="Times New Roman" w:cs="Times New Roman"/>
          <w:i/>
          <w:color w:val="auto"/>
        </w:rPr>
        <w:t>j</w:t>
      </w:r>
      <w:r>
        <w:rPr>
          <w:rFonts w:ascii="Times New Roman" w:hAnsi="Times New Roman" w:cs="Times New Roman"/>
          <w:color w:val="auto"/>
        </w:rPr>
        <w:t xml:space="preserve">. A dupla contagem implica a necessidade de retirar o caminho de primeiro tipo (setor </w:t>
      </w:r>
      <w:r w:rsidRPr="00B53D08">
        <w:rPr>
          <w:rFonts w:ascii="Times New Roman" w:hAnsi="Times New Roman" w:cs="Times New Roman"/>
          <w:i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→ setor </w:t>
      </w:r>
      <w:r w:rsidRPr="00B53D08">
        <w:rPr>
          <w:rFonts w:ascii="Times New Roman" w:hAnsi="Times New Roman" w:cs="Times New Roman"/>
          <w:i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) para então ser capaz de capturar a interligação total entre </w:t>
      </w:r>
      <w:r>
        <w:rPr>
          <w:rFonts w:ascii="Times New Roman" w:hAnsi="Times New Roman" w:cs="Times New Roman"/>
          <w:i/>
          <w:color w:val="auto"/>
        </w:rPr>
        <w:t xml:space="preserve">i </w:t>
      </w:r>
      <w:r>
        <w:rPr>
          <w:rFonts w:ascii="Times New Roman" w:hAnsi="Times New Roman" w:cs="Times New Roman"/>
          <w:color w:val="auto"/>
        </w:rPr>
        <w:t xml:space="preserve">e </w:t>
      </w:r>
      <w:r>
        <w:rPr>
          <w:rFonts w:ascii="Times New Roman" w:hAnsi="Times New Roman" w:cs="Times New Roman"/>
          <w:i/>
          <w:color w:val="auto"/>
        </w:rPr>
        <w:t>j</w:t>
      </w:r>
      <w:r w:rsidRPr="00B90FAF">
        <w:rPr>
          <w:rFonts w:ascii="Times New Roman" w:hAnsi="Times New Roman" w:cs="Times New Roman"/>
          <w:color w:val="auto"/>
        </w:rPr>
        <w:t>.</w:t>
      </w:r>
      <w:r w:rsidRPr="00B90FAF">
        <w:rPr>
          <w:rStyle w:val="Refdenotaderodap"/>
          <w:rFonts w:eastAsiaTheme="majorEastAsia"/>
          <w:color w:val="auto"/>
          <w:sz w:val="20"/>
          <w:szCs w:val="20"/>
        </w:rPr>
        <w:footnoteReference w:id="8"/>
      </w:r>
      <w:r>
        <w:rPr>
          <w:rFonts w:ascii="Times New Roman" w:hAnsi="Times New Roman" w:cs="Times New Roman"/>
          <w:color w:val="auto"/>
        </w:rPr>
        <w:t xml:space="preserve"> Seja então a matriz de insumo-produto total </w:t>
      </w:r>
      <w:r w:rsidRPr="00B253C7">
        <w:rPr>
          <w:rFonts w:ascii="Times New Roman" w:hAnsi="Times New Roman" w:cs="Times New Roman"/>
          <w:b/>
          <w:i/>
          <w:color w:val="auto"/>
        </w:rPr>
        <w:t>Z</w:t>
      </w:r>
      <w:r w:rsidRPr="0047488C">
        <w:rPr>
          <w:rFonts w:ascii="Times New Roman" w:hAnsi="Times New Roman" w:cs="Times New Roman"/>
          <w:b/>
          <w:i/>
          <w:color w:val="auto"/>
          <w:vertAlign w:val="superscript"/>
        </w:rPr>
        <w:t>t</w:t>
      </w:r>
      <w:r>
        <w:rPr>
          <w:rFonts w:ascii="Times New Roman" w:hAnsi="Times New Roman" w:cs="Times New Roman"/>
          <w:color w:val="auto"/>
        </w:rPr>
        <w:t xml:space="preserve">, agora considerando também as importações. </w:t>
      </w:r>
      <w:r w:rsidRPr="00B253C7">
        <w:rPr>
          <w:rFonts w:ascii="Times New Roman" w:hAnsi="Times New Roman" w:cs="Times New Roman"/>
          <w:b/>
          <w:i/>
          <w:color w:val="auto"/>
        </w:rPr>
        <w:t>A</w:t>
      </w:r>
      <w:r w:rsidRPr="0047488C">
        <w:rPr>
          <w:rFonts w:ascii="Times New Roman" w:hAnsi="Times New Roman" w:cs="Times New Roman"/>
          <w:b/>
          <w:i/>
          <w:color w:val="auto"/>
          <w:vertAlign w:val="superscript"/>
        </w:rPr>
        <w:t>t</w:t>
      </w:r>
      <w:r>
        <w:rPr>
          <w:rFonts w:ascii="Times New Roman" w:hAnsi="Times New Roman" w:cs="Times New Roman"/>
          <w:color w:val="auto"/>
        </w:rPr>
        <w:t xml:space="preserve"> será considerada a matriz de coeficientes técnicos e </w:t>
      </w:r>
      <w:r w:rsidRPr="00B253C7">
        <w:rPr>
          <w:rFonts w:ascii="Times New Roman" w:hAnsi="Times New Roman" w:cs="Times New Roman"/>
          <w:b/>
          <w:i/>
          <w:color w:val="auto"/>
        </w:rPr>
        <w:t>B</w:t>
      </w:r>
      <w:r w:rsidRPr="0047488C">
        <w:rPr>
          <w:rFonts w:ascii="Times New Roman" w:hAnsi="Times New Roman" w:cs="Times New Roman"/>
          <w:b/>
          <w:i/>
          <w:color w:val="auto"/>
          <w:vertAlign w:val="superscript"/>
        </w:rPr>
        <w:t>t</w:t>
      </w:r>
      <w:r>
        <w:rPr>
          <w:rFonts w:ascii="Times New Roman" w:hAnsi="Times New Roman" w:cs="Times New Roman"/>
          <w:color w:val="auto"/>
        </w:rPr>
        <w:t xml:space="preserve"> é a inversa de Leontief, definida como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(I-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</w:rPr>
                  <m:t>t</m:t>
                </m:r>
              </m:sup>
            </m:sSubSup>
          </m:e>
        </m:d>
      </m:oMath>
      <w:r>
        <w:rPr>
          <w:rFonts w:ascii="Times New Roman" w:hAnsi="Times New Roman" w:cs="Times New Roman"/>
        </w:rPr>
        <w:t xml:space="preserve">. A matriz </w:t>
      </w:r>
      <w:r w:rsidRPr="00B253C7">
        <w:rPr>
          <w:rFonts w:ascii="Times New Roman" w:hAnsi="Times New Roman" w:cs="Times New Roman"/>
          <w:b/>
          <w:i/>
        </w:rPr>
        <w:t>L</w:t>
      </w:r>
      <w:r>
        <w:rPr>
          <w:rFonts w:ascii="Times New Roman" w:hAnsi="Times New Roman" w:cs="Times New Roman"/>
        </w:rPr>
        <w:t xml:space="preserve"> de elementos </w:t>
      </w:r>
      <w:r w:rsidRPr="00B253C7">
        <w:rPr>
          <w:rFonts w:ascii="Times New Roman" w:hAnsi="Times New Roman" w:cs="Times New Roman"/>
          <w:i/>
        </w:rPr>
        <w:t>l</w:t>
      </w:r>
      <w:r w:rsidRPr="00B253C7">
        <w:rPr>
          <w:rFonts w:ascii="Times New Roman" w:hAnsi="Times New Roman" w:cs="Times New Roman"/>
          <w:i/>
          <w:vertAlign w:val="subscript"/>
        </w:rPr>
        <w:t>ij</w:t>
      </w:r>
      <w:r>
        <w:rPr>
          <w:rFonts w:ascii="Times New Roman" w:hAnsi="Times New Roman" w:cs="Times New Roman"/>
        </w:rPr>
        <w:t xml:space="preserve"> irá medir a amplitude da ligação agregada entre as indústrias </w:t>
      </w:r>
      <w:r w:rsidRPr="00B253C7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 e </w:t>
      </w:r>
      <w:r w:rsidRPr="00B253C7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>, tal que: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Pr="006E658C" w:rsidRDefault="00C06652" w:rsidP="00965681">
            <w:pPr>
              <w:pStyle w:val="Default"/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vertAlign w:val="subscript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vertAlign w:val="subscript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color w:val="auto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auto"/>
                        <w:vertAlign w:val="subscript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vertAlign w:val="subscript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ij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t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vertAlign w:val="subscript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ii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t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vertAlign w:val="subscript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jj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color w:val="auto"/>
                        <w:vertAlign w:val="subscript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vertAlign w:val="subscript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ij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t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vertAlign w:val="subscript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ji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auto"/>
                            <w:vertAlign w:val="subscript"/>
                          </w:rPr>
                          <m:t>t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(15)</w:t>
            </w:r>
          </w:p>
        </w:tc>
      </w:tr>
    </w:tbl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  <w:vertAlign w:val="subscript"/>
        </w:rPr>
      </w:pP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É importante destacar que nesta parte se usa a matriz </w:t>
      </w:r>
      <w:r w:rsidRPr="00B253C7">
        <w:rPr>
          <w:rFonts w:ascii="Times New Roman" w:hAnsi="Times New Roman" w:cs="Times New Roman"/>
          <w:b/>
          <w:i/>
          <w:color w:val="auto"/>
        </w:rPr>
        <w:t>B</w:t>
      </w:r>
      <w:r w:rsidRPr="0047488C">
        <w:rPr>
          <w:rFonts w:ascii="Times New Roman" w:hAnsi="Times New Roman" w:cs="Times New Roman"/>
          <w:b/>
          <w:i/>
          <w:color w:val="auto"/>
          <w:vertAlign w:val="superscript"/>
        </w:rPr>
        <w:t>t</w:t>
      </w:r>
      <w:r>
        <w:rPr>
          <w:rFonts w:ascii="Times New Roman" w:hAnsi="Times New Roman" w:cs="Times New Roman"/>
          <w:color w:val="auto"/>
        </w:rPr>
        <w:t xml:space="preserve">, não fazendo a transformação para a matriz </w:t>
      </w:r>
      <w:r w:rsidRPr="00B253C7">
        <w:rPr>
          <w:rFonts w:ascii="Times New Roman" w:hAnsi="Times New Roman" w:cs="Times New Roman"/>
          <w:b/>
          <w:i/>
          <w:color w:val="auto"/>
        </w:rPr>
        <w:t>B*</w:t>
      </w:r>
      <w:r w:rsidRPr="00DB3177">
        <w:rPr>
          <w:rFonts w:ascii="Times New Roman" w:hAnsi="Times New Roman" w:cs="Times New Roman"/>
          <w:i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pois, como apontado por Hauknes e Knell (2009), apesar de fazer sentido matemático, a matriz </w:t>
      </w:r>
      <w:r w:rsidRPr="00B253C7">
        <w:rPr>
          <w:rFonts w:ascii="Times New Roman" w:hAnsi="Times New Roman" w:cs="Times New Roman"/>
          <w:b/>
          <w:i/>
          <w:color w:val="auto"/>
        </w:rPr>
        <w:t>B*</w:t>
      </w:r>
      <w:r>
        <w:rPr>
          <w:rFonts w:ascii="Times New Roman" w:hAnsi="Times New Roman" w:cs="Times New Roman"/>
          <w:color w:val="auto"/>
        </w:rPr>
        <w:t xml:space="preserve"> não apresenta nenhum sentido econômico. Assim</w:t>
      </w:r>
      <w:r w:rsidR="00394F2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>as ligações para trás ou do produtor serão calculadas utilizando a matriz fechada (</w:t>
      </w:r>
      <w:r w:rsidRPr="00B253C7">
        <w:rPr>
          <w:rFonts w:ascii="Times New Roman" w:hAnsi="Times New Roman" w:cs="Times New Roman"/>
          <w:b/>
          <w:i/>
          <w:color w:val="auto"/>
        </w:rPr>
        <w:t>B</w:t>
      </w:r>
      <w:r w:rsidRPr="0047488C">
        <w:rPr>
          <w:rFonts w:ascii="Times New Roman" w:hAnsi="Times New Roman" w:cs="Times New Roman"/>
          <w:b/>
          <w:i/>
          <w:color w:val="auto"/>
          <w:vertAlign w:val="superscript"/>
        </w:rPr>
        <w:t>t</w:t>
      </w:r>
      <w:r>
        <w:rPr>
          <w:rFonts w:ascii="Times New Roman" w:hAnsi="Times New Roman" w:cs="Times New Roman"/>
          <w:color w:val="auto"/>
        </w:rPr>
        <w:t>)</w:t>
      </w:r>
      <w:r w:rsidR="00394F2A">
        <w:rPr>
          <w:rFonts w:ascii="Times New Roman" w:hAnsi="Times New Roman" w:cs="Times New Roman"/>
          <w:color w:val="auto"/>
        </w:rPr>
        <w:t xml:space="preserve">. Porém, seguindo Jones (1976), </w:t>
      </w:r>
      <w:r>
        <w:rPr>
          <w:rFonts w:ascii="Times New Roman" w:hAnsi="Times New Roman" w:cs="Times New Roman"/>
          <w:color w:val="auto"/>
        </w:rPr>
        <w:t>Hauknes e Knell (2009) utilizam a matriz doméstica (</w:t>
      </w:r>
      <w:r w:rsidRPr="00934A5B">
        <w:rPr>
          <w:rFonts w:ascii="Times New Roman" w:hAnsi="Times New Roman" w:cs="Times New Roman"/>
          <w:b/>
          <w:i/>
          <w:color w:val="auto"/>
        </w:rPr>
        <w:t>B</w:t>
      </w:r>
      <w:r>
        <w:rPr>
          <w:rFonts w:ascii="Times New Roman" w:hAnsi="Times New Roman" w:cs="Times New Roman"/>
          <w:color w:val="auto"/>
        </w:rPr>
        <w:t>) para calcular as ligações para frente ou de usuário</w:t>
      </w:r>
      <w:r w:rsidR="0038411E">
        <w:rPr>
          <w:rFonts w:ascii="Times New Roman" w:hAnsi="Times New Roman" w:cs="Times New Roman"/>
          <w:color w:val="auto"/>
        </w:rPr>
        <w:t>, pois</w:t>
      </w:r>
      <w:r w:rsidR="00394F2A">
        <w:rPr>
          <w:rFonts w:ascii="Times New Roman" w:hAnsi="Times New Roman" w:cs="Times New Roman"/>
          <w:color w:val="auto"/>
        </w:rPr>
        <w:t>,</w:t>
      </w:r>
      <w:r w:rsidR="0038411E">
        <w:rPr>
          <w:rFonts w:ascii="Times New Roman" w:hAnsi="Times New Roman" w:cs="Times New Roman"/>
          <w:color w:val="auto"/>
        </w:rPr>
        <w:t xml:space="preserve"> des</w:t>
      </w:r>
      <w:r w:rsidR="00394F2A">
        <w:rPr>
          <w:rFonts w:ascii="Times New Roman" w:hAnsi="Times New Roman" w:cs="Times New Roman"/>
          <w:color w:val="auto"/>
        </w:rPr>
        <w:t>s</w:t>
      </w:r>
      <w:r w:rsidR="0038411E">
        <w:rPr>
          <w:rFonts w:ascii="Times New Roman" w:hAnsi="Times New Roman" w:cs="Times New Roman"/>
          <w:color w:val="auto"/>
        </w:rPr>
        <w:t>a forma</w:t>
      </w:r>
      <w:r w:rsidR="00394F2A">
        <w:rPr>
          <w:rFonts w:ascii="Times New Roman" w:hAnsi="Times New Roman" w:cs="Times New Roman"/>
          <w:color w:val="auto"/>
        </w:rPr>
        <w:t>,</w:t>
      </w:r>
      <w:r w:rsidR="0038411E">
        <w:rPr>
          <w:rFonts w:ascii="Times New Roman" w:hAnsi="Times New Roman" w:cs="Times New Roman"/>
          <w:color w:val="auto"/>
        </w:rPr>
        <w:t xml:space="preserve"> apenas a produção nacional</w:t>
      </w:r>
      <w:r w:rsidR="00394F2A">
        <w:rPr>
          <w:rFonts w:ascii="Times New Roman" w:hAnsi="Times New Roman" w:cs="Times New Roman"/>
          <w:color w:val="auto"/>
        </w:rPr>
        <w:t xml:space="preserve"> é considerada</w:t>
      </w:r>
      <w:r>
        <w:rPr>
          <w:rFonts w:ascii="Times New Roman" w:hAnsi="Times New Roman" w:cs="Times New Roman"/>
          <w:color w:val="auto"/>
        </w:rPr>
        <w:t>.</w:t>
      </w: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É possível definir as ligações do produtor, ou para frente, </w:t>
      </w:r>
      <w:r>
        <w:rPr>
          <w:rFonts w:ascii="Times New Roman" w:hAnsi="Times New Roman" w:cs="Times New Roman"/>
          <w:i/>
          <w:color w:val="auto"/>
        </w:rPr>
        <w:t>p</w:t>
      </w:r>
      <w:r>
        <w:rPr>
          <w:rFonts w:ascii="Times New Roman" w:hAnsi="Times New Roman" w:cs="Times New Roman"/>
          <w:color w:val="auto"/>
        </w:rPr>
        <w:t>, como: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Pr="006E658C" w:rsidRDefault="00DA58B9" w:rsidP="00965681">
            <w:pPr>
              <w:pStyle w:val="Default"/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auto"/>
                  </w:rPr>
                  <m:t>p=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ij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(16)</w:t>
            </w:r>
          </w:p>
        </w:tc>
      </w:tr>
    </w:tbl>
    <w:p w:rsidR="00DA58B9" w:rsidRDefault="00DA58B9" w:rsidP="00965681">
      <w:pPr>
        <w:pStyle w:val="Default"/>
        <w:ind w:firstLine="708"/>
        <w:jc w:val="center"/>
        <w:rPr>
          <w:rFonts w:ascii="Times New Roman" w:hAnsi="Times New Roman" w:cs="Times New Roman"/>
          <w:color w:val="auto"/>
        </w:rPr>
      </w:pP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As ligações do usuário, ou para trás, </w:t>
      </w:r>
      <w:r w:rsidRPr="00CB5B5B">
        <w:rPr>
          <w:rFonts w:ascii="Times New Roman" w:hAnsi="Times New Roman" w:cs="Times New Roman"/>
          <w:i/>
          <w:color w:val="auto"/>
        </w:rPr>
        <w:t>u</w:t>
      </w:r>
      <w:r>
        <w:rPr>
          <w:rFonts w:ascii="Times New Roman" w:hAnsi="Times New Roman" w:cs="Times New Roman"/>
          <w:i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são: 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Pr="006E658C" w:rsidRDefault="00DA58B9" w:rsidP="00965681">
            <w:pPr>
              <w:pStyle w:val="Default"/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auto"/>
                  </w:rPr>
                  <m:t>u=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ij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(17)</w:t>
            </w:r>
          </w:p>
        </w:tc>
      </w:tr>
    </w:tbl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DA58B9" w:rsidRDefault="00DA58B9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Por fim, os fluxos de tecnologia dimensionados pelo gasto total em P&amp;D são: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DA58B9" w:rsidTr="00CF50D4">
        <w:trPr>
          <w:trHeight w:val="283"/>
        </w:trPr>
        <w:tc>
          <w:tcPr>
            <w:tcW w:w="4136" w:type="pct"/>
          </w:tcPr>
          <w:p w:rsidR="00DA58B9" w:rsidRPr="006E658C" w:rsidRDefault="00DA58B9" w:rsidP="00965681">
            <w:pPr>
              <w:pStyle w:val="Default"/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auto"/>
                  </w:rPr>
                  <m:t>f=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ij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64" w:type="pct"/>
            <w:vAlign w:val="center"/>
          </w:tcPr>
          <w:p w:rsidR="00DA58B9" w:rsidRDefault="00DA58B9" w:rsidP="00965681">
            <w:pPr>
              <w:jc w:val="left"/>
            </w:pPr>
            <w:r>
              <w:t>(</w:t>
            </w:r>
            <w:r w:rsidR="0038411E">
              <w:t>18</w:t>
            </w:r>
            <w:r>
              <w:t>)</w:t>
            </w:r>
          </w:p>
        </w:tc>
      </w:tr>
    </w:tbl>
    <w:p w:rsidR="00DA58B9" w:rsidRDefault="007C3ABC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Utilizando os índices de ligação, é possível definir </w:t>
      </w:r>
      <m:oMath>
        <m:sSub>
          <m:sSubPr>
            <m:ctrlPr>
              <w:rPr>
                <w:rFonts w:ascii="Cambria Math" w:hAnsi="Cambria Math" w:cs="Times New Roman"/>
                <w:i/>
                <w:color w:val="auto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</w:rPr>
              <m:t>d</m:t>
            </m:r>
          </m:e>
          <m:sub>
            <m:r>
              <w:rPr>
                <w:rFonts w:ascii="Cambria Math" w:hAnsi="Cambria Math" w:cs="Times New Roman"/>
                <w:color w:val="auto"/>
              </w:rPr>
              <m:t>ij</m:t>
            </m:r>
          </m:sub>
        </m:sSub>
        <m:r>
          <w:rPr>
            <w:rFonts w:ascii="Cambria Math" w:hAnsi="Cambria Math" w:cs="Times New Roman"/>
            <w:color w:val="auto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aut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</w:rPr>
                  <m:t>ij</m:t>
                </m:r>
              </m:sub>
            </m:sSub>
            <m:r>
              <w:rPr>
                <w:rFonts w:ascii="Cambria Math" w:hAnsi="Cambria Math" w:cs="Times New Roman"/>
                <w:color w:val="auto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</w:rPr>
                  <m:t>ij</m:t>
                </m:r>
              </m:sub>
            </m:sSub>
          </m:e>
        </m:d>
        <m:r>
          <w:rPr>
            <w:rFonts w:ascii="Cambria Math" w:hAnsi="Cambria Math" w:cs="Times New Roman"/>
            <w:color w:val="auto"/>
          </w:rPr>
          <m:t>-</m:t>
        </m:r>
        <m:d>
          <m:dPr>
            <m:ctrlPr>
              <w:rPr>
                <w:rFonts w:ascii="Cambria Math" w:hAnsi="Cambria Math" w:cs="Times New Roman"/>
                <w:i/>
                <w:color w:val="aut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</w:rPr>
                  <m:t>ji</m:t>
                </m:r>
              </m:sub>
            </m:sSub>
            <m:r>
              <w:rPr>
                <w:rFonts w:ascii="Cambria Math" w:hAnsi="Cambria Math" w:cs="Times New Roman"/>
                <w:color w:val="auto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</w:rPr>
                  <m:t>ji</m:t>
                </m:r>
              </m:sub>
            </m:sSub>
          </m:e>
        </m:d>
      </m:oMath>
      <w:r w:rsidR="00DA58B9">
        <w:rPr>
          <w:rFonts w:ascii="Times New Roman" w:hAnsi="Times New Roman" w:cs="Times New Roman"/>
          <w:color w:val="auto"/>
        </w:rPr>
        <w:t>, como os impactos líquidos</w:t>
      </w:r>
      <w:r>
        <w:rPr>
          <w:rFonts w:ascii="Times New Roman" w:hAnsi="Times New Roman" w:cs="Times New Roman"/>
          <w:color w:val="auto"/>
        </w:rPr>
        <w:t>. Assim</w:t>
      </w:r>
      <w:r w:rsidR="00D61D0B">
        <w:rPr>
          <w:rFonts w:ascii="Times New Roman" w:hAnsi="Times New Roman" w:cs="Times New Roman"/>
          <w:color w:val="auto"/>
        </w:rPr>
        <w:t>,</w:t>
      </w:r>
      <w:r w:rsidR="00DA58B9">
        <w:rPr>
          <w:rFonts w:ascii="Times New Roman" w:hAnsi="Times New Roman" w:cs="Times New Roman"/>
          <w:color w:val="auto"/>
        </w:rPr>
        <w:t xml:space="preserve"> existem quatros fluxos possíveis para cada par de grupos: i) ligação de usuário </w:t>
      </w:r>
      <w:r w:rsidR="00DA58B9" w:rsidRPr="00F934AE">
        <w:rPr>
          <w:rFonts w:ascii="Times New Roman" w:hAnsi="Times New Roman" w:cs="Times New Roman"/>
          <w:i/>
          <w:color w:val="auto"/>
        </w:rPr>
        <w:t>i→j</w:t>
      </w:r>
      <w:r w:rsidR="00DA58B9">
        <w:rPr>
          <w:rFonts w:ascii="Times New Roman" w:hAnsi="Times New Roman" w:cs="Times New Roman"/>
          <w:color w:val="auto"/>
        </w:rPr>
        <w:t xml:space="preserve">; ii) ligação de produtor </w:t>
      </w:r>
      <w:r w:rsidR="00DA58B9" w:rsidRPr="00F934AE">
        <w:rPr>
          <w:rFonts w:ascii="Times New Roman" w:hAnsi="Times New Roman" w:cs="Times New Roman"/>
          <w:i/>
          <w:color w:val="auto"/>
        </w:rPr>
        <w:t>i→j</w:t>
      </w:r>
      <w:r w:rsidR="00DA58B9">
        <w:rPr>
          <w:rFonts w:ascii="Times New Roman" w:hAnsi="Times New Roman" w:cs="Times New Roman"/>
          <w:color w:val="auto"/>
        </w:rPr>
        <w:t xml:space="preserve">; iii) ligação de usuário </w:t>
      </w:r>
      <w:r w:rsidR="00DA58B9" w:rsidRPr="00F934AE">
        <w:rPr>
          <w:rFonts w:ascii="Times New Roman" w:hAnsi="Times New Roman" w:cs="Times New Roman"/>
          <w:i/>
          <w:color w:val="auto"/>
        </w:rPr>
        <w:t>j→</w:t>
      </w:r>
      <w:r w:rsidR="00DA58B9">
        <w:rPr>
          <w:rFonts w:ascii="Times New Roman" w:hAnsi="Times New Roman" w:cs="Times New Roman"/>
          <w:i/>
          <w:color w:val="auto"/>
        </w:rPr>
        <w:t>i</w:t>
      </w:r>
      <w:r w:rsidR="00DA58B9">
        <w:rPr>
          <w:rFonts w:ascii="Times New Roman" w:hAnsi="Times New Roman" w:cs="Times New Roman"/>
          <w:color w:val="auto"/>
        </w:rPr>
        <w:t xml:space="preserve">; e iv) ligação de produtor </w:t>
      </w:r>
      <w:r w:rsidR="00DA58B9" w:rsidRPr="00F934AE">
        <w:rPr>
          <w:rFonts w:ascii="Times New Roman" w:hAnsi="Times New Roman" w:cs="Times New Roman"/>
          <w:i/>
          <w:color w:val="auto"/>
        </w:rPr>
        <w:t>j→</w:t>
      </w:r>
      <w:r w:rsidR="00DA58B9">
        <w:rPr>
          <w:rFonts w:ascii="Times New Roman" w:hAnsi="Times New Roman" w:cs="Times New Roman"/>
          <w:i/>
          <w:color w:val="auto"/>
        </w:rPr>
        <w:t>i</w:t>
      </w:r>
      <w:r w:rsidR="00DA58B9">
        <w:rPr>
          <w:rFonts w:ascii="Times New Roman" w:hAnsi="Times New Roman" w:cs="Times New Roman"/>
          <w:color w:val="auto"/>
        </w:rPr>
        <w:t>. Com essa análise</w:t>
      </w:r>
      <w:r w:rsidR="00D61D0B">
        <w:rPr>
          <w:rFonts w:ascii="Times New Roman" w:hAnsi="Times New Roman" w:cs="Times New Roman"/>
          <w:color w:val="auto"/>
        </w:rPr>
        <w:t>,</w:t>
      </w:r>
      <w:r w:rsidR="00DA58B9">
        <w:rPr>
          <w:rFonts w:ascii="Times New Roman" w:hAnsi="Times New Roman" w:cs="Times New Roman"/>
          <w:color w:val="auto"/>
        </w:rPr>
        <w:t xml:space="preserve"> alguns padrões podem ser definidos para cada país e entre os países.</w:t>
      </w:r>
    </w:p>
    <w:p w:rsidR="00D61D0B" w:rsidRDefault="00D61D0B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6A5B0F" w:rsidRPr="006C1C73" w:rsidRDefault="006A5B0F" w:rsidP="00965681">
      <w:pPr>
        <w:pStyle w:val="PargrafodaLista1"/>
        <w:numPr>
          <w:ilvl w:val="1"/>
          <w:numId w:val="1"/>
        </w:numPr>
        <w:rPr>
          <w:b/>
        </w:rPr>
      </w:pPr>
      <w:r>
        <w:rPr>
          <w:b/>
        </w:rPr>
        <w:t>Base de dados</w:t>
      </w:r>
    </w:p>
    <w:p w:rsidR="00DA7C0A" w:rsidRDefault="00DA7C0A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Para realizar o t</w:t>
      </w:r>
      <w:r w:rsidR="003501FC">
        <w:rPr>
          <w:rFonts w:ascii="Times New Roman" w:hAnsi="Times New Roman" w:cs="Times New Roman"/>
          <w:color w:val="auto"/>
        </w:rPr>
        <w:t>rabalho proposto</w:t>
      </w:r>
      <w:r w:rsidR="00D61D0B">
        <w:rPr>
          <w:rFonts w:ascii="Times New Roman" w:hAnsi="Times New Roman" w:cs="Times New Roman"/>
          <w:color w:val="auto"/>
        </w:rPr>
        <w:t>,</w:t>
      </w:r>
      <w:r w:rsidR="003501FC">
        <w:rPr>
          <w:rFonts w:ascii="Times New Roman" w:hAnsi="Times New Roman" w:cs="Times New Roman"/>
          <w:color w:val="auto"/>
        </w:rPr>
        <w:t xml:space="preserve"> foram utilizado</w:t>
      </w:r>
      <w:r>
        <w:rPr>
          <w:rFonts w:ascii="Times New Roman" w:hAnsi="Times New Roman" w:cs="Times New Roman"/>
          <w:color w:val="auto"/>
        </w:rPr>
        <w:t xml:space="preserve">s </w:t>
      </w:r>
      <w:r w:rsidR="003501FC">
        <w:rPr>
          <w:rFonts w:ascii="Times New Roman" w:hAnsi="Times New Roman" w:cs="Times New Roman"/>
          <w:color w:val="auto"/>
        </w:rPr>
        <w:t>dois tipos de informações</w:t>
      </w:r>
      <w:r w:rsidR="00D61D0B">
        <w:rPr>
          <w:rFonts w:ascii="Times New Roman" w:hAnsi="Times New Roman" w:cs="Times New Roman"/>
          <w:color w:val="auto"/>
        </w:rPr>
        <w:t>,</w:t>
      </w:r>
      <w:r w:rsidR="003501FC">
        <w:rPr>
          <w:rFonts w:ascii="Times New Roman" w:hAnsi="Times New Roman" w:cs="Times New Roman"/>
          <w:color w:val="auto"/>
        </w:rPr>
        <w:t xml:space="preserve"> a saber: a) </w:t>
      </w:r>
      <w:r>
        <w:rPr>
          <w:rFonts w:ascii="Times New Roman" w:hAnsi="Times New Roman" w:cs="Times New Roman"/>
          <w:color w:val="auto"/>
        </w:rPr>
        <w:t xml:space="preserve">as matrizes de </w:t>
      </w:r>
      <w:r w:rsidR="00D61D0B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>nsumo-</w:t>
      </w:r>
      <w:r w:rsidR="00D61D0B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>roduto disponibilizadas pela OCDE, com 48 setores</w:t>
      </w:r>
      <w:r>
        <w:rPr>
          <w:rStyle w:val="Refdenotaderodap"/>
          <w:rFonts w:eastAsiaTheme="majorEastAsia"/>
          <w:color w:val="auto"/>
        </w:rPr>
        <w:footnoteReference w:id="9"/>
      </w:r>
      <w:r w:rsidR="00080B80">
        <w:rPr>
          <w:rFonts w:ascii="Times New Roman" w:hAnsi="Times New Roman" w:cs="Times New Roman"/>
          <w:color w:val="auto"/>
        </w:rPr>
        <w:t xml:space="preserve"> para Brasil, Rússia, China e África do Sul</w:t>
      </w:r>
      <w:r w:rsidR="003501FC">
        <w:rPr>
          <w:rFonts w:ascii="Times New Roman" w:hAnsi="Times New Roman" w:cs="Times New Roman"/>
          <w:color w:val="auto"/>
        </w:rPr>
        <w:t xml:space="preserve">; </w:t>
      </w:r>
      <w:r w:rsidR="00D61D0B">
        <w:rPr>
          <w:rFonts w:ascii="Times New Roman" w:hAnsi="Times New Roman" w:cs="Times New Roman"/>
          <w:color w:val="auto"/>
        </w:rPr>
        <w:t xml:space="preserve">e </w:t>
      </w:r>
      <w:r w:rsidR="003501FC">
        <w:rPr>
          <w:rFonts w:ascii="Times New Roman" w:hAnsi="Times New Roman" w:cs="Times New Roman"/>
          <w:color w:val="auto"/>
        </w:rPr>
        <w:t>b) dados de P&amp;D disponibilizados também pela OCDE através da</w:t>
      </w:r>
      <w:r w:rsidR="006776F2">
        <w:rPr>
          <w:rFonts w:ascii="Times New Roman" w:hAnsi="Times New Roman" w:cs="Times New Roman"/>
          <w:color w:val="auto"/>
        </w:rPr>
        <w:t xml:space="preserve"> </w:t>
      </w:r>
      <w:r w:rsidR="00CF50D4">
        <w:rPr>
          <w:rFonts w:ascii="Times New Roman" w:hAnsi="Times New Roman" w:cs="Times New Roman"/>
          <w:color w:val="auto"/>
        </w:rPr>
        <w:lastRenderedPageBreak/>
        <w:t>ANBERD</w:t>
      </w:r>
      <w:r w:rsidR="00D61D0B">
        <w:rPr>
          <w:rStyle w:val="Refdenotaderodap"/>
          <w:rFonts w:ascii="Times New Roman" w:hAnsi="Times New Roman"/>
          <w:i/>
          <w:color w:val="auto"/>
        </w:rPr>
        <w:footnoteReference w:id="10"/>
      </w:r>
      <w:r w:rsidR="003501FC">
        <w:rPr>
          <w:rFonts w:ascii="Times New Roman" w:hAnsi="Times New Roman" w:cs="Times New Roman"/>
          <w:color w:val="auto"/>
        </w:rPr>
        <w:t xml:space="preserve">. Por questão de disponibilidade de ambos os </w:t>
      </w:r>
      <w:r w:rsidR="00D61D0B">
        <w:rPr>
          <w:rFonts w:ascii="Times New Roman" w:hAnsi="Times New Roman" w:cs="Times New Roman"/>
          <w:color w:val="auto"/>
        </w:rPr>
        <w:t xml:space="preserve">tipos de </w:t>
      </w:r>
      <w:r w:rsidR="003501FC">
        <w:rPr>
          <w:rFonts w:ascii="Times New Roman" w:hAnsi="Times New Roman" w:cs="Times New Roman"/>
          <w:color w:val="auto"/>
        </w:rPr>
        <w:t>dados</w:t>
      </w:r>
      <w:r w:rsidR="00CF50D4">
        <w:rPr>
          <w:rFonts w:ascii="Times New Roman" w:hAnsi="Times New Roman" w:cs="Times New Roman"/>
          <w:color w:val="auto"/>
        </w:rPr>
        <w:t>,</w:t>
      </w:r>
      <w:r w:rsidR="003501FC">
        <w:rPr>
          <w:rFonts w:ascii="Times New Roman" w:hAnsi="Times New Roman" w:cs="Times New Roman"/>
          <w:color w:val="auto"/>
        </w:rPr>
        <w:t xml:space="preserve"> decidiu-se por utilizar o</w:t>
      </w:r>
      <w:r w:rsidR="00D61D0B">
        <w:rPr>
          <w:rFonts w:ascii="Times New Roman" w:hAnsi="Times New Roman" w:cs="Times New Roman"/>
          <w:color w:val="auto"/>
        </w:rPr>
        <w:t xml:space="preserve"> ano de 2005 para</w:t>
      </w:r>
      <w:r w:rsidR="003501FC">
        <w:rPr>
          <w:rFonts w:ascii="Times New Roman" w:hAnsi="Times New Roman" w:cs="Times New Roman"/>
          <w:color w:val="auto"/>
        </w:rPr>
        <w:t xml:space="preserve"> Brasil e África do Sul </w:t>
      </w:r>
      <w:r w:rsidR="00D61D0B">
        <w:rPr>
          <w:rFonts w:ascii="Times New Roman" w:hAnsi="Times New Roman" w:cs="Times New Roman"/>
          <w:color w:val="auto"/>
        </w:rPr>
        <w:t>e</w:t>
      </w:r>
      <w:r w:rsidR="003501FC">
        <w:rPr>
          <w:rFonts w:ascii="Times New Roman" w:hAnsi="Times New Roman" w:cs="Times New Roman"/>
          <w:color w:val="auto"/>
        </w:rPr>
        <w:t xml:space="preserve"> 200</w:t>
      </w:r>
      <w:r w:rsidR="00D61D0B">
        <w:rPr>
          <w:rFonts w:ascii="Times New Roman" w:hAnsi="Times New Roman" w:cs="Times New Roman"/>
          <w:color w:val="auto"/>
        </w:rPr>
        <w:t>0 para</w:t>
      </w:r>
      <w:r w:rsidR="003501FC">
        <w:rPr>
          <w:rFonts w:ascii="Times New Roman" w:hAnsi="Times New Roman" w:cs="Times New Roman"/>
          <w:color w:val="auto"/>
        </w:rPr>
        <w:t xml:space="preserve"> China e Índia.</w:t>
      </w:r>
      <w:r w:rsidR="00080B80">
        <w:rPr>
          <w:rFonts w:ascii="Times New Roman" w:hAnsi="Times New Roman" w:cs="Times New Roman"/>
          <w:color w:val="auto"/>
        </w:rPr>
        <w:t xml:space="preserve"> Apesar de haver disponibilidade de dados de insumo-produto para Índia, a falta de dados relativos a gastos setoriais de P&amp;D</w:t>
      </w:r>
      <w:r w:rsidR="00D61D0B">
        <w:rPr>
          <w:rFonts w:ascii="Times New Roman" w:hAnsi="Times New Roman" w:cs="Times New Roman"/>
          <w:color w:val="auto"/>
        </w:rPr>
        <w:t>, que fossem</w:t>
      </w:r>
      <w:r w:rsidR="00080B80">
        <w:rPr>
          <w:rFonts w:ascii="Times New Roman" w:hAnsi="Times New Roman" w:cs="Times New Roman"/>
          <w:color w:val="auto"/>
        </w:rPr>
        <w:t xml:space="preserve"> comparáveis aos da ANBERD</w:t>
      </w:r>
      <w:r w:rsidR="00D61D0B">
        <w:rPr>
          <w:rFonts w:ascii="Times New Roman" w:hAnsi="Times New Roman" w:cs="Times New Roman"/>
          <w:color w:val="auto"/>
        </w:rPr>
        <w:t>,</w:t>
      </w:r>
      <w:r w:rsidR="00080B80">
        <w:rPr>
          <w:rFonts w:ascii="Times New Roman" w:hAnsi="Times New Roman" w:cs="Times New Roman"/>
          <w:color w:val="auto"/>
        </w:rPr>
        <w:t xml:space="preserve"> impossibilitou a inclusão des</w:t>
      </w:r>
      <w:r w:rsidR="00D61D0B">
        <w:rPr>
          <w:rFonts w:ascii="Times New Roman" w:hAnsi="Times New Roman" w:cs="Times New Roman"/>
          <w:color w:val="auto"/>
        </w:rPr>
        <w:t>s</w:t>
      </w:r>
      <w:r w:rsidR="00080B80">
        <w:rPr>
          <w:rFonts w:ascii="Times New Roman" w:hAnsi="Times New Roman" w:cs="Times New Roman"/>
          <w:color w:val="auto"/>
        </w:rPr>
        <w:t xml:space="preserve">e país na análise. </w:t>
      </w:r>
    </w:p>
    <w:p w:rsidR="00785272" w:rsidRDefault="00785272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Para o Brasil</w:t>
      </w:r>
      <w:r w:rsidR="00CF50D4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diferentemente, por não possuir informações na ANBERD, foram utilizados os dados de P&amp;D da PINTEC, pesquisa realizada trienalmente pelo IBGE</w:t>
      </w:r>
      <w:r w:rsidR="00D61D0B">
        <w:rPr>
          <w:rFonts w:ascii="Times New Roman" w:hAnsi="Times New Roman" w:cs="Times New Roman"/>
          <w:color w:val="auto"/>
        </w:rPr>
        <w:t xml:space="preserve">. Ressalta-se que a PINTEC segue </w:t>
      </w:r>
      <w:r>
        <w:rPr>
          <w:rFonts w:ascii="Times New Roman" w:hAnsi="Times New Roman" w:cs="Times New Roman"/>
          <w:color w:val="auto"/>
        </w:rPr>
        <w:t>o mesmo critério da AN</w:t>
      </w:r>
      <w:r w:rsidR="00CF50D4">
        <w:rPr>
          <w:rFonts w:ascii="Times New Roman" w:hAnsi="Times New Roman" w:cs="Times New Roman"/>
          <w:color w:val="auto"/>
        </w:rPr>
        <w:t>BERD,</w:t>
      </w:r>
      <w:r>
        <w:rPr>
          <w:rFonts w:ascii="Times New Roman" w:hAnsi="Times New Roman" w:cs="Times New Roman"/>
          <w:color w:val="auto"/>
        </w:rPr>
        <w:t xml:space="preserve"> o que faz com que as bases possam ser utilizadas concomitantemente.</w:t>
      </w:r>
    </w:p>
    <w:p w:rsidR="00DA7C0A" w:rsidRDefault="00DA7C0A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É importante ressaltar que</w:t>
      </w:r>
      <w:r w:rsidR="00CF50D4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para África do Sul e Rússia</w:t>
      </w:r>
      <w:r w:rsidR="00CF50D4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os dados da indústria farmacêutica estavam agregados com o da indústria química e</w:t>
      </w:r>
      <w:r w:rsidR="00CF50D4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para não haver perda de informações</w:t>
      </w:r>
      <w:r w:rsidR="00CF50D4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foi assumido que esses países têm uma estrutura </w:t>
      </w:r>
      <w:r w:rsidR="00F44CE3">
        <w:rPr>
          <w:rFonts w:ascii="Times New Roman" w:hAnsi="Times New Roman" w:cs="Times New Roman"/>
          <w:color w:val="auto"/>
        </w:rPr>
        <w:t xml:space="preserve">produtiva </w:t>
      </w:r>
      <w:r>
        <w:rPr>
          <w:rFonts w:ascii="Times New Roman" w:hAnsi="Times New Roman" w:cs="Times New Roman"/>
          <w:color w:val="auto"/>
        </w:rPr>
        <w:t xml:space="preserve">similar à </w:t>
      </w:r>
      <w:r w:rsidR="00CE66A7" w:rsidRPr="00F44CE3">
        <w:rPr>
          <w:rFonts w:ascii="Times New Roman" w:hAnsi="Times New Roman" w:cs="Times New Roman"/>
          <w:color w:val="auto"/>
        </w:rPr>
        <w:t>brasileira</w:t>
      </w:r>
      <w:r w:rsidR="00F44CE3">
        <w:rPr>
          <w:rFonts w:ascii="Times New Roman" w:hAnsi="Times New Roman" w:cs="Times New Roman"/>
          <w:color w:val="auto"/>
        </w:rPr>
        <w:t>, ou seja, a mesma tecnologia de produção captada pelos coeficientes técnicos (matriz A)</w:t>
      </w:r>
      <w:r>
        <w:rPr>
          <w:rFonts w:ascii="Times New Roman" w:hAnsi="Times New Roman" w:cs="Times New Roman"/>
          <w:color w:val="auto"/>
        </w:rPr>
        <w:t>. Para alguns setores</w:t>
      </w:r>
      <w:r w:rsidR="00CF50D4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não foi possível fazer uma desagregação, podendo</w:t>
      </w:r>
      <w:r w:rsidR="00794974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então</w:t>
      </w:r>
      <w:r w:rsidR="0021043C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em alguns casos</w:t>
      </w:r>
      <w:r w:rsidR="00CF50D4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haver sub ou superestimação dos resultados. Para a construção da fronteira tecnológica, o mesmo problema foi encontrado </w:t>
      </w:r>
      <w:r w:rsidR="00F44CE3">
        <w:rPr>
          <w:rFonts w:ascii="Times New Roman" w:hAnsi="Times New Roman" w:cs="Times New Roman"/>
          <w:color w:val="auto"/>
        </w:rPr>
        <w:t xml:space="preserve">com esses países, </w:t>
      </w:r>
      <w:r>
        <w:rPr>
          <w:rFonts w:ascii="Times New Roman" w:hAnsi="Times New Roman" w:cs="Times New Roman"/>
          <w:color w:val="auto"/>
        </w:rPr>
        <w:t xml:space="preserve">sendo </w:t>
      </w:r>
      <w:r w:rsidR="00F44CE3">
        <w:rPr>
          <w:rFonts w:ascii="Times New Roman" w:hAnsi="Times New Roman" w:cs="Times New Roman"/>
          <w:color w:val="auto"/>
        </w:rPr>
        <w:t xml:space="preserve">então </w:t>
      </w:r>
      <w:r>
        <w:rPr>
          <w:rFonts w:ascii="Times New Roman" w:hAnsi="Times New Roman" w:cs="Times New Roman"/>
          <w:color w:val="auto"/>
        </w:rPr>
        <w:t xml:space="preserve">adotada a estrutura britânica para os demais países </w:t>
      </w:r>
      <w:r w:rsidR="00F44CE3">
        <w:rPr>
          <w:rFonts w:ascii="Times New Roman" w:hAnsi="Times New Roman" w:cs="Times New Roman"/>
          <w:color w:val="auto"/>
        </w:rPr>
        <w:t>que compõe</w:t>
      </w:r>
      <w:r w:rsidR="009A760E">
        <w:rPr>
          <w:rFonts w:ascii="Times New Roman" w:hAnsi="Times New Roman" w:cs="Times New Roman"/>
          <w:color w:val="auto"/>
        </w:rPr>
        <w:t>m</w:t>
      </w:r>
      <w:r w:rsidR="00F44CE3">
        <w:rPr>
          <w:rFonts w:ascii="Times New Roman" w:hAnsi="Times New Roman" w:cs="Times New Roman"/>
          <w:color w:val="auto"/>
        </w:rPr>
        <w:t xml:space="preserve"> a fronteira tecnológica</w:t>
      </w:r>
      <w:r w:rsidR="00794974">
        <w:rPr>
          <w:rFonts w:ascii="Times New Roman" w:hAnsi="Times New Roman" w:cs="Times New Roman"/>
          <w:color w:val="auto"/>
        </w:rPr>
        <w:t>.</w:t>
      </w:r>
      <w:r w:rsidR="0021043C">
        <w:rPr>
          <w:rStyle w:val="Refdenotaderodap"/>
          <w:rFonts w:ascii="Times New Roman" w:hAnsi="Times New Roman"/>
          <w:color w:val="auto"/>
        </w:rPr>
        <w:footnoteReference w:id="11"/>
      </w:r>
    </w:p>
    <w:p w:rsidR="00DA7C0A" w:rsidRDefault="00DA7C0A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Seguindo Hauknes e Knell (2009), esses setores foram reduzidos a oito grupos, que representam uma nova classificação baseada na taxonomia de Pavitt (1984). Esta taxonomia classifica as indústrias em quatro grupos: i) baseado em ciência – que são aquelas que dependem muito da atividade de P&amp;D e do aprendizado tecnológico; ii) fornecedores especializados – são aquelas que requerem capacidades específicas e assim adaptar seus produtos para as necessidades dos consumidores; iii) intensivo em escala – dependem fortemente da redução de custos e melhorias do produto, via engenharias; e iv) dominado</w:t>
      </w:r>
      <w:r w:rsidR="00CF50D4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pelo fornecedor – que são aquelas firmas que fazem </w:t>
      </w:r>
      <w:r w:rsidR="00CF50D4">
        <w:rPr>
          <w:rFonts w:ascii="Times New Roman" w:hAnsi="Times New Roman" w:cs="Times New Roman"/>
          <w:color w:val="auto"/>
        </w:rPr>
        <w:t xml:space="preserve">apenas </w:t>
      </w:r>
      <w:r>
        <w:rPr>
          <w:rFonts w:ascii="Times New Roman" w:hAnsi="Times New Roman" w:cs="Times New Roman"/>
          <w:color w:val="auto"/>
        </w:rPr>
        <w:t>melhorias incrementais e  adaptações de novas tecnologias dos fornecedores à montante.</w:t>
      </w:r>
    </w:p>
    <w:p w:rsidR="00965681" w:rsidRDefault="00965681" w:rsidP="00965681">
      <w:pPr>
        <w:ind w:firstLine="708"/>
      </w:pPr>
      <w:r>
        <w:t>Assim, a classificação proposta por Hauknes e Knell (2009) amplia de quatro para oito os grupos setoriais de Pavitt (1984)</w:t>
      </w:r>
      <w:r w:rsidR="009A760E">
        <w:t xml:space="preserve"> - Figura 1</w:t>
      </w:r>
      <w:r>
        <w:t>. Primeiro, os autores decompõem o grupo “dominado pelos fornecedores” em dois: energéticos e tradicionais; segundo, o grupo de materiais é classificado separadamente. Terceiro, eles identificam dois tipos de serviços, os serviços de negócios intensivos em conhecimento (KIBS) e os demais. Assim tem-se: i) Energéticos, ii) Tradicionais, iii) Materiais, iv) Intensivos em escala, v) Fornecedores especializados, vi) Baseados em ciência, vii) Serviços e viii) KIBS.</w:t>
      </w: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A05DEF" w:rsidRDefault="00A05DEF" w:rsidP="009A760E">
      <w:pPr>
        <w:jc w:val="center"/>
      </w:pPr>
    </w:p>
    <w:p w:rsidR="00DA7C0A" w:rsidRDefault="00DA7C0A" w:rsidP="009A760E">
      <w:pPr>
        <w:jc w:val="center"/>
      </w:pPr>
      <w:r>
        <w:lastRenderedPageBreak/>
        <w:t>Figur</w:t>
      </w:r>
      <w:r w:rsidR="0021043C">
        <w:t>a 1</w:t>
      </w:r>
      <w:r>
        <w:t xml:space="preserve"> – </w:t>
      </w:r>
      <w:r w:rsidR="009A760E">
        <w:t>Principais ligações entre grupos industriais</w:t>
      </w:r>
    </w:p>
    <w:p w:rsidR="00DA7C0A" w:rsidRDefault="00DA7C0A" w:rsidP="00965681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pt-BR"/>
        </w:rPr>
        <w:drawing>
          <wp:inline distT="0" distB="0" distL="0" distR="0">
            <wp:extent cx="3229033" cy="3229033"/>
            <wp:effectExtent l="19050" t="0" r="9467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22" cy="322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0A" w:rsidRDefault="00DA7C0A" w:rsidP="009A760E">
      <w:pPr>
        <w:ind w:left="2160"/>
        <w:rPr>
          <w:sz w:val="20"/>
          <w:szCs w:val="20"/>
        </w:rPr>
      </w:pPr>
      <w:r w:rsidRPr="00E60583">
        <w:rPr>
          <w:sz w:val="20"/>
          <w:szCs w:val="20"/>
        </w:rPr>
        <w:t>Fonte:</w:t>
      </w:r>
      <w:r w:rsidR="00080B80">
        <w:rPr>
          <w:sz w:val="20"/>
          <w:szCs w:val="20"/>
        </w:rPr>
        <w:t xml:space="preserve"> Baseado em </w:t>
      </w:r>
      <w:r>
        <w:rPr>
          <w:sz w:val="20"/>
          <w:szCs w:val="20"/>
        </w:rPr>
        <w:t>Hauknes e Knell (2009)</w:t>
      </w:r>
    </w:p>
    <w:p w:rsidR="00A05DEF" w:rsidRDefault="00A05DEF" w:rsidP="009A760E">
      <w:pPr>
        <w:ind w:left="2160"/>
        <w:rPr>
          <w:sz w:val="20"/>
          <w:szCs w:val="20"/>
        </w:rPr>
      </w:pPr>
    </w:p>
    <w:p w:rsidR="0034081B" w:rsidRDefault="006A5B0F" w:rsidP="00965681">
      <w:pPr>
        <w:pStyle w:val="PargrafodaLista1"/>
        <w:numPr>
          <w:ilvl w:val="0"/>
          <w:numId w:val="1"/>
        </w:numPr>
        <w:rPr>
          <w:b/>
        </w:rPr>
      </w:pPr>
      <w:r>
        <w:rPr>
          <w:b/>
        </w:rPr>
        <w:t>Resultados</w:t>
      </w:r>
    </w:p>
    <w:p w:rsidR="00484C45" w:rsidRDefault="00484C45" w:rsidP="00965681">
      <w:pPr>
        <w:pStyle w:val="PargrafodaLista1"/>
        <w:ind w:left="0"/>
      </w:pPr>
    </w:p>
    <w:p w:rsidR="00484C45" w:rsidRDefault="00484C45" w:rsidP="00965681">
      <w:pPr>
        <w:pStyle w:val="PargrafodaLista1"/>
        <w:ind w:left="0" w:firstLine="708"/>
        <w:rPr>
          <w:szCs w:val="24"/>
        </w:rPr>
      </w:pPr>
      <w:r>
        <w:t xml:space="preserve">Seguindo a metodologia descrita na seção 3.1 foi possível decompor a intensidade tecnológica </w:t>
      </w:r>
      <w:r w:rsidR="008B0A7A">
        <w:t xml:space="preserve">total </w:t>
      </w:r>
      <w:r>
        <w:t>em cinco partes como descrito na equação 14</w:t>
      </w:r>
      <w:r w:rsidR="00EE6FA6">
        <w:t>. O</w:t>
      </w:r>
      <w:r>
        <w:t xml:space="preserve"> resultado </w:t>
      </w:r>
      <w:r w:rsidR="00EE6FA6">
        <w:t>é mostrado no</w:t>
      </w:r>
      <w:r>
        <w:t xml:space="preserve"> gráfico 1 abaixo, que apresenta a intensidade tecnológica total decomposta para cada país e ainda apresenta o multiplicador tecnológico, que pode ser definido como </w:t>
      </w:r>
      <w:r>
        <w:rPr>
          <w:szCs w:val="24"/>
        </w:rPr>
        <w:t>a razão entre a intensidade tecnológica total e a intensidade em P&amp;D, isto é:</w:t>
      </w:r>
    </w:p>
    <w:p w:rsidR="00484C45" w:rsidRDefault="00484C45" w:rsidP="00965681">
      <w:pPr>
        <w:pStyle w:val="PargrafodaLista1"/>
        <w:ind w:left="0" w:firstLine="708"/>
        <w:rPr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484C45" w:rsidTr="00484C45">
        <w:trPr>
          <w:trHeight w:val="283"/>
        </w:trPr>
        <w:tc>
          <w:tcPr>
            <w:tcW w:w="4136" w:type="pct"/>
          </w:tcPr>
          <w:p w:rsidR="00484C45" w:rsidRPr="006E658C" w:rsidRDefault="00484C45" w:rsidP="00965681">
            <w:pPr>
              <w:pStyle w:val="Default"/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auto"/>
                  </w:rPr>
                  <m:t>MTec=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j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j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x</m:t>
                            </m:r>
                          </m:sup>
                        </m:sSub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auto"/>
                              </w:rPr>
                              <m:t>j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864" w:type="pct"/>
            <w:vAlign w:val="center"/>
          </w:tcPr>
          <w:p w:rsidR="00484C45" w:rsidRDefault="00D576DB" w:rsidP="00965681">
            <w:pPr>
              <w:jc w:val="left"/>
            </w:pPr>
            <w:r>
              <w:t>(19</w:t>
            </w:r>
            <w:r w:rsidR="00484C45">
              <w:t>)</w:t>
            </w:r>
          </w:p>
        </w:tc>
      </w:tr>
    </w:tbl>
    <w:p w:rsidR="00EE6FA6" w:rsidRDefault="006E6670" w:rsidP="00965681">
      <w:pPr>
        <w:pStyle w:val="PargrafodaLista1"/>
        <w:ind w:left="0" w:firstLine="708"/>
        <w:rPr>
          <w:szCs w:val="24"/>
        </w:rPr>
      </w:pPr>
      <w:r>
        <w:t xml:space="preserve">Em termos de interpretação, deve-se ter em mente que se o multiplicador de tecnologia é igual um, a indústria </w:t>
      </w:r>
      <w:r w:rsidR="00C5517D">
        <w:t>é</w:t>
      </w:r>
      <w:r>
        <w:t xml:space="preserve"> puramente produtora de tecnologia, e se tende para o infinito a indústria será uma usuária pura de tecnologia.</w:t>
      </w:r>
      <w:r w:rsidR="002C5FF6">
        <w:t xml:space="preserve"> </w:t>
      </w:r>
      <w:r w:rsidR="009818E3">
        <w:rPr>
          <w:szCs w:val="24"/>
        </w:rPr>
        <w:t xml:space="preserve">Em relação à sua magnitude, os multiplicadores tecnológicos podem ser interpretados da seguinte forma: países produtores de conhecimento possuem um baixo multiplicador, enquanto países usuários de conhecimento possuem um alto multiplicador. </w:t>
      </w:r>
    </w:p>
    <w:p w:rsidR="009818E3" w:rsidRDefault="009818E3" w:rsidP="00965681">
      <w:pPr>
        <w:pStyle w:val="PargrafodaLista1"/>
        <w:ind w:left="0" w:firstLine="708"/>
        <w:rPr>
          <w:szCs w:val="24"/>
        </w:rPr>
      </w:pPr>
      <w:r>
        <w:rPr>
          <w:szCs w:val="24"/>
        </w:rPr>
        <w:t>Como é possível notar, a Rússia</w:t>
      </w:r>
      <w:r w:rsidR="006776F2">
        <w:rPr>
          <w:szCs w:val="24"/>
        </w:rPr>
        <w:t xml:space="preserve"> </w:t>
      </w:r>
      <w:r>
        <w:rPr>
          <w:szCs w:val="24"/>
        </w:rPr>
        <w:t xml:space="preserve">apresenta o menor valor absoluto para o multiplicador. </w:t>
      </w:r>
      <w:r w:rsidR="00AB0B6F">
        <w:rPr>
          <w:szCs w:val="24"/>
        </w:rPr>
        <w:t xml:space="preserve">Por esse critério, a China seria o país mais usuário de conhecimento tecnológico externo. </w:t>
      </w:r>
      <w:r>
        <w:rPr>
          <w:szCs w:val="24"/>
        </w:rPr>
        <w:t>Em geral, os valores absolutos dos multiplicadores são maiores que aqueles apresentados por Hauknes e Knell (2009) para os países da OECD</w:t>
      </w:r>
      <w:r w:rsidR="00EE6FA6">
        <w:rPr>
          <w:szCs w:val="24"/>
        </w:rPr>
        <w:t xml:space="preserve"> (ver anexo I</w:t>
      </w:r>
      <w:r w:rsidR="008D42AB">
        <w:rPr>
          <w:szCs w:val="24"/>
        </w:rPr>
        <w:t>I</w:t>
      </w:r>
      <w:r w:rsidR="00EE6FA6">
        <w:rPr>
          <w:szCs w:val="24"/>
        </w:rPr>
        <w:t>I)</w:t>
      </w:r>
      <w:r w:rsidR="00AB0B6F">
        <w:rPr>
          <w:szCs w:val="24"/>
        </w:rPr>
        <w:t>, apresentando coerência em relação ao papel de cada bloco de países no que tange à proximidade da fronteira tecnológica</w:t>
      </w:r>
      <w:r>
        <w:rPr>
          <w:szCs w:val="24"/>
        </w:rPr>
        <w:t xml:space="preserve">. Um caso que é interessante é o da China, que apesar de investir muito em P&amp;D ainda é mais usuário que produtor de conhecimento, inclusive tendo o maior multiplicador entre os países do BRICS. </w:t>
      </w:r>
    </w:p>
    <w:p w:rsidR="0037159B" w:rsidRDefault="00CC5749" w:rsidP="00965681">
      <w:pPr>
        <w:ind w:firstLine="708"/>
        <w:rPr>
          <w:szCs w:val="24"/>
        </w:rPr>
      </w:pPr>
      <w:r>
        <w:rPr>
          <w:szCs w:val="24"/>
        </w:rPr>
        <w:t xml:space="preserve">Como é possível notar, o P&amp;D próprio representa mais de </w:t>
      </w:r>
      <w:r w:rsidR="0037159B">
        <w:rPr>
          <w:szCs w:val="24"/>
        </w:rPr>
        <w:t>40</w:t>
      </w:r>
      <w:r>
        <w:rPr>
          <w:szCs w:val="24"/>
        </w:rPr>
        <w:t xml:space="preserve">% da intensidade tecnológica total, exceto para o caso chinês. O P&amp;D em bens de capital importados </w:t>
      </w:r>
      <w:r w:rsidR="00F9794B">
        <w:rPr>
          <w:szCs w:val="24"/>
        </w:rPr>
        <w:t xml:space="preserve">representa </w:t>
      </w:r>
      <w:r w:rsidR="0037159B">
        <w:rPr>
          <w:szCs w:val="24"/>
        </w:rPr>
        <w:t>21</w:t>
      </w:r>
      <w:r w:rsidR="00F9794B">
        <w:rPr>
          <w:szCs w:val="24"/>
        </w:rPr>
        <w:t>%</w:t>
      </w:r>
      <w:r>
        <w:rPr>
          <w:szCs w:val="24"/>
        </w:rPr>
        <w:t xml:space="preserve"> do componente de intensidade tecnológica</w:t>
      </w:r>
      <w:r w:rsidR="00F9794B">
        <w:rPr>
          <w:szCs w:val="24"/>
        </w:rPr>
        <w:t xml:space="preserve"> para o </w:t>
      </w:r>
      <w:r w:rsidR="0037159B">
        <w:rPr>
          <w:szCs w:val="24"/>
        </w:rPr>
        <w:t>Brasil, 17% para África do Sul e China e apenas 5% para Rússia.</w:t>
      </w:r>
      <w:r w:rsidR="002C5FF6">
        <w:rPr>
          <w:szCs w:val="24"/>
        </w:rPr>
        <w:t xml:space="preserve"> </w:t>
      </w:r>
      <w:r w:rsidR="0037159B">
        <w:rPr>
          <w:szCs w:val="24"/>
        </w:rPr>
        <w:t>Tomando a participação percentual dos componentes domésticos, essa se mostra importante</w:t>
      </w:r>
      <w:r w:rsidR="00EE6FA6">
        <w:rPr>
          <w:szCs w:val="24"/>
        </w:rPr>
        <w:t>,</w:t>
      </w:r>
      <w:r w:rsidR="0037159B">
        <w:rPr>
          <w:szCs w:val="24"/>
        </w:rPr>
        <w:t xml:space="preserve"> sendo maior que 60% para todos os países</w:t>
      </w:r>
      <w:r w:rsidR="00C823D0">
        <w:rPr>
          <w:szCs w:val="24"/>
        </w:rPr>
        <w:t>. Para</w:t>
      </w:r>
      <w:r w:rsidR="00F712A7">
        <w:rPr>
          <w:szCs w:val="24"/>
        </w:rPr>
        <w:t xml:space="preserve"> Brasil e China</w:t>
      </w:r>
      <w:r w:rsidR="00C823D0">
        <w:rPr>
          <w:szCs w:val="24"/>
        </w:rPr>
        <w:t>,</w:t>
      </w:r>
      <w:r w:rsidR="00F712A7">
        <w:rPr>
          <w:szCs w:val="24"/>
        </w:rPr>
        <w:t xml:space="preserve"> que possuem os maiores multiplicadores</w:t>
      </w:r>
      <w:r w:rsidR="00C823D0">
        <w:rPr>
          <w:szCs w:val="24"/>
        </w:rPr>
        <w:t>,</w:t>
      </w:r>
      <w:r w:rsidR="00F712A7">
        <w:rPr>
          <w:szCs w:val="24"/>
        </w:rPr>
        <w:t xml:space="preserve"> essa proporção é a menor, 64% em ambos, e para Rússia</w:t>
      </w:r>
      <w:r w:rsidR="00C823D0">
        <w:rPr>
          <w:szCs w:val="24"/>
        </w:rPr>
        <w:t>,</w:t>
      </w:r>
      <w:r w:rsidR="00F712A7">
        <w:rPr>
          <w:szCs w:val="24"/>
        </w:rPr>
        <w:t xml:space="preserve"> que possui a maior proporção</w:t>
      </w:r>
      <w:r w:rsidR="00C823D0">
        <w:rPr>
          <w:szCs w:val="24"/>
        </w:rPr>
        <w:t xml:space="preserve"> (</w:t>
      </w:r>
      <w:r w:rsidR="00F712A7">
        <w:rPr>
          <w:szCs w:val="24"/>
        </w:rPr>
        <w:t>83%</w:t>
      </w:r>
      <w:r w:rsidR="00C823D0">
        <w:rPr>
          <w:szCs w:val="24"/>
        </w:rPr>
        <w:t>),</w:t>
      </w:r>
      <w:r w:rsidR="00F712A7">
        <w:rPr>
          <w:szCs w:val="24"/>
        </w:rPr>
        <w:t xml:space="preserve"> o seu multiplicador é o menor.</w:t>
      </w:r>
    </w:p>
    <w:p w:rsidR="00F9177B" w:rsidRDefault="00F9177B" w:rsidP="00965681">
      <w:pPr>
        <w:ind w:firstLine="708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5C51BA" w:rsidTr="005C51BA">
        <w:tc>
          <w:tcPr>
            <w:tcW w:w="9211" w:type="dxa"/>
          </w:tcPr>
          <w:p w:rsidR="005C51BA" w:rsidRDefault="00484C45" w:rsidP="00965681">
            <w:pPr>
              <w:pStyle w:val="PargrafodaLista1"/>
              <w:ind w:left="0"/>
              <w:jc w:val="center"/>
            </w:pPr>
            <w:r>
              <w:lastRenderedPageBreak/>
              <w:t>Gráfico 1</w:t>
            </w:r>
            <w:r w:rsidR="005C51BA">
              <w:t xml:space="preserve"> - </w:t>
            </w:r>
            <w:r w:rsidR="00517E9D">
              <w:t>Componentes do multiplicador tecnológico no BRICS</w:t>
            </w:r>
            <w:r w:rsidR="00654DB1">
              <w:t>*</w:t>
            </w:r>
          </w:p>
        </w:tc>
      </w:tr>
      <w:tr w:rsidR="005C51BA" w:rsidTr="00111AE1">
        <w:tblPrEx>
          <w:tblCellMar>
            <w:left w:w="70" w:type="dxa"/>
            <w:right w:w="70" w:type="dxa"/>
          </w:tblCellMar>
        </w:tblPrEx>
        <w:tc>
          <w:tcPr>
            <w:tcW w:w="9211" w:type="dxa"/>
          </w:tcPr>
          <w:p w:rsidR="005C51BA" w:rsidRDefault="00111AE1" w:rsidP="00965681">
            <w:pPr>
              <w:pStyle w:val="PargrafodaLista1"/>
              <w:ind w:left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00000" cy="3240000"/>
                  <wp:effectExtent l="0" t="0" r="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5C51BA" w:rsidTr="005C51BA">
        <w:tc>
          <w:tcPr>
            <w:tcW w:w="9211" w:type="dxa"/>
          </w:tcPr>
          <w:p w:rsidR="00654DB1" w:rsidRDefault="00654DB1" w:rsidP="00965681">
            <w:pPr>
              <w:pStyle w:val="PargrafodaLista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Para Brasil e África do Sul os dados são de 2005 e para China e Rússia são de 2000.</w:t>
            </w:r>
          </w:p>
          <w:p w:rsidR="005C51BA" w:rsidRPr="005C51BA" w:rsidRDefault="00654DB1" w:rsidP="00965681">
            <w:pPr>
              <w:pStyle w:val="PargrafodaLista1"/>
              <w:rPr>
                <w:sz w:val="20"/>
                <w:szCs w:val="20"/>
              </w:rPr>
            </w:pPr>
            <w:r w:rsidRPr="005C51BA">
              <w:rPr>
                <w:sz w:val="20"/>
                <w:szCs w:val="20"/>
              </w:rPr>
              <w:t xml:space="preserve">Fonte: </w:t>
            </w:r>
            <w:r>
              <w:rPr>
                <w:sz w:val="20"/>
                <w:szCs w:val="20"/>
              </w:rPr>
              <w:t>Elaboração própria a partir de dados da OECD, ANBERD e PINTEC</w:t>
            </w:r>
            <w:r w:rsidRPr="005C51BA">
              <w:rPr>
                <w:sz w:val="20"/>
                <w:szCs w:val="20"/>
              </w:rPr>
              <w:t>.</w:t>
            </w:r>
          </w:p>
        </w:tc>
      </w:tr>
    </w:tbl>
    <w:p w:rsidR="006A5B0F" w:rsidRDefault="006A5B0F" w:rsidP="00965681">
      <w:pPr>
        <w:pStyle w:val="PargrafodaLista1"/>
        <w:ind w:left="0"/>
      </w:pPr>
    </w:p>
    <w:p w:rsidR="00A05DEF" w:rsidRDefault="00A05DEF" w:rsidP="00A05DEF">
      <w:pPr>
        <w:ind w:firstLine="708"/>
        <w:rPr>
          <w:szCs w:val="24"/>
        </w:rPr>
      </w:pPr>
      <w:r>
        <w:rPr>
          <w:szCs w:val="24"/>
        </w:rPr>
        <w:t>Ao se comparar a composição dos multiplicadores tecnológicos desses países acima com os países desenvolvidos, derivados do trabalho de Hauknes e Knell (2009), nota-se que, em ambos os casos, o P&amp;D próprio é o mais importante componente do multiplicador.</w:t>
      </w:r>
      <w:r w:rsidR="006776F2">
        <w:rPr>
          <w:szCs w:val="24"/>
        </w:rPr>
        <w:t xml:space="preserve"> </w:t>
      </w:r>
      <w:r>
        <w:rPr>
          <w:szCs w:val="24"/>
        </w:rPr>
        <w:t xml:space="preserve">Por outro lado, o traço de dependência tecnológica emerge quando se verifica que, em média, a participação do P&amp;D incorporado em bens de capital importados é bem menor no caso dos países desenvolvidos </w:t>
      </w:r>
      <w:r w:rsidRPr="009B0DB1">
        <w:rPr>
          <w:i/>
          <w:szCs w:val="24"/>
        </w:rPr>
        <w:t>vis-à-vis</w:t>
      </w:r>
      <w:r>
        <w:rPr>
          <w:szCs w:val="24"/>
        </w:rPr>
        <w:t xml:space="preserve"> a participação média desse componente nos países do BRICS.</w:t>
      </w:r>
    </w:p>
    <w:p w:rsidR="00A05DEF" w:rsidRPr="00C823D0" w:rsidRDefault="00A05DEF" w:rsidP="00A05DEF">
      <w:pPr>
        <w:ind w:firstLine="708"/>
        <w:rPr>
          <w:szCs w:val="24"/>
        </w:rPr>
      </w:pPr>
      <w:r>
        <w:t>A tabela 1 desagrega as informações contidas no gráfico 1 por setores. Os seus resultados também são derivados da equação 19, exceto pelo uso dos somatórios.</w:t>
      </w:r>
      <w:r w:rsidR="002C5FF6">
        <w:t xml:space="preserve"> </w:t>
      </w:r>
      <w:r>
        <w:rPr>
          <w:szCs w:val="24"/>
        </w:rPr>
        <w:t xml:space="preserve">A tabela confirma a análise do gráfico acima, evidenciando que o P&amp;D próprio é o componente mais importante na maioria dos setores, exceto naqueles casos em que o multiplicador assume magnitude elevada, o que revela a pouca expressividade do P&amp;D próprio, como nos casos de setores Intensivos em Escala ou de Materiais da África </w:t>
      </w:r>
      <w:r w:rsidRPr="00C823D0">
        <w:rPr>
          <w:szCs w:val="24"/>
        </w:rPr>
        <w:t xml:space="preserve">do Sul ou setores </w:t>
      </w:r>
      <w:r>
        <w:rPr>
          <w:szCs w:val="24"/>
        </w:rPr>
        <w:t>T</w:t>
      </w:r>
      <w:r w:rsidRPr="00C823D0">
        <w:rPr>
          <w:szCs w:val="24"/>
        </w:rPr>
        <w:t xml:space="preserve">radicionais e de </w:t>
      </w:r>
      <w:r>
        <w:rPr>
          <w:szCs w:val="24"/>
        </w:rPr>
        <w:t>S</w:t>
      </w:r>
      <w:r w:rsidRPr="00C823D0">
        <w:rPr>
          <w:szCs w:val="24"/>
        </w:rPr>
        <w:t xml:space="preserve">erviços da Rússia. </w:t>
      </w:r>
    </w:p>
    <w:p w:rsidR="00A05DEF" w:rsidRDefault="00A05DEF" w:rsidP="00A05DEF">
      <w:pPr>
        <w:pStyle w:val="PargrafodaLista1"/>
        <w:ind w:left="0" w:firstLine="708"/>
        <w:rPr>
          <w:szCs w:val="24"/>
        </w:rPr>
      </w:pPr>
      <w:r w:rsidRPr="00C823D0">
        <w:rPr>
          <w:szCs w:val="24"/>
        </w:rPr>
        <w:t>Há também um padrão similar entre os países do BRICS.</w:t>
      </w:r>
      <w:r>
        <w:rPr>
          <w:szCs w:val="24"/>
        </w:rPr>
        <w:t xml:space="preserve"> Os setores Tradicionais e Serviços possuem a menor intensidade de P&amp;D próprio em geral, sendo que KIBS, setores Baseados em Ciência e os Intensivos em Escala possuem as maiores participações de P&amp;D próprio, embora isso varie por país. Por exemplo, em todos os casos os setores KIBS aparecem entre os que mais se destacam em termos de P&amp;D próprio. No Brasil, os setores Baseados em Ciência e Intensivos em Escala também se destacam além do KIBS. Entretanto, nos casos da Rússia e China, os mais importantes nesse ranking não são os KIBS, mas sim os setores Baseados em Ciência, ao passo que na África do Sul destacam-se os Fornecedores Especializados e os KIBS, nessa ordem. </w:t>
      </w:r>
    </w:p>
    <w:p w:rsidR="00A05DEF" w:rsidRDefault="00A05DEF" w:rsidP="00A05DEF">
      <w:pPr>
        <w:pStyle w:val="PargrafodaLista1"/>
        <w:ind w:left="0" w:firstLine="708"/>
        <w:rPr>
          <w:szCs w:val="24"/>
        </w:rPr>
      </w:pPr>
      <w:r>
        <w:rPr>
          <w:szCs w:val="24"/>
        </w:rPr>
        <w:t>Para o caso dos setores com menor intensidade tecnológica total, há o mesmo padrão dos países da OECD, apresentados por Hauknes e Knell (2009). Mas, uma diferença importante entre esses últimos e os BRICS é a grande distância relativa entre os setores que lideram em termos de P&amp;D próprio, que são sempre os Baseados em Ciência, e os outros setores da taxonomia. Além disso, no caso dos setores Fornecedores Especializados, Intensivos em Escala e KIBS, a intensidade em P&amp;D situava-se de forma intermediária entre os Baseados em Ciência e os Tradicionais e de Serviços.</w:t>
      </w:r>
    </w:p>
    <w:p w:rsidR="00A05DEF" w:rsidRDefault="00A05DEF" w:rsidP="00965681">
      <w:pPr>
        <w:pStyle w:val="PargrafodaLista1"/>
        <w:ind w:left="0"/>
      </w:pPr>
    </w:p>
    <w:p w:rsidR="00A05DEF" w:rsidRDefault="00A05DEF" w:rsidP="00965681">
      <w:pPr>
        <w:pStyle w:val="PargrafodaLista1"/>
        <w:ind w:left="0"/>
        <w:jc w:val="center"/>
      </w:pPr>
    </w:p>
    <w:p w:rsidR="00D576DB" w:rsidRDefault="00D576DB" w:rsidP="00965681">
      <w:pPr>
        <w:pStyle w:val="PargrafodaLista1"/>
        <w:ind w:left="0"/>
        <w:jc w:val="center"/>
      </w:pPr>
      <w:r>
        <w:lastRenderedPageBreak/>
        <w:t>Tabela 1 - Intensidade de P&amp;D</w:t>
      </w:r>
      <w:r w:rsidR="00C823D0">
        <w:t>,</w:t>
      </w:r>
      <w:r>
        <w:t xml:space="preserve"> P&amp;D incorporado no produto</w:t>
      </w:r>
      <w:r w:rsidR="00C823D0">
        <w:t xml:space="preserve"> e multiplicado</w:t>
      </w:r>
      <w:r w:rsidR="00654DB1">
        <w:t>r</w:t>
      </w:r>
      <w:r w:rsidR="00C823D0">
        <w:t xml:space="preserve"> tecnológico para países do BRICS</w:t>
      </w:r>
      <w:r w:rsidR="00654DB1">
        <w:t>*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5"/>
        <w:gridCol w:w="2220"/>
        <w:gridCol w:w="1013"/>
        <w:gridCol w:w="1013"/>
        <w:gridCol w:w="1013"/>
        <w:gridCol w:w="1013"/>
        <w:gridCol w:w="1013"/>
        <w:gridCol w:w="1013"/>
        <w:gridCol w:w="1115"/>
      </w:tblGrid>
      <w:tr w:rsidR="00193F85" w:rsidRPr="00193F85" w:rsidTr="00193F85">
        <w:trPr>
          <w:cantSplit/>
          <w:trHeight w:val="20"/>
        </w:trPr>
        <w:tc>
          <w:tcPr>
            <w:tcW w:w="187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5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8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P&amp;D Próprio</w:t>
            </w:r>
          </w:p>
        </w:tc>
        <w:tc>
          <w:tcPr>
            <w:tcW w:w="518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P&amp;D em insumos domésticos</w:t>
            </w:r>
          </w:p>
        </w:tc>
        <w:tc>
          <w:tcPr>
            <w:tcW w:w="518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P&amp;D em insumos importados</w:t>
            </w:r>
          </w:p>
        </w:tc>
        <w:tc>
          <w:tcPr>
            <w:tcW w:w="518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P&amp;D em bens de capital domésticos</w:t>
            </w:r>
          </w:p>
        </w:tc>
        <w:tc>
          <w:tcPr>
            <w:tcW w:w="518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P&amp;D em bens de capital importados</w:t>
            </w:r>
          </w:p>
        </w:tc>
        <w:tc>
          <w:tcPr>
            <w:tcW w:w="518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Total de P&amp;D Contido</w:t>
            </w:r>
          </w:p>
        </w:tc>
        <w:tc>
          <w:tcPr>
            <w:tcW w:w="57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D95AD2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Mult</w:t>
            </w:r>
            <w:r w:rsidR="00D95AD2">
              <w:rPr>
                <w:color w:val="000000"/>
                <w:sz w:val="16"/>
                <w:szCs w:val="16"/>
                <w:lang w:eastAsia="pt-BR"/>
              </w:rPr>
              <w:t>iplicador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8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Tecnológico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Brasil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1 – Energia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2,032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 – Tradicional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2,123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3 – Materiais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2,500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 xml:space="preserve">4 - Intensivo em </w:t>
            </w:r>
            <w:r>
              <w:rPr>
                <w:color w:val="000000"/>
                <w:sz w:val="16"/>
                <w:szCs w:val="16"/>
                <w:lang w:eastAsia="pt-BR"/>
              </w:rPr>
              <w:t>E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>scala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0,024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2,321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 xml:space="preserve">5 </w:t>
            </w:r>
            <w:r w:rsidR="006776F2">
              <w:rPr>
                <w:color w:val="000000"/>
                <w:sz w:val="16"/>
                <w:szCs w:val="16"/>
                <w:lang w:eastAsia="pt-BR"/>
              </w:rPr>
              <w:t>–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 xml:space="preserve"> Fornecedor</w:t>
            </w:r>
            <w:r w:rsidR="006776F2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pt-BR"/>
              </w:rPr>
              <w:t>E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>specializado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0,021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2,723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6 - Baseado em Ci</w:t>
            </w:r>
            <w:r>
              <w:rPr>
                <w:color w:val="000000"/>
                <w:sz w:val="16"/>
                <w:szCs w:val="16"/>
                <w:lang w:eastAsia="pt-BR"/>
              </w:rPr>
              <w:t>ê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>ncia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0,043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4,043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7 – Serviços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4,606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8 – KIBS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0,028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1,359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Rússia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1 – Energia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2,622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 – Tradicional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6,227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3 – Materiais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3,460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 xml:space="preserve">4 - Intensivo em </w:t>
            </w:r>
            <w:r>
              <w:rPr>
                <w:color w:val="000000"/>
                <w:sz w:val="16"/>
                <w:szCs w:val="16"/>
                <w:lang w:eastAsia="pt-BR"/>
              </w:rPr>
              <w:t>E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>scala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0,045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0,061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1,340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 xml:space="preserve">5 </w:t>
            </w:r>
            <w:r w:rsidR="006776F2">
              <w:rPr>
                <w:color w:val="000000"/>
                <w:sz w:val="16"/>
                <w:szCs w:val="16"/>
                <w:lang w:eastAsia="pt-BR"/>
              </w:rPr>
              <w:t>–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 xml:space="preserve"> Fornecedor</w:t>
            </w:r>
            <w:r w:rsidR="006776F2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pt-BR"/>
              </w:rPr>
              <w:t>E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>specializado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2,756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6 - Baseado em Ci</w:t>
            </w:r>
            <w:r>
              <w:rPr>
                <w:color w:val="000000"/>
                <w:sz w:val="16"/>
                <w:szCs w:val="16"/>
                <w:lang w:eastAsia="pt-BR"/>
              </w:rPr>
              <w:t>ê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>ncia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1,105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7 – Serviços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6,749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8 – KIBS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1,350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China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1 – Energia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2,368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 – Tradicional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3,234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3 – Materiais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2,931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 xml:space="preserve">4 - Intensivo em </w:t>
            </w:r>
            <w:r>
              <w:rPr>
                <w:color w:val="000000"/>
                <w:sz w:val="16"/>
                <w:szCs w:val="16"/>
                <w:lang w:eastAsia="pt-BR"/>
              </w:rPr>
              <w:t>E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>scala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2,490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 xml:space="preserve">5 </w:t>
            </w:r>
            <w:r w:rsidR="006776F2">
              <w:rPr>
                <w:color w:val="000000"/>
                <w:sz w:val="16"/>
                <w:szCs w:val="16"/>
                <w:lang w:eastAsia="pt-BR"/>
              </w:rPr>
              <w:t>–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 xml:space="preserve"> Fornecedor</w:t>
            </w:r>
            <w:r w:rsidR="006776F2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pt-BR"/>
              </w:rPr>
              <w:t>E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>specializado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0,020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4,794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6 - Baseado em Ci</w:t>
            </w:r>
            <w:r>
              <w:rPr>
                <w:color w:val="000000"/>
                <w:sz w:val="16"/>
                <w:szCs w:val="16"/>
                <w:lang w:eastAsia="pt-BR"/>
              </w:rPr>
              <w:t>ê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>ncia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0,028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2,213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7 – Serviços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2,901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8 – KIBS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1,251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África do Sul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1 – Energia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1,625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 – Tradicional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1,945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3 – Materiais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5,933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 xml:space="preserve">4 - Intensivo em </w:t>
            </w:r>
            <w:r>
              <w:rPr>
                <w:color w:val="000000"/>
                <w:sz w:val="16"/>
                <w:szCs w:val="16"/>
                <w:lang w:eastAsia="pt-BR"/>
              </w:rPr>
              <w:t>E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>scala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5,748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 xml:space="preserve">5 </w:t>
            </w:r>
            <w:r w:rsidR="006776F2">
              <w:rPr>
                <w:color w:val="000000"/>
                <w:sz w:val="16"/>
                <w:szCs w:val="16"/>
                <w:lang w:eastAsia="pt-BR"/>
              </w:rPr>
              <w:t>–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 xml:space="preserve"> Fornecedor</w:t>
            </w:r>
            <w:r w:rsidR="006776F2">
              <w:rPr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pt-BR"/>
              </w:rPr>
              <w:t>E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>specializado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0,027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1,528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6 - Baseado em Ci</w:t>
            </w:r>
            <w:r>
              <w:rPr>
                <w:color w:val="000000"/>
                <w:sz w:val="16"/>
                <w:szCs w:val="16"/>
                <w:lang w:eastAsia="pt-BR"/>
              </w:rPr>
              <w:t>ê</w:t>
            </w:r>
            <w:r w:rsidRPr="00193F85">
              <w:rPr>
                <w:color w:val="000000"/>
                <w:sz w:val="16"/>
                <w:szCs w:val="16"/>
                <w:lang w:eastAsia="pt-BR"/>
              </w:rPr>
              <w:t>ncia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0,029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2,682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7 – Serviços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4,016</w:t>
            </w:r>
          </w:p>
        </w:tc>
      </w:tr>
      <w:tr w:rsidR="00193F85" w:rsidRPr="00193F85" w:rsidTr="00193F85">
        <w:trPr>
          <w:cantSplit/>
          <w:trHeight w:val="20"/>
        </w:trPr>
        <w:tc>
          <w:tcPr>
            <w:tcW w:w="187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8 – KIBS</w:t>
            </w:r>
          </w:p>
        </w:tc>
        <w:tc>
          <w:tcPr>
            <w:tcW w:w="5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0,017</w:t>
            </w:r>
          </w:p>
        </w:tc>
        <w:tc>
          <w:tcPr>
            <w:tcW w:w="5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0,006</w:t>
            </w:r>
          </w:p>
        </w:tc>
        <w:tc>
          <w:tcPr>
            <w:tcW w:w="5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0,001</w:t>
            </w:r>
          </w:p>
        </w:tc>
        <w:tc>
          <w:tcPr>
            <w:tcW w:w="5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0,000</w:t>
            </w:r>
          </w:p>
        </w:tc>
        <w:tc>
          <w:tcPr>
            <w:tcW w:w="5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0,024</w:t>
            </w:r>
          </w:p>
        </w:tc>
        <w:tc>
          <w:tcPr>
            <w:tcW w:w="5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3F85" w:rsidRPr="00193F85" w:rsidRDefault="00193F85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193F85">
              <w:rPr>
                <w:color w:val="000000"/>
                <w:sz w:val="16"/>
                <w:szCs w:val="16"/>
                <w:lang w:eastAsia="pt-BR"/>
              </w:rPr>
              <w:t>1,428</w:t>
            </w:r>
          </w:p>
        </w:tc>
      </w:tr>
    </w:tbl>
    <w:p w:rsidR="00654DB1" w:rsidRDefault="00654DB1" w:rsidP="00965681">
      <w:pPr>
        <w:pStyle w:val="PargrafodaLista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* Para Brasil e África do Sul os dados são de 2005 e para China e Rússia são de 2000.  </w:t>
      </w:r>
    </w:p>
    <w:p w:rsidR="00654DB1" w:rsidRDefault="00654DB1" w:rsidP="00965681">
      <w:pPr>
        <w:pStyle w:val="PargrafodaLista1"/>
        <w:ind w:left="0"/>
        <w:rPr>
          <w:sz w:val="20"/>
          <w:szCs w:val="20"/>
        </w:rPr>
      </w:pPr>
      <w:r>
        <w:rPr>
          <w:sz w:val="20"/>
          <w:szCs w:val="20"/>
        </w:rPr>
        <w:t>Fonte: Elaboração própria a partir de dados da OECD, ANBERD e PINTEC</w:t>
      </w:r>
      <w:r w:rsidRPr="005C51BA">
        <w:rPr>
          <w:sz w:val="20"/>
          <w:szCs w:val="20"/>
        </w:rPr>
        <w:t>.</w:t>
      </w:r>
    </w:p>
    <w:p w:rsidR="00A05DEF" w:rsidRDefault="00A05DEF" w:rsidP="00965681">
      <w:pPr>
        <w:pStyle w:val="PargrafodaLista1"/>
        <w:ind w:left="0" w:firstLine="708"/>
        <w:rPr>
          <w:szCs w:val="24"/>
        </w:rPr>
      </w:pPr>
    </w:p>
    <w:p w:rsidR="00D576DB" w:rsidRDefault="00090D7B" w:rsidP="00965681">
      <w:pPr>
        <w:pStyle w:val="PargrafodaLista1"/>
        <w:ind w:left="0" w:firstLine="708"/>
        <w:rPr>
          <w:szCs w:val="24"/>
        </w:rPr>
      </w:pPr>
      <w:r>
        <w:rPr>
          <w:szCs w:val="24"/>
        </w:rPr>
        <w:t xml:space="preserve">De forma geral, essas diferenças entre os </w:t>
      </w:r>
      <w:r w:rsidR="00065A90">
        <w:rPr>
          <w:szCs w:val="24"/>
        </w:rPr>
        <w:t xml:space="preserve">BRICS </w:t>
      </w:r>
      <w:r>
        <w:rPr>
          <w:szCs w:val="24"/>
        </w:rPr>
        <w:t>e os países desenvolvidos demonstra</w:t>
      </w:r>
      <w:r w:rsidR="00654DB1">
        <w:rPr>
          <w:szCs w:val="24"/>
        </w:rPr>
        <w:t>m</w:t>
      </w:r>
      <w:r>
        <w:rPr>
          <w:szCs w:val="24"/>
        </w:rPr>
        <w:t xml:space="preserve"> a fragilidade daqueles </w:t>
      </w:r>
      <w:r w:rsidR="00065A90">
        <w:rPr>
          <w:szCs w:val="24"/>
        </w:rPr>
        <w:t xml:space="preserve">no que tange à presença de setores </w:t>
      </w:r>
      <w:r w:rsidR="00FF1D74">
        <w:rPr>
          <w:szCs w:val="24"/>
        </w:rPr>
        <w:t>B</w:t>
      </w:r>
      <w:r w:rsidR="00065A90">
        <w:rPr>
          <w:szCs w:val="24"/>
        </w:rPr>
        <w:t xml:space="preserve">aseados em </w:t>
      </w:r>
      <w:r w:rsidR="00FF1D74">
        <w:rPr>
          <w:szCs w:val="24"/>
        </w:rPr>
        <w:t>C</w:t>
      </w:r>
      <w:r w:rsidR="00065A90">
        <w:rPr>
          <w:szCs w:val="24"/>
        </w:rPr>
        <w:t>iência em suas estruturas industriais.</w:t>
      </w:r>
      <w:r w:rsidR="00A7368F">
        <w:rPr>
          <w:szCs w:val="24"/>
        </w:rPr>
        <w:t xml:space="preserve"> Quando presentes na estrutura industrial dos BRICS, os setores </w:t>
      </w:r>
      <w:r w:rsidR="00FF1D74">
        <w:rPr>
          <w:szCs w:val="24"/>
        </w:rPr>
        <w:t>B</w:t>
      </w:r>
      <w:r w:rsidR="00A7368F">
        <w:rPr>
          <w:szCs w:val="24"/>
        </w:rPr>
        <w:t xml:space="preserve">aseados em </w:t>
      </w:r>
      <w:r w:rsidR="00FF1D74">
        <w:rPr>
          <w:szCs w:val="24"/>
        </w:rPr>
        <w:t>C</w:t>
      </w:r>
      <w:r w:rsidR="00A7368F">
        <w:rPr>
          <w:szCs w:val="24"/>
        </w:rPr>
        <w:t>iência possuem pouca autonomia para realização de P&amp;D próprio. Em alguns casos, como no brasileiro e sul-africano, o P&amp;D incorporado em bens de capital importados é superior ao esforço setorial interno de P&amp;D (comparação da quinta coluna com a primeira, da tabela 1).</w:t>
      </w:r>
    </w:p>
    <w:p w:rsidR="00D576DB" w:rsidRDefault="00111C4F" w:rsidP="00965681">
      <w:pPr>
        <w:ind w:firstLine="708"/>
      </w:pPr>
      <w:r>
        <w:t xml:space="preserve">A </w:t>
      </w:r>
      <w:r w:rsidR="00E76BCD">
        <w:t>conclusão</w:t>
      </w:r>
      <w:r>
        <w:t xml:space="preserve"> acima </w:t>
      </w:r>
      <w:r w:rsidR="00E76BCD">
        <w:t xml:space="preserve">se reforça ao se observar </w:t>
      </w:r>
      <w:r>
        <w:t xml:space="preserve">o valor absoluto dos multiplicadores. </w:t>
      </w:r>
      <w:r w:rsidR="00F167F2">
        <w:t>Setores</w:t>
      </w:r>
      <w:r w:rsidR="00D576DB">
        <w:t xml:space="preserve"> como </w:t>
      </w:r>
      <w:r w:rsidR="00E76BCD">
        <w:t xml:space="preserve">os </w:t>
      </w:r>
      <w:r w:rsidR="00FF1D74">
        <w:t xml:space="preserve">Baseados </w:t>
      </w:r>
      <w:r w:rsidR="00D576DB">
        <w:t xml:space="preserve">em </w:t>
      </w:r>
      <w:r w:rsidR="00FF1D74">
        <w:t>Ciência</w:t>
      </w:r>
      <w:r w:rsidR="00F529F4">
        <w:t xml:space="preserve">possuem multiplicadores maiores que os de </w:t>
      </w:r>
      <w:r w:rsidR="00FF1D74">
        <w:t>E</w:t>
      </w:r>
      <w:r w:rsidR="00F529F4">
        <w:t xml:space="preserve">nergia, </w:t>
      </w:r>
      <w:r w:rsidR="00FF1D74">
        <w:t>T</w:t>
      </w:r>
      <w:r w:rsidR="00F529F4">
        <w:t xml:space="preserve">radicionais e </w:t>
      </w:r>
      <w:r w:rsidR="00FF1D74">
        <w:t>M</w:t>
      </w:r>
      <w:r w:rsidR="00F529F4">
        <w:t xml:space="preserve">ateriais, o que não ocorre em países desenvolvidos. Entre os </w:t>
      </w:r>
      <w:r w:rsidR="00D576DB">
        <w:t>BRICS</w:t>
      </w:r>
      <w:r w:rsidR="00F529F4">
        <w:t>,</w:t>
      </w:r>
      <w:r w:rsidR="00D576DB">
        <w:t xml:space="preserve"> a Rússia é a que mais se aproxima de uma estrutura dos países mais desenvolvidos. </w:t>
      </w:r>
    </w:p>
    <w:p w:rsidR="008A4FC4" w:rsidRDefault="006141CF" w:rsidP="00965681">
      <w:pPr>
        <w:pStyle w:val="PargrafodaLista1"/>
        <w:ind w:left="0" w:firstLine="708"/>
        <w:rPr>
          <w:szCs w:val="24"/>
        </w:rPr>
      </w:pPr>
      <w:r>
        <w:rPr>
          <w:szCs w:val="24"/>
        </w:rPr>
        <w:t xml:space="preserve">Após analisar a intensidade própria de P&amp;D e a dependência externa de P&amp;D de cada grupo setorial por países, é preciso </w:t>
      </w:r>
      <w:r w:rsidR="008A4FC4">
        <w:rPr>
          <w:szCs w:val="24"/>
        </w:rPr>
        <w:t>analisar os fluxos intersetoriais.</w:t>
      </w:r>
      <w:r w:rsidR="00CD04C5">
        <w:rPr>
          <w:szCs w:val="24"/>
        </w:rPr>
        <w:t xml:space="preserve"> Dessa forma</w:t>
      </w:r>
      <w:r>
        <w:rPr>
          <w:szCs w:val="24"/>
        </w:rPr>
        <w:t>,</w:t>
      </w:r>
      <w:r w:rsidR="00CD04C5">
        <w:rPr>
          <w:szCs w:val="24"/>
        </w:rPr>
        <w:t xml:space="preserve"> as tabelas de 2 a 5 apresentam os </w:t>
      </w:r>
      <w:r w:rsidR="00FF1D74">
        <w:rPr>
          <w:szCs w:val="24"/>
        </w:rPr>
        <w:t xml:space="preserve">impactos </w:t>
      </w:r>
      <w:r w:rsidR="00CD04C5">
        <w:rPr>
          <w:szCs w:val="24"/>
        </w:rPr>
        <w:t xml:space="preserve">líquidos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="00CD04C5">
        <w:t>,definidos na seção 3.2.</w:t>
      </w:r>
    </w:p>
    <w:p w:rsidR="008A4FC4" w:rsidRPr="00B21705" w:rsidRDefault="00CD04C5" w:rsidP="00965681">
      <w:pPr>
        <w:pStyle w:val="PargrafodaLista1"/>
        <w:ind w:left="0"/>
        <w:rPr>
          <w:szCs w:val="24"/>
        </w:rPr>
      </w:pPr>
      <w:r>
        <w:rPr>
          <w:szCs w:val="24"/>
        </w:rPr>
        <w:tab/>
        <w:t xml:space="preserve">Os </w:t>
      </w:r>
      <w:r w:rsidR="00FF1D74">
        <w:rPr>
          <w:szCs w:val="24"/>
        </w:rPr>
        <w:t>i</w:t>
      </w:r>
      <w:r w:rsidR="001E5BEA">
        <w:rPr>
          <w:szCs w:val="24"/>
        </w:rPr>
        <w:t>mpactos</w:t>
      </w:r>
      <w:r>
        <w:rPr>
          <w:szCs w:val="24"/>
        </w:rPr>
        <w:t>líquidos intersetoriais permitem traçar padrões dos grupos entre os países</w:t>
      </w:r>
      <w:r w:rsidR="00927875">
        <w:rPr>
          <w:szCs w:val="24"/>
        </w:rPr>
        <w:t xml:space="preserve"> analisados. </w:t>
      </w:r>
      <w:r w:rsidR="001E5BEA">
        <w:rPr>
          <w:szCs w:val="24"/>
        </w:rPr>
        <w:t xml:space="preserve">Dada a estrutura de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Cs w:val="24"/>
              </w:rPr>
              <m:t>ij</m:t>
            </m:r>
          </m:sub>
        </m:sSub>
      </m:oMath>
      <w:r w:rsidR="001E5BEA">
        <w:rPr>
          <w:szCs w:val="24"/>
        </w:rPr>
        <w:t>, ele pode variar entre -∞ e ∞, de tal forma que,</w:t>
      </w:r>
      <w:r w:rsidR="001E5BEA">
        <w:t>quanto</w:t>
      </w:r>
      <w:r w:rsidR="00927875">
        <w:t xml:space="preserve"> mais próximo de </w:t>
      </w:r>
      <w:r w:rsidR="001E5BEA">
        <w:rPr>
          <w:szCs w:val="24"/>
        </w:rPr>
        <w:t>-∞</w:t>
      </w:r>
      <w:r w:rsidR="006141CF">
        <w:t>, mais</w:t>
      </w:r>
      <w:r w:rsidR="00927875">
        <w:t xml:space="preserve"> o setor tem uma relação </w:t>
      </w:r>
      <w:r w:rsidR="00B21705">
        <w:rPr>
          <w:i/>
        </w:rPr>
        <w:t>downstream</w:t>
      </w:r>
      <w:r w:rsidR="006776F2">
        <w:rPr>
          <w:i/>
        </w:rPr>
        <w:t xml:space="preserve"> </w:t>
      </w:r>
      <w:r w:rsidR="00F167F2" w:rsidRPr="00A40228">
        <w:t>(</w:t>
      </w:r>
      <w:r w:rsidR="003138A7" w:rsidRPr="00A40228">
        <w:t>de comprador ou para trás</w:t>
      </w:r>
      <w:r w:rsidR="00F167F2" w:rsidRPr="00A40228">
        <w:t>)</w:t>
      </w:r>
      <w:r w:rsidR="006141CF" w:rsidRPr="00A40228">
        <w:t>com o</w:t>
      </w:r>
      <w:r w:rsidR="00FB25BD" w:rsidRPr="00A40228">
        <w:t>soutros</w:t>
      </w:r>
      <w:r w:rsidR="00B21705" w:rsidRPr="00A40228">
        <w:t xml:space="preserve"> setores, enquanto </w:t>
      </w:r>
      <w:r w:rsidR="006141CF" w:rsidRPr="00A40228">
        <w:t xml:space="preserve">que, </w:t>
      </w:r>
      <w:r w:rsidR="00B21705" w:rsidRPr="00A40228">
        <w:t xml:space="preserve">quanto mais próximo de </w:t>
      </w:r>
      <w:r w:rsidR="001E5BEA" w:rsidRPr="00A40228">
        <w:rPr>
          <w:szCs w:val="24"/>
        </w:rPr>
        <w:t>∞</w:t>
      </w:r>
      <w:r w:rsidR="00B21705" w:rsidRPr="00A40228">
        <w:t xml:space="preserve"> mais </w:t>
      </w:r>
      <w:r w:rsidR="00B21705" w:rsidRPr="00A40228">
        <w:rPr>
          <w:i/>
        </w:rPr>
        <w:t>upstream</w:t>
      </w:r>
      <w:r w:rsidR="00B21705" w:rsidRPr="00A40228">
        <w:t xml:space="preserve"> é a relação </w:t>
      </w:r>
      <w:r w:rsidR="00FB25BD" w:rsidRPr="00A40228">
        <w:t>com os outros</w:t>
      </w:r>
      <w:r w:rsidR="00B21705" w:rsidRPr="00A40228">
        <w:t xml:space="preserve"> setores</w:t>
      </w:r>
      <w:r w:rsidR="00F167F2" w:rsidRPr="00A40228">
        <w:t xml:space="preserve"> (</w:t>
      </w:r>
      <w:r w:rsidR="003138A7" w:rsidRPr="00A40228">
        <w:t>de produtor ou para frente</w:t>
      </w:r>
      <w:r w:rsidR="00F167F2" w:rsidRPr="00A40228">
        <w:t>)</w:t>
      </w:r>
      <w:r w:rsidR="006C1961" w:rsidRPr="00A40228">
        <w:t>. Por outro lado</w:t>
      </w:r>
      <w:r w:rsidR="00B21705" w:rsidRPr="00A40228">
        <w:t>, quanto mais próximo de 0, mais intermediária é a relação entre o grupo de setores.</w:t>
      </w:r>
      <w:r w:rsidR="003839DE" w:rsidRPr="00A40228">
        <w:t xml:space="preserve"> Deve</w:t>
      </w:r>
      <w:r w:rsidR="003839DE">
        <w:t xml:space="preserve">-se destacar que a </w:t>
      </w:r>
      <w:r w:rsidR="006C1961">
        <w:t xml:space="preserve">leitura e interpretação </w:t>
      </w:r>
      <w:r w:rsidR="003839DE">
        <w:t xml:space="preserve">das tabelas 2 a 5 devem ser feitas </w:t>
      </w:r>
      <w:r w:rsidR="006C1961">
        <w:t>tomando-se como referência suas</w:t>
      </w:r>
      <w:r w:rsidR="003839DE">
        <w:t xml:space="preserve"> linha</w:t>
      </w:r>
      <w:r w:rsidR="006C1961">
        <w:t>s</w:t>
      </w:r>
      <w:r w:rsidR="001E5BEA">
        <w:t xml:space="preserve">, sendo que </w:t>
      </w:r>
      <w:r w:rsidR="001E5BEA">
        <w:rPr>
          <w:szCs w:val="24"/>
        </w:rPr>
        <w:t xml:space="preserve">a análise feita na linha para </w:t>
      </w:r>
      <w:r w:rsidR="001E5BEA">
        <w:rPr>
          <w:szCs w:val="24"/>
        </w:rPr>
        <w:lastRenderedPageBreak/>
        <w:t>cada grupo pode ser invertida</w:t>
      </w:r>
      <w:r w:rsidR="003839DE">
        <w:t xml:space="preserve">. </w:t>
      </w:r>
      <w:r w:rsidR="000D7135">
        <w:t xml:space="preserve">Uma relação </w:t>
      </w:r>
      <w:r w:rsidR="000D7135" w:rsidRPr="009B0DB1">
        <w:rPr>
          <w:i/>
        </w:rPr>
        <w:t>upstream</w:t>
      </w:r>
      <w:r w:rsidR="000D7135">
        <w:t xml:space="preserve"> com outros setores </w:t>
      </w:r>
      <w:r w:rsidR="000D7135">
        <w:rPr>
          <w:szCs w:val="24"/>
        </w:rPr>
        <w:t>significa que o setor é mais importante como fornecedor e vice-versa.</w:t>
      </w:r>
    </w:p>
    <w:p w:rsidR="006C1961" w:rsidRDefault="00121561" w:rsidP="00965681">
      <w:pPr>
        <w:pStyle w:val="PargrafodaLista1"/>
        <w:ind w:left="0"/>
        <w:rPr>
          <w:szCs w:val="24"/>
        </w:rPr>
      </w:pPr>
      <w:r>
        <w:rPr>
          <w:szCs w:val="24"/>
        </w:rPr>
        <w:tab/>
        <w:t xml:space="preserve">O grupo 1 – Energético – possui uma relação </w:t>
      </w:r>
      <w:r w:rsidRPr="00121561">
        <w:rPr>
          <w:i/>
          <w:szCs w:val="24"/>
        </w:rPr>
        <w:t>upstream</w:t>
      </w:r>
      <w:r>
        <w:rPr>
          <w:szCs w:val="24"/>
        </w:rPr>
        <w:t xml:space="preserve"> como todos os demais grupos, exceto KIBS, para todos os países, </w:t>
      </w:r>
      <w:r w:rsidR="006C1961">
        <w:rPr>
          <w:szCs w:val="24"/>
        </w:rPr>
        <w:t>menos a</w:t>
      </w:r>
      <w:r>
        <w:rPr>
          <w:szCs w:val="24"/>
        </w:rPr>
        <w:t xml:space="preserve"> China.</w:t>
      </w:r>
      <w:r w:rsidR="006C1961">
        <w:rPr>
          <w:szCs w:val="24"/>
        </w:rPr>
        <w:t xml:space="preserve"> Em geral, Rússia e </w:t>
      </w:r>
      <w:r w:rsidR="00DF11D8">
        <w:rPr>
          <w:szCs w:val="24"/>
        </w:rPr>
        <w:t xml:space="preserve">África </w:t>
      </w:r>
      <w:r w:rsidR="006C1961">
        <w:rPr>
          <w:szCs w:val="24"/>
        </w:rPr>
        <w:t>do Sul apresentam valores mais intermediários para os setores de energia, em relação a Brasil e China.</w:t>
      </w:r>
    </w:p>
    <w:p w:rsidR="00121561" w:rsidRDefault="006C1961" w:rsidP="00965681">
      <w:pPr>
        <w:pStyle w:val="PargrafodaLista1"/>
        <w:ind w:left="0"/>
        <w:rPr>
          <w:szCs w:val="24"/>
        </w:rPr>
      </w:pPr>
      <w:r>
        <w:rPr>
          <w:szCs w:val="24"/>
        </w:rPr>
        <w:tab/>
        <w:t>O</w:t>
      </w:r>
      <w:r w:rsidR="00121561">
        <w:rPr>
          <w:szCs w:val="24"/>
        </w:rPr>
        <w:t xml:space="preserve"> grupo 2 – Tradicional – apresenta uma relação </w:t>
      </w:r>
      <w:r w:rsidR="00121561">
        <w:rPr>
          <w:i/>
          <w:szCs w:val="24"/>
        </w:rPr>
        <w:t>downstream</w:t>
      </w:r>
      <w:r w:rsidR="00121561">
        <w:rPr>
          <w:szCs w:val="24"/>
        </w:rPr>
        <w:t xml:space="preserve"> com todos grupos e</w:t>
      </w:r>
      <w:r>
        <w:rPr>
          <w:szCs w:val="24"/>
        </w:rPr>
        <w:t>m</w:t>
      </w:r>
      <w:r w:rsidR="00121561">
        <w:rPr>
          <w:szCs w:val="24"/>
        </w:rPr>
        <w:t xml:space="preserve"> todos os países, </w:t>
      </w:r>
      <w:r>
        <w:rPr>
          <w:szCs w:val="24"/>
        </w:rPr>
        <w:t xml:space="preserve">excetuando-se </w:t>
      </w:r>
      <w:r w:rsidR="00121561">
        <w:rPr>
          <w:szCs w:val="24"/>
        </w:rPr>
        <w:t>KIBS na Rússia. Outro fato que deve ser destacado é que os valores do grupo 2 são</w:t>
      </w:r>
      <w:r>
        <w:rPr>
          <w:szCs w:val="24"/>
        </w:rPr>
        <w:t>,</w:t>
      </w:r>
      <w:r w:rsidR="00121561">
        <w:rPr>
          <w:szCs w:val="24"/>
        </w:rPr>
        <w:t xml:space="preserve"> em geral</w:t>
      </w:r>
      <w:r>
        <w:rPr>
          <w:szCs w:val="24"/>
        </w:rPr>
        <w:t>,</w:t>
      </w:r>
      <w:r w:rsidR="00121561">
        <w:rPr>
          <w:szCs w:val="24"/>
        </w:rPr>
        <w:t xml:space="preserve"> maiores, demonstrando </w:t>
      </w:r>
      <w:r>
        <w:rPr>
          <w:szCs w:val="24"/>
        </w:rPr>
        <w:t xml:space="preserve">que o grupo 2 está </w:t>
      </w:r>
      <w:r w:rsidR="00121561">
        <w:rPr>
          <w:szCs w:val="24"/>
        </w:rPr>
        <w:t>na ponta da cadeia produtiva em todos os países.</w:t>
      </w:r>
    </w:p>
    <w:p w:rsidR="00927875" w:rsidRDefault="00927875" w:rsidP="00965681">
      <w:pPr>
        <w:pStyle w:val="PargrafodaLista1"/>
        <w:ind w:left="0"/>
        <w:rPr>
          <w:szCs w:val="24"/>
        </w:rPr>
      </w:pPr>
    </w:p>
    <w:p w:rsidR="00D576DB" w:rsidRDefault="008A4FC4" w:rsidP="00965681">
      <w:pPr>
        <w:pStyle w:val="PargrafodaLista1"/>
        <w:ind w:left="0"/>
        <w:jc w:val="center"/>
        <w:rPr>
          <w:szCs w:val="24"/>
        </w:rPr>
      </w:pPr>
      <w:r>
        <w:rPr>
          <w:szCs w:val="24"/>
        </w:rPr>
        <w:t xml:space="preserve">Tabela 2 </w:t>
      </w:r>
      <w:r w:rsidR="00CD04C5">
        <w:rPr>
          <w:szCs w:val="24"/>
        </w:rPr>
        <w:t>–Fluxos líquidos entre setores do Brasil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96"/>
        <w:gridCol w:w="1127"/>
        <w:gridCol w:w="951"/>
        <w:gridCol w:w="1099"/>
        <w:gridCol w:w="1293"/>
        <w:gridCol w:w="1128"/>
        <w:gridCol w:w="886"/>
        <w:gridCol w:w="698"/>
      </w:tblGrid>
      <w:tr w:rsidR="008A4FC4" w:rsidRPr="008A4FC4" w:rsidTr="00CD04C5">
        <w:trPr>
          <w:trHeight w:val="525"/>
        </w:trPr>
        <w:tc>
          <w:tcPr>
            <w:tcW w:w="132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2 </w:t>
            </w:r>
            <w:r w:rsidR="001E5BEA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Tradicional</w:t>
            </w:r>
          </w:p>
        </w:tc>
        <w:tc>
          <w:tcPr>
            <w:tcW w:w="48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3 </w:t>
            </w:r>
            <w:r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Materiais</w:t>
            </w:r>
          </w:p>
        </w:tc>
        <w:tc>
          <w:tcPr>
            <w:tcW w:w="56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4 - Intensivo em escala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5 - Fornecedor especializado</w:t>
            </w:r>
          </w:p>
        </w:tc>
        <w:tc>
          <w:tcPr>
            <w:tcW w:w="57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6 - Baseado em </w:t>
            </w:r>
            <w:r w:rsidR="003420F4" w:rsidRPr="008A4FC4">
              <w:rPr>
                <w:color w:val="000000"/>
                <w:sz w:val="20"/>
                <w:szCs w:val="20"/>
                <w:lang w:eastAsia="pt-BR"/>
              </w:rPr>
              <w:t>Ciência</w:t>
            </w:r>
          </w:p>
        </w:tc>
        <w:tc>
          <w:tcPr>
            <w:tcW w:w="45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7 - Serviços</w:t>
            </w:r>
          </w:p>
        </w:tc>
        <w:tc>
          <w:tcPr>
            <w:tcW w:w="35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8 - KIBS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1 </w:t>
            </w:r>
            <w:r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Energia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0,133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0,139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0,119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0,052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0,137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-0,096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2 </w:t>
            </w:r>
            <w:r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Tradicional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-0,271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-0,215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-0,082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-0,085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3 </w:t>
            </w:r>
            <w:r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Materiais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0,096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0,208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0,073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-0,040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4 - Intensivo em </w:t>
            </w:r>
            <w:r w:rsidR="001E5BEA">
              <w:rPr>
                <w:color w:val="000000"/>
                <w:sz w:val="20"/>
                <w:szCs w:val="20"/>
                <w:lang w:eastAsia="pt-BR"/>
              </w:rPr>
              <w:t>E</w:t>
            </w:r>
            <w:r w:rsidR="001E5BEA" w:rsidRPr="008A4FC4">
              <w:rPr>
                <w:color w:val="000000"/>
                <w:sz w:val="20"/>
                <w:szCs w:val="20"/>
                <w:lang w:eastAsia="pt-BR"/>
              </w:rPr>
              <w:t>scala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0,073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0,066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-0,122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-0,086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5 </w:t>
            </w:r>
            <w:r w:rsidR="006776F2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Fornecedor</w:t>
            </w:r>
            <w:r w:rsidR="006776F2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E5BEA">
              <w:rPr>
                <w:color w:val="000000"/>
                <w:sz w:val="20"/>
                <w:szCs w:val="20"/>
                <w:lang w:eastAsia="pt-BR"/>
              </w:rPr>
              <w:t>E</w:t>
            </w:r>
            <w:r w:rsidR="001E5BEA" w:rsidRPr="008A4FC4">
              <w:rPr>
                <w:color w:val="000000"/>
                <w:sz w:val="20"/>
                <w:szCs w:val="20"/>
                <w:lang w:eastAsia="pt-BR"/>
              </w:rPr>
              <w:t>specializado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0,079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-0,092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-0,043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6 - Baseado em </w:t>
            </w:r>
            <w:r w:rsidR="006C1961" w:rsidRPr="008A4FC4">
              <w:rPr>
                <w:color w:val="000000"/>
                <w:sz w:val="20"/>
                <w:szCs w:val="20"/>
                <w:lang w:eastAsia="pt-BR"/>
              </w:rPr>
              <w:t>Ciência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-0,071</w:t>
            </w:r>
          </w:p>
        </w:tc>
      </w:tr>
      <w:tr w:rsidR="008A4FC4" w:rsidRPr="008A4FC4" w:rsidTr="00CD04C5">
        <w:trPr>
          <w:trHeight w:val="270"/>
        </w:trPr>
        <w:tc>
          <w:tcPr>
            <w:tcW w:w="13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7 </w:t>
            </w:r>
            <w:r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Serviços</w:t>
            </w:r>
          </w:p>
        </w:tc>
        <w:tc>
          <w:tcPr>
            <w:tcW w:w="5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-0,411</w:t>
            </w:r>
          </w:p>
        </w:tc>
      </w:tr>
    </w:tbl>
    <w:p w:rsidR="00CD04C5" w:rsidRDefault="00CD04C5" w:rsidP="00965681">
      <w:pPr>
        <w:pStyle w:val="PargrafodaLista1"/>
        <w:ind w:left="0"/>
        <w:rPr>
          <w:sz w:val="20"/>
          <w:szCs w:val="20"/>
        </w:rPr>
      </w:pPr>
      <w:r>
        <w:rPr>
          <w:sz w:val="20"/>
          <w:szCs w:val="20"/>
        </w:rPr>
        <w:t>Fonte: Resultado da Pesquisa</w:t>
      </w:r>
    </w:p>
    <w:p w:rsidR="003420F4" w:rsidRDefault="003420F4" w:rsidP="003420F4">
      <w:pPr>
        <w:pStyle w:val="PargrafodaLista1"/>
        <w:ind w:left="0" w:firstLine="708"/>
        <w:rPr>
          <w:szCs w:val="24"/>
        </w:rPr>
      </w:pPr>
    </w:p>
    <w:p w:rsidR="003420F4" w:rsidRDefault="003420F4" w:rsidP="003420F4">
      <w:pPr>
        <w:pStyle w:val="PargrafodaLista1"/>
        <w:ind w:left="0" w:firstLine="708"/>
        <w:rPr>
          <w:szCs w:val="24"/>
        </w:rPr>
      </w:pPr>
      <w:r>
        <w:rPr>
          <w:szCs w:val="24"/>
        </w:rPr>
        <w:t xml:space="preserve">O grupo 3 – Materiais – apresenta para todos os países relações </w:t>
      </w:r>
      <w:r>
        <w:rPr>
          <w:i/>
          <w:szCs w:val="24"/>
        </w:rPr>
        <w:t>upstream</w:t>
      </w:r>
      <w:r>
        <w:rPr>
          <w:szCs w:val="24"/>
        </w:rPr>
        <w:t xml:space="preserve"> com os grupos 4, 5 e 6 e uma relação </w:t>
      </w:r>
      <w:r w:rsidRPr="00B446FF">
        <w:rPr>
          <w:i/>
          <w:szCs w:val="24"/>
        </w:rPr>
        <w:t>downstream</w:t>
      </w:r>
      <w:r>
        <w:rPr>
          <w:szCs w:val="24"/>
        </w:rPr>
        <w:t xml:space="preserve"> com os grupos 7 e 8. Cabe mais uma vez ressaltar que a análise feita na linha para cada grupo pode ser invertida, ou seja, se Energia (grupo 1) possui uma relação </w:t>
      </w:r>
      <w:r w:rsidRPr="00B446FF">
        <w:rPr>
          <w:i/>
          <w:szCs w:val="24"/>
        </w:rPr>
        <w:t>upstream</w:t>
      </w:r>
      <w:r>
        <w:rPr>
          <w:szCs w:val="24"/>
        </w:rPr>
        <w:t xml:space="preserve"> com o grupo 3, este por sua vez apresentará uma relação </w:t>
      </w:r>
      <w:r w:rsidRPr="009B0DB1">
        <w:rPr>
          <w:i/>
          <w:szCs w:val="24"/>
        </w:rPr>
        <w:t>downstream</w:t>
      </w:r>
      <w:r>
        <w:rPr>
          <w:szCs w:val="24"/>
        </w:rPr>
        <w:t xml:space="preserve"> com aquele, sendo assim, como já foi apresentada uma análise, as demais se tornam redundantes. </w:t>
      </w:r>
    </w:p>
    <w:p w:rsidR="008A4FC4" w:rsidRDefault="008A4FC4" w:rsidP="00965681">
      <w:pPr>
        <w:pStyle w:val="PargrafodaLista1"/>
        <w:ind w:left="0"/>
        <w:rPr>
          <w:szCs w:val="24"/>
        </w:rPr>
      </w:pPr>
    </w:p>
    <w:p w:rsidR="00CD04C5" w:rsidRDefault="00CD04C5" w:rsidP="00965681">
      <w:pPr>
        <w:pStyle w:val="PargrafodaLista1"/>
        <w:ind w:left="0"/>
        <w:jc w:val="center"/>
        <w:rPr>
          <w:szCs w:val="24"/>
        </w:rPr>
      </w:pPr>
      <w:r>
        <w:rPr>
          <w:szCs w:val="24"/>
        </w:rPr>
        <w:t>Tabela 3 – Fluxos líquidos entre setores da Rússia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96"/>
        <w:gridCol w:w="1127"/>
        <w:gridCol w:w="951"/>
        <w:gridCol w:w="1099"/>
        <w:gridCol w:w="1293"/>
        <w:gridCol w:w="1128"/>
        <w:gridCol w:w="886"/>
        <w:gridCol w:w="698"/>
      </w:tblGrid>
      <w:tr w:rsidR="008A4FC4" w:rsidRPr="008A4FC4" w:rsidTr="00CD04C5">
        <w:trPr>
          <w:trHeight w:val="525"/>
        </w:trPr>
        <w:tc>
          <w:tcPr>
            <w:tcW w:w="132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2 </w:t>
            </w:r>
            <w:r w:rsidR="001E5BEA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Tradicional</w:t>
            </w:r>
          </w:p>
        </w:tc>
        <w:tc>
          <w:tcPr>
            <w:tcW w:w="48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3 </w:t>
            </w:r>
            <w:r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Materiais</w:t>
            </w:r>
          </w:p>
        </w:tc>
        <w:tc>
          <w:tcPr>
            <w:tcW w:w="56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4 - Intensivo em escala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5 - Fornecedor especializado</w:t>
            </w:r>
          </w:p>
        </w:tc>
        <w:tc>
          <w:tcPr>
            <w:tcW w:w="57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6 - Baseado em </w:t>
            </w:r>
            <w:r w:rsidR="003420F4" w:rsidRPr="008A4FC4">
              <w:rPr>
                <w:color w:val="000000"/>
                <w:sz w:val="20"/>
                <w:szCs w:val="20"/>
                <w:lang w:eastAsia="pt-BR"/>
              </w:rPr>
              <w:t>Ciência</w:t>
            </w:r>
          </w:p>
        </w:tc>
        <w:tc>
          <w:tcPr>
            <w:tcW w:w="45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7 - Serviços</w:t>
            </w:r>
          </w:p>
        </w:tc>
        <w:tc>
          <w:tcPr>
            <w:tcW w:w="35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8 - KIBS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1 </w:t>
            </w:r>
            <w:r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Energia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0,093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0,111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0,073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0,056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0,080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0,040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-0,096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2 </w:t>
            </w:r>
            <w:r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Tradicional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-0,172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-0,113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-0,091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-0,062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-0,002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0,009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3 </w:t>
            </w:r>
            <w:r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Materiais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0,002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0,160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-0,010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4 - Intensivo em </w:t>
            </w:r>
            <w:r w:rsidR="001E5BEA">
              <w:rPr>
                <w:color w:val="000000"/>
                <w:sz w:val="20"/>
                <w:szCs w:val="20"/>
                <w:lang w:eastAsia="pt-BR"/>
              </w:rPr>
              <w:t>E</w:t>
            </w:r>
            <w:r w:rsidR="001E5BEA" w:rsidRPr="008A4FC4">
              <w:rPr>
                <w:color w:val="000000"/>
                <w:sz w:val="20"/>
                <w:szCs w:val="20"/>
                <w:lang w:eastAsia="pt-BR"/>
              </w:rPr>
              <w:t>scala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0,059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0,048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0,096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0,024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5 </w:t>
            </w:r>
            <w:r w:rsidR="006776F2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Fornecedor</w:t>
            </w:r>
            <w:r w:rsidR="006776F2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E5BEA">
              <w:rPr>
                <w:color w:val="000000"/>
                <w:sz w:val="20"/>
                <w:szCs w:val="20"/>
                <w:lang w:eastAsia="pt-BR"/>
              </w:rPr>
              <w:t>E</w:t>
            </w:r>
            <w:r w:rsidR="001E5BEA" w:rsidRPr="008A4FC4">
              <w:rPr>
                <w:color w:val="000000"/>
                <w:sz w:val="20"/>
                <w:szCs w:val="20"/>
                <w:lang w:eastAsia="pt-BR"/>
              </w:rPr>
              <w:t>specializado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-0,029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-0,029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6 - Baseado em </w:t>
            </w:r>
            <w:r w:rsidR="006C1961" w:rsidRPr="008A4FC4">
              <w:rPr>
                <w:color w:val="000000"/>
                <w:sz w:val="20"/>
                <w:szCs w:val="20"/>
                <w:lang w:eastAsia="pt-BR"/>
              </w:rPr>
              <w:t>Ciência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0,006</w:t>
            </w:r>
          </w:p>
        </w:tc>
      </w:tr>
      <w:tr w:rsidR="008A4FC4" w:rsidRPr="008A4FC4" w:rsidTr="00CD04C5">
        <w:trPr>
          <w:trHeight w:val="270"/>
        </w:trPr>
        <w:tc>
          <w:tcPr>
            <w:tcW w:w="13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7 </w:t>
            </w:r>
            <w:r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Serviços</w:t>
            </w:r>
          </w:p>
        </w:tc>
        <w:tc>
          <w:tcPr>
            <w:tcW w:w="5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-0,248</w:t>
            </w:r>
          </w:p>
        </w:tc>
      </w:tr>
    </w:tbl>
    <w:p w:rsidR="00CD04C5" w:rsidRDefault="00CD04C5" w:rsidP="00965681">
      <w:pPr>
        <w:pStyle w:val="PargrafodaLista1"/>
        <w:ind w:left="0"/>
        <w:rPr>
          <w:sz w:val="20"/>
          <w:szCs w:val="20"/>
        </w:rPr>
      </w:pPr>
      <w:r>
        <w:rPr>
          <w:sz w:val="20"/>
          <w:szCs w:val="20"/>
        </w:rPr>
        <w:t>Fonte: Resultado da Pesquisa</w:t>
      </w:r>
    </w:p>
    <w:p w:rsidR="008A4FC4" w:rsidRDefault="008A4FC4" w:rsidP="00965681">
      <w:pPr>
        <w:pStyle w:val="PargrafodaLista1"/>
        <w:ind w:left="0"/>
        <w:rPr>
          <w:szCs w:val="24"/>
        </w:rPr>
      </w:pPr>
    </w:p>
    <w:p w:rsidR="00B446FF" w:rsidRPr="000724CF" w:rsidRDefault="00B446FF" w:rsidP="00965681">
      <w:pPr>
        <w:pStyle w:val="PargrafodaLista1"/>
        <w:ind w:left="0" w:firstLine="708"/>
        <w:rPr>
          <w:szCs w:val="24"/>
        </w:rPr>
      </w:pPr>
      <w:r w:rsidRPr="00B446FF">
        <w:rPr>
          <w:szCs w:val="24"/>
        </w:rPr>
        <w:t>O</w:t>
      </w:r>
      <w:r w:rsidR="004D36AC">
        <w:rPr>
          <w:szCs w:val="24"/>
        </w:rPr>
        <w:t xml:space="preserve"> grupo</w:t>
      </w:r>
      <w:r w:rsidR="000724CF">
        <w:rPr>
          <w:szCs w:val="24"/>
        </w:rPr>
        <w:t xml:space="preserve"> Intensivo em </w:t>
      </w:r>
      <w:r w:rsidR="001E5BEA">
        <w:rPr>
          <w:szCs w:val="24"/>
        </w:rPr>
        <w:t xml:space="preserve">Escala </w:t>
      </w:r>
      <w:r w:rsidR="004D36AC">
        <w:rPr>
          <w:szCs w:val="24"/>
        </w:rPr>
        <w:t>– 4</w:t>
      </w:r>
      <w:r w:rsidR="000724CF">
        <w:rPr>
          <w:szCs w:val="24"/>
        </w:rPr>
        <w:t xml:space="preserve"> – apresenta para o Brasil relação </w:t>
      </w:r>
      <w:r w:rsidR="000724CF" w:rsidRPr="000724CF">
        <w:rPr>
          <w:i/>
          <w:szCs w:val="24"/>
        </w:rPr>
        <w:t>upstream</w:t>
      </w:r>
      <w:r w:rsidR="000724CF">
        <w:rPr>
          <w:szCs w:val="24"/>
        </w:rPr>
        <w:t xml:space="preserve"> com os outros grupos de setores, enquanto, para China e Rússia há uma relação </w:t>
      </w:r>
      <w:r w:rsidR="000724CF">
        <w:rPr>
          <w:i/>
          <w:szCs w:val="24"/>
        </w:rPr>
        <w:t>downstream</w:t>
      </w:r>
      <w:r w:rsidR="000724CF">
        <w:rPr>
          <w:szCs w:val="24"/>
        </w:rPr>
        <w:t xml:space="preserve"> com o grupo de setor de </w:t>
      </w:r>
      <w:r w:rsidR="001E5BEA">
        <w:rPr>
          <w:szCs w:val="24"/>
        </w:rPr>
        <w:t xml:space="preserve">Serviços </w:t>
      </w:r>
      <w:r w:rsidR="000724CF">
        <w:rPr>
          <w:szCs w:val="24"/>
        </w:rPr>
        <w:t>(7). Já na África do Sul a relação é inversa que a dos últimos dois países.</w:t>
      </w:r>
    </w:p>
    <w:p w:rsidR="00A05DEF" w:rsidRDefault="00A05DEF" w:rsidP="00A05DEF">
      <w:pPr>
        <w:pStyle w:val="PargrafodaLista1"/>
        <w:ind w:left="0"/>
        <w:rPr>
          <w:szCs w:val="24"/>
        </w:rPr>
      </w:pPr>
      <w:r>
        <w:rPr>
          <w:szCs w:val="24"/>
        </w:rPr>
        <w:tab/>
        <w:t xml:space="preserve">O grupo 5– Fornecedor Especializado – não apresenta um padrão entre todos os países, mas nota-se algumas semelhanças entre os países. Para o Brasil, a relação é </w:t>
      </w:r>
      <w:r>
        <w:rPr>
          <w:i/>
          <w:szCs w:val="24"/>
        </w:rPr>
        <w:t>upstream</w:t>
      </w:r>
      <w:r>
        <w:rPr>
          <w:szCs w:val="24"/>
        </w:rPr>
        <w:t xml:space="preserve"> com os setores 6 e </w:t>
      </w:r>
      <w:r w:rsidRPr="000724CF">
        <w:rPr>
          <w:i/>
          <w:szCs w:val="24"/>
        </w:rPr>
        <w:t>downstream</w:t>
      </w:r>
      <w:r>
        <w:rPr>
          <w:szCs w:val="24"/>
        </w:rPr>
        <w:t xml:space="preserve"> com os setores dos grupos 7 e 8. Para a Rússia, essa relação é invertida menos para o grupo 8. Para a China, a relação é semelhante à brasileira com exceção do grupo 8, enquanto para a África do Sul, a relação é igual à brasileira, exceto para o grupo 7.</w:t>
      </w:r>
    </w:p>
    <w:p w:rsidR="002B7BC2" w:rsidRDefault="002B7BC2" w:rsidP="00965681">
      <w:pPr>
        <w:pStyle w:val="PargrafodaLista1"/>
        <w:ind w:left="0"/>
        <w:jc w:val="center"/>
        <w:rPr>
          <w:szCs w:val="24"/>
        </w:rPr>
      </w:pPr>
    </w:p>
    <w:p w:rsidR="00A05DEF" w:rsidRDefault="00A05DEF" w:rsidP="00965681">
      <w:pPr>
        <w:pStyle w:val="PargrafodaLista1"/>
        <w:ind w:left="0"/>
        <w:jc w:val="center"/>
        <w:rPr>
          <w:szCs w:val="24"/>
        </w:rPr>
      </w:pPr>
    </w:p>
    <w:p w:rsidR="00965681" w:rsidRDefault="00965681" w:rsidP="00965681">
      <w:pPr>
        <w:pStyle w:val="PargrafodaLista1"/>
        <w:ind w:left="0"/>
        <w:jc w:val="center"/>
        <w:rPr>
          <w:szCs w:val="24"/>
        </w:rPr>
      </w:pPr>
    </w:p>
    <w:p w:rsidR="008A4FC4" w:rsidRDefault="00CD04C5" w:rsidP="00965681">
      <w:pPr>
        <w:pStyle w:val="PargrafodaLista1"/>
        <w:ind w:left="0"/>
        <w:jc w:val="center"/>
        <w:rPr>
          <w:szCs w:val="24"/>
        </w:rPr>
      </w:pPr>
      <w:r>
        <w:rPr>
          <w:szCs w:val="24"/>
        </w:rPr>
        <w:lastRenderedPageBreak/>
        <w:t xml:space="preserve">Tabela </w:t>
      </w:r>
      <w:r w:rsidR="00B21705">
        <w:rPr>
          <w:szCs w:val="24"/>
        </w:rPr>
        <w:t>4</w:t>
      </w:r>
      <w:r>
        <w:rPr>
          <w:szCs w:val="24"/>
        </w:rPr>
        <w:t xml:space="preserve"> – Fluxos líquidos entre setores da China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96"/>
        <w:gridCol w:w="1127"/>
        <w:gridCol w:w="951"/>
        <w:gridCol w:w="1099"/>
        <w:gridCol w:w="1293"/>
        <w:gridCol w:w="1128"/>
        <w:gridCol w:w="886"/>
        <w:gridCol w:w="698"/>
      </w:tblGrid>
      <w:tr w:rsidR="008A4FC4" w:rsidRPr="008A4FC4" w:rsidTr="00CD04C5">
        <w:trPr>
          <w:trHeight w:val="525"/>
        </w:trPr>
        <w:tc>
          <w:tcPr>
            <w:tcW w:w="132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2 </w:t>
            </w:r>
            <w:r w:rsidR="00CD04C5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Tradicional</w:t>
            </w:r>
          </w:p>
        </w:tc>
        <w:tc>
          <w:tcPr>
            <w:tcW w:w="48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3 </w:t>
            </w:r>
            <w:r w:rsidR="00CD04C5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Materiais</w:t>
            </w:r>
          </w:p>
        </w:tc>
        <w:tc>
          <w:tcPr>
            <w:tcW w:w="56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4 - Intensivo em escala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5 - Fornecedor especializado</w:t>
            </w:r>
          </w:p>
        </w:tc>
        <w:tc>
          <w:tcPr>
            <w:tcW w:w="57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6 - Baseado em </w:t>
            </w:r>
            <w:r w:rsidR="003420F4" w:rsidRPr="008A4FC4">
              <w:rPr>
                <w:color w:val="000000"/>
                <w:sz w:val="20"/>
                <w:szCs w:val="20"/>
                <w:lang w:eastAsia="pt-BR"/>
              </w:rPr>
              <w:t>Ciência</w:t>
            </w:r>
          </w:p>
        </w:tc>
        <w:tc>
          <w:tcPr>
            <w:tcW w:w="45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7 - Serviços</w:t>
            </w:r>
          </w:p>
        </w:tc>
        <w:tc>
          <w:tcPr>
            <w:tcW w:w="35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8 - KIBS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1 </w:t>
            </w:r>
            <w:r w:rsidR="00121561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Energia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0,387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0,214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0,228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0,105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0,072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0,134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0,091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2 </w:t>
            </w:r>
            <w:r w:rsidR="00121561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Tradicional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-0,381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-0,337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-0,184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-0,009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-0,159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-0,115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3 </w:t>
            </w:r>
            <w:r w:rsidR="00121561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Materiais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0,058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0,311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0,141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0,027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4 - Intensivo em </w:t>
            </w:r>
            <w:r w:rsidR="001E5BEA">
              <w:rPr>
                <w:color w:val="000000"/>
                <w:sz w:val="20"/>
                <w:szCs w:val="20"/>
                <w:lang w:eastAsia="pt-BR"/>
              </w:rPr>
              <w:t>E</w:t>
            </w:r>
            <w:r w:rsidR="001E5BEA" w:rsidRPr="008A4FC4">
              <w:rPr>
                <w:color w:val="000000"/>
                <w:sz w:val="20"/>
                <w:szCs w:val="20"/>
                <w:lang w:eastAsia="pt-BR"/>
              </w:rPr>
              <w:t>scala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0,110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0,085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0,044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5 </w:t>
            </w:r>
            <w:r w:rsidR="006776F2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Fornecedor</w:t>
            </w:r>
            <w:r w:rsidR="006776F2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E5BEA">
              <w:rPr>
                <w:color w:val="000000"/>
                <w:sz w:val="20"/>
                <w:szCs w:val="20"/>
                <w:lang w:eastAsia="pt-BR"/>
              </w:rPr>
              <w:t>E</w:t>
            </w:r>
            <w:r w:rsidR="001E5BEA" w:rsidRPr="008A4FC4">
              <w:rPr>
                <w:color w:val="000000"/>
                <w:sz w:val="20"/>
                <w:szCs w:val="20"/>
                <w:lang w:eastAsia="pt-BR"/>
              </w:rPr>
              <w:t>specializado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0,360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0,031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6 - Baseado em </w:t>
            </w:r>
            <w:r w:rsidR="006C1961" w:rsidRPr="008A4FC4">
              <w:rPr>
                <w:color w:val="000000"/>
                <w:sz w:val="20"/>
                <w:szCs w:val="20"/>
                <w:lang w:eastAsia="pt-BR"/>
              </w:rPr>
              <w:t>Ciência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0,059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0,073</w:t>
            </w:r>
          </w:p>
        </w:tc>
      </w:tr>
      <w:tr w:rsidR="008A4FC4" w:rsidRPr="008A4FC4" w:rsidTr="00CD04C5">
        <w:trPr>
          <w:trHeight w:val="270"/>
        </w:trPr>
        <w:tc>
          <w:tcPr>
            <w:tcW w:w="13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7 </w:t>
            </w:r>
            <w:r w:rsidR="00121561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Serviços</w:t>
            </w:r>
          </w:p>
        </w:tc>
        <w:tc>
          <w:tcPr>
            <w:tcW w:w="5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0,005</w:t>
            </w:r>
          </w:p>
        </w:tc>
      </w:tr>
    </w:tbl>
    <w:p w:rsidR="00CD04C5" w:rsidRDefault="00CD04C5" w:rsidP="00965681">
      <w:pPr>
        <w:pStyle w:val="PargrafodaLista1"/>
        <w:ind w:left="0"/>
        <w:rPr>
          <w:sz w:val="20"/>
          <w:szCs w:val="20"/>
        </w:rPr>
      </w:pPr>
      <w:r>
        <w:rPr>
          <w:sz w:val="20"/>
          <w:szCs w:val="20"/>
        </w:rPr>
        <w:t>Fonte: Resultado da Pesquisa</w:t>
      </w:r>
    </w:p>
    <w:p w:rsidR="008A4FC4" w:rsidRDefault="008A4FC4" w:rsidP="00965681">
      <w:pPr>
        <w:pStyle w:val="PargrafodaLista1"/>
        <w:ind w:left="0"/>
        <w:rPr>
          <w:szCs w:val="24"/>
        </w:rPr>
      </w:pPr>
    </w:p>
    <w:p w:rsidR="008A4FC4" w:rsidRDefault="00CD04C5" w:rsidP="00965681">
      <w:pPr>
        <w:pStyle w:val="PargrafodaLista1"/>
        <w:ind w:left="0"/>
        <w:jc w:val="center"/>
        <w:rPr>
          <w:szCs w:val="24"/>
        </w:rPr>
      </w:pPr>
      <w:r>
        <w:rPr>
          <w:szCs w:val="24"/>
        </w:rPr>
        <w:t>Tabela 5 – Fluxos líquidos entre setores da África do Sul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96"/>
        <w:gridCol w:w="1127"/>
        <w:gridCol w:w="951"/>
        <w:gridCol w:w="1099"/>
        <w:gridCol w:w="1293"/>
        <w:gridCol w:w="1128"/>
        <w:gridCol w:w="886"/>
        <w:gridCol w:w="698"/>
      </w:tblGrid>
      <w:tr w:rsidR="008A4FC4" w:rsidRPr="008A4FC4" w:rsidTr="00CD04C5">
        <w:trPr>
          <w:trHeight w:val="525"/>
        </w:trPr>
        <w:tc>
          <w:tcPr>
            <w:tcW w:w="132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2 </w:t>
            </w:r>
            <w:r w:rsidR="001E5BEA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Tradicional</w:t>
            </w:r>
          </w:p>
        </w:tc>
        <w:tc>
          <w:tcPr>
            <w:tcW w:w="48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3</w:t>
            </w:r>
            <w:r w:rsidR="000E52F7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Materiais</w:t>
            </w:r>
          </w:p>
        </w:tc>
        <w:tc>
          <w:tcPr>
            <w:tcW w:w="56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4 - Intensivo em escala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5 - Fornecedor especializado</w:t>
            </w:r>
          </w:p>
        </w:tc>
        <w:tc>
          <w:tcPr>
            <w:tcW w:w="57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6 - Baseado em </w:t>
            </w:r>
            <w:r w:rsidR="003420F4" w:rsidRPr="008A4FC4">
              <w:rPr>
                <w:color w:val="000000"/>
                <w:sz w:val="20"/>
                <w:szCs w:val="20"/>
                <w:lang w:eastAsia="pt-BR"/>
              </w:rPr>
              <w:t>Ciência</w:t>
            </w:r>
          </w:p>
        </w:tc>
        <w:tc>
          <w:tcPr>
            <w:tcW w:w="45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7 - Serviços</w:t>
            </w:r>
          </w:p>
        </w:tc>
        <w:tc>
          <w:tcPr>
            <w:tcW w:w="35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8 - KIBS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1 </w:t>
            </w:r>
            <w:r w:rsidR="00121561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Energia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0,140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0,053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0,065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0,007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0,012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0,079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-0,030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2 </w:t>
            </w:r>
            <w:r w:rsidR="00121561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Tradicional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-0,187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-0,135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-0,221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-0,088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-0,098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-0,205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3 </w:t>
            </w:r>
            <w:r w:rsidR="00121561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Materiais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0,120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0,093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0,028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-0,073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-0,092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4 - Intensivo em </w:t>
            </w:r>
            <w:r w:rsidR="001E5BEA">
              <w:rPr>
                <w:color w:val="000000"/>
                <w:sz w:val="20"/>
                <w:szCs w:val="20"/>
                <w:lang w:eastAsia="pt-BR"/>
              </w:rPr>
              <w:t>E</w:t>
            </w:r>
            <w:r w:rsidR="001E5BEA" w:rsidRPr="008A4FC4">
              <w:rPr>
                <w:color w:val="000000"/>
                <w:sz w:val="20"/>
                <w:szCs w:val="20"/>
                <w:lang w:eastAsia="pt-BR"/>
              </w:rPr>
              <w:t>scala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-0,084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-0,022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0,069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-0,042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5 </w:t>
            </w:r>
            <w:r w:rsidR="006776F2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Fornecedor</w:t>
            </w:r>
            <w:r w:rsidR="006776F2"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E5BEA">
              <w:rPr>
                <w:color w:val="000000"/>
                <w:sz w:val="20"/>
                <w:szCs w:val="20"/>
                <w:lang w:eastAsia="pt-BR"/>
              </w:rPr>
              <w:t>E</w:t>
            </w:r>
            <w:r w:rsidR="001E5BEA" w:rsidRPr="008A4FC4">
              <w:rPr>
                <w:color w:val="000000"/>
                <w:sz w:val="20"/>
                <w:szCs w:val="20"/>
                <w:lang w:eastAsia="pt-BR"/>
              </w:rPr>
              <w:t>specializado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0,038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0,024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-0,028</w:t>
            </w:r>
          </w:p>
        </w:tc>
      </w:tr>
      <w:tr w:rsidR="008A4FC4" w:rsidRPr="008A4FC4" w:rsidTr="00CD04C5">
        <w:trPr>
          <w:trHeight w:val="255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0724CF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6 - Baseado em Ciê</w:t>
            </w:r>
            <w:r w:rsidR="008A4FC4" w:rsidRPr="008A4FC4">
              <w:rPr>
                <w:color w:val="000000"/>
                <w:sz w:val="20"/>
                <w:szCs w:val="20"/>
                <w:lang w:eastAsia="pt-BR"/>
              </w:rPr>
              <w:t>ncia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0,117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0,015</w:t>
            </w:r>
          </w:p>
        </w:tc>
      </w:tr>
      <w:tr w:rsidR="008A4FC4" w:rsidRPr="008A4FC4" w:rsidTr="00CD04C5">
        <w:trPr>
          <w:trHeight w:val="270"/>
        </w:trPr>
        <w:tc>
          <w:tcPr>
            <w:tcW w:w="13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left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7 </w:t>
            </w:r>
            <w:r w:rsidR="00121561">
              <w:rPr>
                <w:color w:val="000000"/>
                <w:sz w:val="20"/>
                <w:szCs w:val="20"/>
                <w:lang w:eastAsia="pt-BR"/>
              </w:rPr>
              <w:t>–</w:t>
            </w:r>
            <w:r w:rsidRPr="008A4FC4">
              <w:rPr>
                <w:color w:val="000000"/>
                <w:sz w:val="20"/>
                <w:szCs w:val="20"/>
                <w:lang w:eastAsia="pt-BR"/>
              </w:rPr>
              <w:t xml:space="preserve"> Serviços</w:t>
            </w:r>
          </w:p>
        </w:tc>
        <w:tc>
          <w:tcPr>
            <w:tcW w:w="5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C4" w:rsidRPr="008A4FC4" w:rsidRDefault="008A4FC4" w:rsidP="00965681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8A4FC4">
              <w:rPr>
                <w:color w:val="000000"/>
                <w:sz w:val="20"/>
                <w:szCs w:val="20"/>
                <w:lang w:eastAsia="pt-BR"/>
              </w:rPr>
              <w:t>-0,204</w:t>
            </w:r>
          </w:p>
        </w:tc>
      </w:tr>
    </w:tbl>
    <w:p w:rsidR="00CD04C5" w:rsidRDefault="00CD04C5" w:rsidP="00965681">
      <w:pPr>
        <w:pStyle w:val="PargrafodaLista1"/>
        <w:ind w:left="0"/>
        <w:rPr>
          <w:sz w:val="20"/>
          <w:szCs w:val="20"/>
        </w:rPr>
      </w:pPr>
      <w:r>
        <w:rPr>
          <w:sz w:val="20"/>
          <w:szCs w:val="20"/>
        </w:rPr>
        <w:t>Fonte: Resultado da Pesquisa</w:t>
      </w:r>
    </w:p>
    <w:p w:rsidR="008A4FC4" w:rsidRDefault="008A4FC4" w:rsidP="00965681">
      <w:pPr>
        <w:pStyle w:val="PargrafodaLista1"/>
        <w:ind w:left="0"/>
        <w:rPr>
          <w:szCs w:val="24"/>
        </w:rPr>
      </w:pPr>
    </w:p>
    <w:p w:rsidR="00F52CC8" w:rsidRDefault="00536858" w:rsidP="00965681">
      <w:pPr>
        <w:pStyle w:val="PargrafodaLista1"/>
        <w:ind w:left="0" w:firstLine="708"/>
        <w:rPr>
          <w:szCs w:val="24"/>
        </w:rPr>
      </w:pPr>
      <w:r>
        <w:rPr>
          <w:szCs w:val="24"/>
        </w:rPr>
        <w:t xml:space="preserve">O </w:t>
      </w:r>
      <w:r w:rsidR="000724CF">
        <w:rPr>
          <w:szCs w:val="24"/>
        </w:rPr>
        <w:t xml:space="preserve">grupo 6 – Baseado em Ciência – merece destaque pois o caso brasileiro é o único em que a relação </w:t>
      </w:r>
      <w:r w:rsidR="0060665A">
        <w:rPr>
          <w:szCs w:val="24"/>
        </w:rPr>
        <w:t xml:space="preserve">é </w:t>
      </w:r>
      <w:r w:rsidR="000724CF" w:rsidRPr="000724CF">
        <w:rPr>
          <w:i/>
          <w:szCs w:val="24"/>
        </w:rPr>
        <w:t>downstream</w:t>
      </w:r>
      <w:r w:rsidR="000724CF">
        <w:rPr>
          <w:szCs w:val="24"/>
        </w:rPr>
        <w:t xml:space="preserve"> para os demais grupos, enquanto para os outros países a relação é </w:t>
      </w:r>
      <w:r w:rsidR="000724CF">
        <w:rPr>
          <w:i/>
          <w:szCs w:val="24"/>
        </w:rPr>
        <w:t>upstream</w:t>
      </w:r>
      <w:r w:rsidR="000724CF">
        <w:rPr>
          <w:szCs w:val="24"/>
        </w:rPr>
        <w:t xml:space="preserve">. Isso significa que </w:t>
      </w:r>
      <w:r w:rsidR="004D36AC">
        <w:rPr>
          <w:szCs w:val="24"/>
        </w:rPr>
        <w:t xml:space="preserve">esses setores intensivos em P&amp;D são mais importantes como fornecedores, como é esperado, </w:t>
      </w:r>
      <w:r w:rsidR="000D7135">
        <w:rPr>
          <w:szCs w:val="24"/>
        </w:rPr>
        <w:t xml:space="preserve">apenas </w:t>
      </w:r>
      <w:r w:rsidR="004D36AC">
        <w:rPr>
          <w:szCs w:val="24"/>
        </w:rPr>
        <w:t>na Rússia, China e África do Sul</w:t>
      </w:r>
      <w:r w:rsidR="000D7135">
        <w:rPr>
          <w:szCs w:val="24"/>
        </w:rPr>
        <w:t xml:space="preserve"> e não para o Brasil</w:t>
      </w:r>
      <w:r w:rsidR="004D36AC">
        <w:rPr>
          <w:szCs w:val="24"/>
        </w:rPr>
        <w:t xml:space="preserve">. </w:t>
      </w:r>
    </w:p>
    <w:p w:rsidR="004D36AC" w:rsidRPr="004D36AC" w:rsidRDefault="004D36AC" w:rsidP="00965681">
      <w:pPr>
        <w:pStyle w:val="PargrafodaLista1"/>
        <w:ind w:left="0" w:firstLine="708"/>
        <w:rPr>
          <w:szCs w:val="24"/>
        </w:rPr>
      </w:pPr>
      <w:r>
        <w:rPr>
          <w:szCs w:val="24"/>
        </w:rPr>
        <w:t>Por fim</w:t>
      </w:r>
      <w:r w:rsidR="002B267E">
        <w:rPr>
          <w:szCs w:val="24"/>
        </w:rPr>
        <w:t>,</w:t>
      </w:r>
      <w:r>
        <w:rPr>
          <w:szCs w:val="24"/>
        </w:rPr>
        <w:t xml:space="preserve"> analisando</w:t>
      </w:r>
      <w:r w:rsidR="002B267E">
        <w:rPr>
          <w:szCs w:val="24"/>
        </w:rPr>
        <w:t>-se</w:t>
      </w:r>
      <w:r>
        <w:rPr>
          <w:szCs w:val="24"/>
        </w:rPr>
        <w:t xml:space="preserve"> o grupo 7 – Serviços – a relação com o grupo 8 (KIBS) é </w:t>
      </w:r>
      <w:r w:rsidRPr="004D36AC">
        <w:rPr>
          <w:i/>
          <w:szCs w:val="24"/>
        </w:rPr>
        <w:t>downstream</w:t>
      </w:r>
      <w:r>
        <w:rPr>
          <w:szCs w:val="24"/>
        </w:rPr>
        <w:t xml:space="preserve"> e com alto valor, para todos os países, menos para China que possui uma relação </w:t>
      </w:r>
      <w:r>
        <w:rPr>
          <w:i/>
          <w:szCs w:val="24"/>
        </w:rPr>
        <w:t>upstream</w:t>
      </w:r>
      <w:r>
        <w:rPr>
          <w:szCs w:val="24"/>
        </w:rPr>
        <w:t xml:space="preserve"> e intermediária.</w:t>
      </w:r>
    </w:p>
    <w:p w:rsidR="00BE0392" w:rsidRDefault="00367996" w:rsidP="00965681">
      <w:pPr>
        <w:pStyle w:val="PargrafodaLista1"/>
        <w:ind w:left="0" w:firstLine="708"/>
        <w:rPr>
          <w:szCs w:val="24"/>
        </w:rPr>
      </w:pPr>
      <w:r>
        <w:rPr>
          <w:szCs w:val="24"/>
        </w:rPr>
        <w:t>Analisados os componentes da intensidade tecnológica de cada país e os fluxos intersetoriais, torna-se importante incorporar a análise de fluxos de conhecimentos</w:t>
      </w:r>
      <w:r w:rsidR="00FA55AA">
        <w:rPr>
          <w:szCs w:val="24"/>
        </w:rPr>
        <w:t xml:space="preserve"> tecnológicos</w:t>
      </w:r>
      <w:r>
        <w:rPr>
          <w:szCs w:val="24"/>
        </w:rPr>
        <w:t>, que está definida na equação 18 de acordo com a seção 3.2. Seguindo a sugestão de Hauknes e Knell (2009)</w:t>
      </w:r>
      <w:r w:rsidR="003420F4">
        <w:rPr>
          <w:szCs w:val="24"/>
        </w:rPr>
        <w:t>,</w:t>
      </w:r>
      <w:r>
        <w:rPr>
          <w:szCs w:val="24"/>
        </w:rPr>
        <w:t xml:space="preserve"> será feita a proporção deste fluxo em relação ao P&amp;D próprio, e será seguida a mesma ideia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t xml:space="preserve">, </w:t>
      </w:r>
      <w:r>
        <w:rPr>
          <w:szCs w:val="24"/>
        </w:rPr>
        <w:t>isto é: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1703"/>
      </w:tblGrid>
      <w:tr w:rsidR="00367996" w:rsidTr="00367996">
        <w:trPr>
          <w:trHeight w:val="283"/>
        </w:trPr>
        <w:tc>
          <w:tcPr>
            <w:tcW w:w="4136" w:type="pct"/>
          </w:tcPr>
          <w:p w:rsidR="00367996" w:rsidRPr="006E658C" w:rsidRDefault="00C06652" w:rsidP="00965681">
            <w:pPr>
              <w:pStyle w:val="Default"/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imes New Roman"/>
                    <w:color w:val="auto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ij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auto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ji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64" w:type="pct"/>
            <w:vAlign w:val="center"/>
          </w:tcPr>
          <w:p w:rsidR="00367996" w:rsidRDefault="00367996" w:rsidP="00965681">
            <w:pPr>
              <w:jc w:val="left"/>
            </w:pPr>
            <w:r>
              <w:t>(20)</w:t>
            </w:r>
          </w:p>
        </w:tc>
      </w:tr>
    </w:tbl>
    <w:p w:rsidR="00367996" w:rsidRDefault="00367996" w:rsidP="00965681">
      <w:pPr>
        <w:pStyle w:val="PargrafodaLista1"/>
        <w:ind w:left="0" w:firstLine="708"/>
        <w:rPr>
          <w:szCs w:val="24"/>
        </w:rPr>
      </w:pPr>
    </w:p>
    <w:p w:rsidR="00BE0392" w:rsidRDefault="00A05DEF" w:rsidP="00965681">
      <w:pPr>
        <w:pStyle w:val="PargrafodaLista1"/>
        <w:ind w:left="0"/>
        <w:rPr>
          <w:szCs w:val="24"/>
        </w:rPr>
      </w:pPr>
      <w:r>
        <w:rPr>
          <w:szCs w:val="24"/>
        </w:rPr>
        <w:tab/>
      </w:r>
      <w:r w:rsidR="00367996">
        <w:rPr>
          <w:szCs w:val="24"/>
        </w:rPr>
        <w:t xml:space="preserve">Os resultados da equação </w:t>
      </w:r>
      <w:r w:rsidR="00830B36">
        <w:rPr>
          <w:szCs w:val="24"/>
        </w:rPr>
        <w:t>20 serão apresentados no Anexo</w:t>
      </w:r>
      <w:r w:rsidR="008D42AB">
        <w:rPr>
          <w:szCs w:val="24"/>
        </w:rPr>
        <w:t xml:space="preserve"> IV</w:t>
      </w:r>
      <w:r w:rsidR="00830B36">
        <w:rPr>
          <w:szCs w:val="24"/>
        </w:rPr>
        <w:t xml:space="preserve">, de tal forma que, baseado neste, a tabela 6 é construída sendo adotado o </w:t>
      </w:r>
      <w:r w:rsidR="00F65DD0">
        <w:rPr>
          <w:szCs w:val="24"/>
        </w:rPr>
        <w:t xml:space="preserve">seguinte </w:t>
      </w:r>
      <w:r w:rsidR="00830B36">
        <w:rPr>
          <w:szCs w:val="24"/>
        </w:rPr>
        <w:t xml:space="preserve">critério: </w:t>
      </w:r>
      <w:r w:rsidR="00F65DD0">
        <w:rPr>
          <w:szCs w:val="24"/>
        </w:rPr>
        <w:t xml:space="preserve">para </w:t>
      </w:r>
      <w:r w:rsidR="00830B36">
        <w:rPr>
          <w:szCs w:val="24"/>
        </w:rPr>
        <w:t>valores positivos</w:t>
      </w:r>
      <w:r w:rsidR="00A817B9">
        <w:rPr>
          <w:szCs w:val="24"/>
        </w:rPr>
        <w:t>,</w:t>
      </w:r>
      <w:r w:rsidR="00830B36">
        <w:rPr>
          <w:szCs w:val="24"/>
        </w:rPr>
        <w:t xml:space="preserve"> assume-se que há transferência tecnológica de </w:t>
      </w:r>
      <w:r w:rsidR="00830B36" w:rsidRPr="006F2CBB">
        <w:rPr>
          <w:i/>
          <w:szCs w:val="24"/>
        </w:rPr>
        <w:t>i</w:t>
      </w:r>
      <w:r w:rsidR="00830B36">
        <w:rPr>
          <w:szCs w:val="24"/>
        </w:rPr>
        <w:t xml:space="preserve"> para </w:t>
      </w:r>
      <w:r w:rsidR="00830B36" w:rsidRPr="006F2CBB">
        <w:rPr>
          <w:i/>
          <w:szCs w:val="24"/>
        </w:rPr>
        <w:t>j</w:t>
      </w:r>
      <w:r w:rsidR="00830B36">
        <w:rPr>
          <w:szCs w:val="24"/>
        </w:rPr>
        <w:t>, sendo o inverso verdade</w:t>
      </w:r>
      <w:r w:rsidR="00F65DD0">
        <w:rPr>
          <w:szCs w:val="24"/>
        </w:rPr>
        <w:t>iro</w:t>
      </w:r>
      <w:r w:rsidR="00830B36">
        <w:rPr>
          <w:szCs w:val="24"/>
        </w:rPr>
        <w:t xml:space="preserve">. </w:t>
      </w:r>
    </w:p>
    <w:p w:rsidR="00A05DEF" w:rsidRDefault="00A05DEF" w:rsidP="00A05DEF">
      <w:pPr>
        <w:pStyle w:val="PargrafodaLista1"/>
        <w:ind w:left="0"/>
        <w:rPr>
          <w:szCs w:val="24"/>
        </w:rPr>
      </w:pPr>
      <w:r>
        <w:rPr>
          <w:szCs w:val="24"/>
        </w:rPr>
        <w:tab/>
        <w:t>A tabela 6 então permite evidenciar os fluxos intersetoriais de conhecimento, sendo que alguns padrões emergem para os países, como o fluxo de Energia para Tradicionais, e do KIBS para todos os demais setores para o Brasil e África do Sul. O grupo KIBS constitui a parcela dos serviços que é intensivo em conhecimento científico e tecnológico, como atividades de informática, serviço de P&amp;D e outros serviços empresariais. Nesse sentido, há, em geral, um fluxo desse setor para os demais.Nos casos da China e Rússia, há um fluxo de Intensivo em Escala e Baseados em Ciência para o KIBS. Isso deve estar relacionado ao peso dos setores como eletrônica e química nesse</w:t>
      </w:r>
      <w:r w:rsidR="00F9177B">
        <w:rPr>
          <w:szCs w:val="24"/>
        </w:rPr>
        <w:t>s</w:t>
      </w:r>
      <w:r>
        <w:rPr>
          <w:szCs w:val="24"/>
        </w:rPr>
        <w:t xml:space="preserve"> dois países, o que faz o fluxo de conhecimento tecnológico se inverter, em relação ao Brasil e à África do Sul. No caso da relação entre Baseados em Ciência e KIBS, a direção constatada (daquele para </w:t>
      </w:r>
      <w:r>
        <w:rPr>
          <w:szCs w:val="24"/>
        </w:rPr>
        <w:lastRenderedPageBreak/>
        <w:t xml:space="preserve">este) para China e Rússia são as mesmas dos países desenvolvidos (França, Alemanha, Noruega, Suécia), conforme resultados de Hauknes e Knell (2009). </w:t>
      </w:r>
    </w:p>
    <w:p w:rsidR="00965681" w:rsidRDefault="00965681" w:rsidP="00965681">
      <w:pPr>
        <w:pStyle w:val="PargrafodaLista1"/>
        <w:ind w:left="0"/>
        <w:rPr>
          <w:szCs w:val="24"/>
        </w:rPr>
      </w:pPr>
    </w:p>
    <w:p w:rsidR="00E97752" w:rsidRDefault="00E97752" w:rsidP="00965681">
      <w:pPr>
        <w:pStyle w:val="PargrafodaLista1"/>
        <w:ind w:left="0"/>
        <w:jc w:val="center"/>
        <w:rPr>
          <w:szCs w:val="24"/>
        </w:rPr>
      </w:pPr>
      <w:r>
        <w:rPr>
          <w:szCs w:val="24"/>
        </w:rPr>
        <w:t>Tabela 6 – Fluxos de conhecimento tecnológico nos BRICS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9"/>
        <w:gridCol w:w="2245"/>
        <w:gridCol w:w="1006"/>
        <w:gridCol w:w="1006"/>
        <w:gridCol w:w="1007"/>
        <w:gridCol w:w="1007"/>
        <w:gridCol w:w="1140"/>
        <w:gridCol w:w="1007"/>
        <w:gridCol w:w="1001"/>
      </w:tblGrid>
      <w:tr w:rsidR="00E97752" w:rsidRPr="00E97752" w:rsidTr="006F2CBB">
        <w:trPr>
          <w:trHeight w:val="20"/>
        </w:trPr>
        <w:tc>
          <w:tcPr>
            <w:tcW w:w="15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D0" w:rsidRDefault="00E97752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 xml:space="preserve">1 </w:t>
            </w:r>
            <w:r w:rsidR="002B7BC2">
              <w:rPr>
                <w:color w:val="000000"/>
                <w:sz w:val="18"/>
                <w:szCs w:val="18"/>
                <w:lang w:eastAsia="pt-BR"/>
              </w:rPr>
              <w:t>–</w:t>
            </w:r>
          </w:p>
          <w:p w:rsidR="00E97752" w:rsidRPr="00E97752" w:rsidRDefault="00E97752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 xml:space="preserve"> Energia</w:t>
            </w:r>
          </w:p>
        </w:tc>
        <w:tc>
          <w:tcPr>
            <w:tcW w:w="55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752" w:rsidRPr="00E97752" w:rsidRDefault="00E97752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2 - Tradicional</w:t>
            </w:r>
          </w:p>
        </w:tc>
        <w:tc>
          <w:tcPr>
            <w:tcW w:w="55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752" w:rsidRPr="00E97752" w:rsidRDefault="00E97752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3 - Materiais</w:t>
            </w:r>
          </w:p>
        </w:tc>
        <w:tc>
          <w:tcPr>
            <w:tcW w:w="55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752" w:rsidRPr="00E97752" w:rsidRDefault="00E97752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 xml:space="preserve">4 - Intensivo em </w:t>
            </w:r>
            <w:r w:rsidR="004D5365">
              <w:rPr>
                <w:color w:val="000000"/>
                <w:sz w:val="18"/>
                <w:szCs w:val="18"/>
                <w:lang w:eastAsia="pt-BR"/>
              </w:rPr>
              <w:t>E</w:t>
            </w:r>
            <w:r w:rsidRPr="00E97752">
              <w:rPr>
                <w:color w:val="000000"/>
                <w:sz w:val="18"/>
                <w:szCs w:val="18"/>
                <w:lang w:eastAsia="pt-BR"/>
              </w:rPr>
              <w:t>scala</w:t>
            </w:r>
          </w:p>
        </w:tc>
        <w:tc>
          <w:tcPr>
            <w:tcW w:w="55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752" w:rsidRPr="00E97752" w:rsidRDefault="00E97752" w:rsidP="00F65DD0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5 - Fornecedor</w:t>
            </w:r>
            <w:r w:rsidR="00F65DD0">
              <w:rPr>
                <w:color w:val="000000"/>
                <w:sz w:val="18"/>
                <w:szCs w:val="18"/>
                <w:lang w:eastAsia="pt-BR"/>
              </w:rPr>
              <w:t xml:space="preserve"> E</w:t>
            </w:r>
            <w:r w:rsidRPr="00E97752">
              <w:rPr>
                <w:color w:val="000000"/>
                <w:sz w:val="18"/>
                <w:szCs w:val="18"/>
                <w:lang w:eastAsia="pt-BR"/>
              </w:rPr>
              <w:t>specializado</w:t>
            </w:r>
          </w:p>
        </w:tc>
        <w:tc>
          <w:tcPr>
            <w:tcW w:w="55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D0" w:rsidRDefault="00E97752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6 -</w:t>
            </w:r>
          </w:p>
          <w:p w:rsidR="00E97752" w:rsidRPr="00E97752" w:rsidRDefault="00E97752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 xml:space="preserve"> Baseado em Ciência</w:t>
            </w:r>
          </w:p>
        </w:tc>
        <w:tc>
          <w:tcPr>
            <w:tcW w:w="55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DD0" w:rsidRDefault="00E97752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7 -</w:t>
            </w:r>
          </w:p>
          <w:p w:rsidR="00E97752" w:rsidRPr="00E97752" w:rsidRDefault="00E97752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 xml:space="preserve"> Serviços</w:t>
            </w:r>
          </w:p>
        </w:tc>
      </w:tr>
      <w:tr w:rsidR="00E97752" w:rsidRPr="00E97752" w:rsidTr="006F2CBB">
        <w:trPr>
          <w:cantSplit/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97752" w:rsidRPr="00E97752" w:rsidRDefault="00E97752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Brasil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2 – Tradicional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3 – Materiais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4 - Intensivo em Escala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5 - Fornecedor Especializado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6 - Baseado em Ciência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7 – Serviços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8 – KIBS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</w:tr>
      <w:tr w:rsidR="00E97752" w:rsidRPr="00E97752" w:rsidTr="006F2CBB">
        <w:trPr>
          <w:cantSplit/>
          <w:trHeight w:val="20"/>
        </w:trPr>
        <w:tc>
          <w:tcPr>
            <w:tcW w:w="156" w:type="pct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97752" w:rsidRPr="00E97752" w:rsidRDefault="00E97752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Rússia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2 – Tradicional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3 – Materiais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4 - Intensivo em Escala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5 - Fornecedor Especializado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6 - Baseado em Ciência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7 – Serviços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8 – KIBS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</w:tr>
      <w:tr w:rsidR="00E97752" w:rsidRPr="00E97752" w:rsidTr="006F2CBB">
        <w:trPr>
          <w:cantSplit/>
          <w:trHeight w:val="20"/>
        </w:trPr>
        <w:tc>
          <w:tcPr>
            <w:tcW w:w="156" w:type="pct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97752" w:rsidRPr="00E97752" w:rsidRDefault="00E97752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China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2 – Tradicional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 </w:t>
            </w: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3 – Materiais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4 - Intensivo em Escala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5 - Fornecedor Especializado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6 - Baseado em Ciência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7 – Serviços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8 – KIBS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97752" w:rsidRPr="00E97752" w:rsidRDefault="00E97752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África do Sul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2 – Tradicional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3 – Materiais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4 - Intensivo em Escala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5 - Fornecedor Especializado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6 - Baseado em Ciência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7 – Serviços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←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</w:p>
        </w:tc>
      </w:tr>
      <w:tr w:rsidR="00E97752" w:rsidRPr="00E97752" w:rsidTr="006F2CBB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E97752">
              <w:rPr>
                <w:color w:val="000000"/>
                <w:sz w:val="18"/>
                <w:szCs w:val="18"/>
                <w:lang w:eastAsia="pt-BR"/>
              </w:rPr>
              <w:t>8 – KIBS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52" w:rsidRPr="00E97752" w:rsidRDefault="00E97752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E97752">
              <w:rPr>
                <w:color w:val="000000"/>
                <w:sz w:val="22"/>
                <w:lang w:eastAsia="pt-BR"/>
              </w:rPr>
              <w:t>→</w:t>
            </w:r>
          </w:p>
        </w:tc>
      </w:tr>
    </w:tbl>
    <w:p w:rsidR="00E97752" w:rsidRPr="006F2CBB" w:rsidRDefault="00E97752" w:rsidP="00965681">
      <w:pPr>
        <w:pStyle w:val="PargrafodaLista1"/>
        <w:ind w:left="0"/>
        <w:rPr>
          <w:sz w:val="20"/>
          <w:szCs w:val="20"/>
        </w:rPr>
      </w:pPr>
      <w:r w:rsidRPr="006F2CBB">
        <w:rPr>
          <w:sz w:val="20"/>
          <w:szCs w:val="20"/>
        </w:rPr>
        <w:t xml:space="preserve">Fonte: Resultado da pesquisa. </w:t>
      </w:r>
    </w:p>
    <w:p w:rsidR="00A05DEF" w:rsidRDefault="00A05DEF" w:rsidP="00281717">
      <w:pPr>
        <w:pStyle w:val="PargrafodaLista1"/>
        <w:ind w:left="0"/>
        <w:rPr>
          <w:szCs w:val="24"/>
        </w:rPr>
      </w:pPr>
    </w:p>
    <w:p w:rsidR="00281717" w:rsidRDefault="00281717" w:rsidP="00281717">
      <w:pPr>
        <w:pStyle w:val="PargrafodaLista1"/>
        <w:ind w:left="0"/>
        <w:rPr>
          <w:szCs w:val="24"/>
        </w:rPr>
      </w:pPr>
      <w:r>
        <w:rPr>
          <w:szCs w:val="24"/>
        </w:rPr>
        <w:tab/>
        <w:t>Com base em dados da Redesist (2011), os setores intensivos em tecnologia e ciência apresentam menos de 2% do PIB no Brasil. Apesar disso, o fluxo de setores intensivos em P&amp;D, como Baseados em Ciência e KIBS, ocorre na direção desses setores para os demais, com exceção de Intensivos em Escala e Fornecedor Especializado. Um padrão semelhante é notado na China e Rússia, os quais, como mostrado anteriormente, são importantes fabricantes desses bens e, de alguma forma, desenvolvedores de tecnologias/softwares. Isso mostra que, apesar de haver diferenças em tamanho, a direção do fluxo pouco varia.</w:t>
      </w:r>
    </w:p>
    <w:p w:rsidR="007648A9" w:rsidRDefault="004D5365" w:rsidP="00965681">
      <w:pPr>
        <w:pStyle w:val="PargrafodaLista1"/>
        <w:ind w:left="0"/>
        <w:rPr>
          <w:szCs w:val="24"/>
        </w:rPr>
      </w:pPr>
      <w:r>
        <w:rPr>
          <w:szCs w:val="24"/>
        </w:rPr>
        <w:tab/>
        <w:t xml:space="preserve">Para todos os países, </w:t>
      </w:r>
      <w:r w:rsidR="00964396">
        <w:rPr>
          <w:szCs w:val="24"/>
        </w:rPr>
        <w:t xml:space="preserve">o grupo </w:t>
      </w:r>
      <w:r>
        <w:rPr>
          <w:szCs w:val="24"/>
        </w:rPr>
        <w:t xml:space="preserve">Fornecedor Especializado apresenta fluxos em direção aos setores mais básicos (Energia, Tradicionais e Materiais). </w:t>
      </w:r>
      <w:r w:rsidR="00610A32">
        <w:rPr>
          <w:szCs w:val="24"/>
        </w:rPr>
        <w:t>Segundo Pavitt (1984), essas firmas se relacionam com firmas usuárias de grande porte, propiciando a elas conhecimento especializado e experiência acumulada de sua capacitação em desenho e desenvolvimento de equipamentos especializados. Um exemplo seria o setor de maquinaria e instrumentos que direciona seus esforços tecnológicos para melhoria de performance de seus equipamentos, atendendo, muitas vezes, necessidades específicas de clientes dispersos por vários setores da economia.</w:t>
      </w:r>
    </w:p>
    <w:p w:rsidR="00E97752" w:rsidRDefault="007648A9" w:rsidP="00965681">
      <w:pPr>
        <w:pStyle w:val="PargrafodaLista1"/>
        <w:ind w:left="0"/>
        <w:rPr>
          <w:szCs w:val="24"/>
        </w:rPr>
      </w:pPr>
      <w:r>
        <w:rPr>
          <w:szCs w:val="24"/>
        </w:rPr>
        <w:tab/>
      </w:r>
      <w:r w:rsidR="00964396">
        <w:rPr>
          <w:szCs w:val="24"/>
        </w:rPr>
        <w:t xml:space="preserve">O grupo </w:t>
      </w:r>
      <w:r w:rsidR="004D5365">
        <w:rPr>
          <w:szCs w:val="24"/>
        </w:rPr>
        <w:t>Serviços</w:t>
      </w:r>
      <w:r w:rsidR="00964396">
        <w:rPr>
          <w:szCs w:val="24"/>
        </w:rPr>
        <w:t>,</w:t>
      </w:r>
      <w:r w:rsidR="004D5365">
        <w:rPr>
          <w:szCs w:val="24"/>
        </w:rPr>
        <w:t xml:space="preserve"> por sua vez</w:t>
      </w:r>
      <w:r w:rsidR="00964396">
        <w:rPr>
          <w:szCs w:val="24"/>
        </w:rPr>
        <w:t>,</w:t>
      </w:r>
      <w:r w:rsidR="004D5365">
        <w:rPr>
          <w:szCs w:val="24"/>
        </w:rPr>
        <w:t xml:space="preserve"> apresenta</w:t>
      </w:r>
      <w:r w:rsidR="00964396">
        <w:rPr>
          <w:szCs w:val="24"/>
        </w:rPr>
        <w:t>,</w:t>
      </w:r>
      <w:r w:rsidR="004D5365">
        <w:rPr>
          <w:szCs w:val="24"/>
        </w:rPr>
        <w:t xml:space="preserve"> em relação a todos os setores</w:t>
      </w:r>
      <w:r w:rsidR="00964396">
        <w:rPr>
          <w:szCs w:val="24"/>
        </w:rPr>
        <w:t>,</w:t>
      </w:r>
      <w:r w:rsidR="004D5365">
        <w:rPr>
          <w:szCs w:val="24"/>
        </w:rPr>
        <w:t xml:space="preserve"> um fluxo receptor de tecnologia, como esperado, visto que o setor não é produtor de tecnologia.</w:t>
      </w:r>
      <w:r>
        <w:rPr>
          <w:szCs w:val="24"/>
        </w:rPr>
        <w:t xml:space="preserve"> Dentro da taxonomia </w:t>
      </w:r>
      <w:r>
        <w:rPr>
          <w:szCs w:val="24"/>
        </w:rPr>
        <w:lastRenderedPageBreak/>
        <w:t>de Pavitt (1984), grande parte dos serviços constituem os setores "dominados pelos fornecedores" cujas características também se reproduzem em economias dependentes tecnologicamente. Entre estas podem ser citadas: pequenos gastos em P&amp;D, fraca capacitação interna de P&amp;D, a direção da trajetória tecnológica se baseia no corte de custos e a maioria das inovações vem de fornecedores de equipamentos e materiais.</w:t>
      </w:r>
      <w:r w:rsidR="00CB023C">
        <w:rPr>
          <w:szCs w:val="24"/>
        </w:rPr>
        <w:t xml:space="preserve"> Em geral, as inovações são de caráter incremental apenas.</w:t>
      </w:r>
    </w:p>
    <w:p w:rsidR="00B43ADD" w:rsidRDefault="00CB023C" w:rsidP="00965681">
      <w:pPr>
        <w:pStyle w:val="PargrafodaLista1"/>
        <w:ind w:left="0"/>
        <w:rPr>
          <w:szCs w:val="24"/>
        </w:rPr>
      </w:pPr>
      <w:r>
        <w:rPr>
          <w:szCs w:val="24"/>
        </w:rPr>
        <w:tab/>
      </w:r>
      <w:r w:rsidR="00B43ADD">
        <w:rPr>
          <w:szCs w:val="24"/>
        </w:rPr>
        <w:t xml:space="preserve">O grupo de intensivos em escala, por dependerem pesadamente de capacitações relacionadas ao sistema produtivo e à engenharia, é composto por grandes firmas que procuram cortar custos e melhorar </w:t>
      </w:r>
      <w:r w:rsidR="00A817B9">
        <w:rPr>
          <w:szCs w:val="24"/>
        </w:rPr>
        <w:t xml:space="preserve">a </w:t>
      </w:r>
      <w:r w:rsidR="00B43ADD">
        <w:rPr>
          <w:szCs w:val="24"/>
        </w:rPr>
        <w:t xml:space="preserve">qualidade de seus produtos, como nos casos de siderurgia e setores de bens de consumo duráveis e de montagem de veículos, conforme Pavitt (1984). </w:t>
      </w:r>
      <w:r w:rsidR="007738A6">
        <w:rPr>
          <w:szCs w:val="24"/>
        </w:rPr>
        <w:t>Nos casos de EUA, Suécia, França e Alemanha há fluxos no sentido de Baseados em Ciência para Intensivos em Escala (Hauknes e Knell, 2009). Nos países do BRICS, esse sentido somente é observado nos casos da China e África do Sul. Para Brasil e Rússia, a direção é oposta, talvez devido ao peso dos setores supracitados na estrutura industrial e tecnológica desses países.</w:t>
      </w:r>
    </w:p>
    <w:p w:rsidR="004D5365" w:rsidRDefault="00B43ADD" w:rsidP="00965681">
      <w:pPr>
        <w:pStyle w:val="PargrafodaLista1"/>
        <w:ind w:left="0"/>
        <w:rPr>
          <w:szCs w:val="24"/>
        </w:rPr>
      </w:pPr>
      <w:r>
        <w:rPr>
          <w:szCs w:val="24"/>
        </w:rPr>
        <w:tab/>
      </w:r>
    </w:p>
    <w:p w:rsidR="006A5B0F" w:rsidRDefault="006A5B0F" w:rsidP="00965681">
      <w:pPr>
        <w:pStyle w:val="PargrafodaLista1"/>
        <w:numPr>
          <w:ilvl w:val="0"/>
          <w:numId w:val="1"/>
        </w:numPr>
        <w:rPr>
          <w:b/>
        </w:rPr>
      </w:pPr>
      <w:r>
        <w:rPr>
          <w:b/>
        </w:rPr>
        <w:t>Considerações Finais</w:t>
      </w:r>
    </w:p>
    <w:p w:rsidR="00851486" w:rsidRDefault="00851486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1F1D24" w:rsidRDefault="0031482B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Devido à crescente </w:t>
      </w:r>
      <w:r w:rsidR="001F1D24">
        <w:rPr>
          <w:rFonts w:ascii="Times New Roman" w:hAnsi="Times New Roman" w:cs="Times New Roman"/>
          <w:color w:val="auto"/>
        </w:rPr>
        <w:t xml:space="preserve">importância relativa dos BRICS, </w:t>
      </w:r>
      <w:r>
        <w:rPr>
          <w:rFonts w:ascii="Times New Roman" w:hAnsi="Times New Roman" w:cs="Times New Roman"/>
          <w:color w:val="auto"/>
        </w:rPr>
        <w:t>até mesmo quando o tema</w:t>
      </w:r>
      <w:r w:rsidR="001F1D24">
        <w:rPr>
          <w:rFonts w:ascii="Times New Roman" w:hAnsi="Times New Roman" w:cs="Times New Roman"/>
          <w:color w:val="auto"/>
        </w:rPr>
        <w:t xml:space="preserve"> se refere à produç</w:t>
      </w:r>
      <w:r w:rsidR="005B27FA">
        <w:rPr>
          <w:rFonts w:ascii="Times New Roman" w:hAnsi="Times New Roman" w:cs="Times New Roman"/>
          <w:color w:val="auto"/>
        </w:rPr>
        <w:t>ão e</w:t>
      </w:r>
      <w:r>
        <w:rPr>
          <w:rFonts w:ascii="Times New Roman" w:hAnsi="Times New Roman" w:cs="Times New Roman"/>
          <w:color w:val="auto"/>
        </w:rPr>
        <w:t xml:space="preserve"> à</w:t>
      </w:r>
      <w:r w:rsidR="001F1D24">
        <w:rPr>
          <w:rFonts w:ascii="Times New Roman" w:hAnsi="Times New Roman" w:cs="Times New Roman"/>
          <w:color w:val="auto"/>
        </w:rPr>
        <w:t xml:space="preserve"> disseminaç</w:t>
      </w:r>
      <w:r w:rsidR="005B27FA">
        <w:rPr>
          <w:rFonts w:ascii="Times New Roman" w:hAnsi="Times New Roman" w:cs="Times New Roman"/>
          <w:color w:val="auto"/>
        </w:rPr>
        <w:t>ão de tecnologia, e motivado pela pouca literatura comparativa entre os SNI</w:t>
      </w:r>
      <w:r>
        <w:rPr>
          <w:rFonts w:ascii="Times New Roman" w:hAnsi="Times New Roman" w:cs="Times New Roman"/>
          <w:color w:val="auto"/>
        </w:rPr>
        <w:t>'s</w:t>
      </w:r>
      <w:r w:rsidR="005B27FA">
        <w:rPr>
          <w:rFonts w:ascii="Times New Roman" w:hAnsi="Times New Roman" w:cs="Times New Roman"/>
          <w:color w:val="auto"/>
        </w:rPr>
        <w:t xml:space="preserve"> desses países, este trabalho buscou contribuir de forma empírica para es</w:t>
      </w:r>
      <w:r>
        <w:rPr>
          <w:rFonts w:ascii="Times New Roman" w:hAnsi="Times New Roman" w:cs="Times New Roman"/>
          <w:color w:val="auto"/>
        </w:rPr>
        <w:t>s</w:t>
      </w:r>
      <w:r w:rsidR="005B27FA">
        <w:rPr>
          <w:rFonts w:ascii="Times New Roman" w:hAnsi="Times New Roman" w:cs="Times New Roman"/>
          <w:color w:val="auto"/>
        </w:rPr>
        <w:t>a discussão</w:t>
      </w:r>
      <w:r>
        <w:rPr>
          <w:rFonts w:ascii="Times New Roman" w:hAnsi="Times New Roman" w:cs="Times New Roman"/>
          <w:color w:val="auto"/>
        </w:rPr>
        <w:t xml:space="preserve">. Nesse sentido, compararam-se </w:t>
      </w:r>
      <w:r w:rsidR="005B27FA">
        <w:rPr>
          <w:rFonts w:ascii="Times New Roman" w:hAnsi="Times New Roman" w:cs="Times New Roman"/>
          <w:color w:val="auto"/>
        </w:rPr>
        <w:t xml:space="preserve">diferentes indicadores, como os multiplicadores tecnológicos, </w:t>
      </w:r>
      <w:r>
        <w:rPr>
          <w:rFonts w:ascii="Times New Roman" w:hAnsi="Times New Roman" w:cs="Times New Roman"/>
          <w:color w:val="auto"/>
        </w:rPr>
        <w:t xml:space="preserve">os </w:t>
      </w:r>
      <w:r w:rsidR="005B27FA">
        <w:rPr>
          <w:rFonts w:ascii="Times New Roman" w:hAnsi="Times New Roman" w:cs="Times New Roman"/>
          <w:color w:val="auto"/>
        </w:rPr>
        <w:t>fluxos setoriaisbaseados na classificação de Pavitt (19</w:t>
      </w:r>
      <w:r w:rsidR="00965681">
        <w:rPr>
          <w:rFonts w:ascii="Times New Roman" w:hAnsi="Times New Roman" w:cs="Times New Roman"/>
          <w:color w:val="auto"/>
        </w:rPr>
        <w:t>8</w:t>
      </w:r>
      <w:r w:rsidR="005B27FA">
        <w:rPr>
          <w:rFonts w:ascii="Times New Roman" w:hAnsi="Times New Roman" w:cs="Times New Roman"/>
          <w:color w:val="auto"/>
        </w:rPr>
        <w:t>4)</w:t>
      </w:r>
      <w:r>
        <w:rPr>
          <w:rFonts w:ascii="Times New Roman" w:hAnsi="Times New Roman" w:cs="Times New Roman"/>
          <w:color w:val="auto"/>
        </w:rPr>
        <w:t xml:space="preserve"> e estendido por Hauknes e Knell (2009),</w:t>
      </w:r>
      <w:r w:rsidR="005B27FA">
        <w:rPr>
          <w:rFonts w:ascii="Times New Roman" w:hAnsi="Times New Roman" w:cs="Times New Roman"/>
          <w:color w:val="auto"/>
        </w:rPr>
        <w:t xml:space="preserve"> e os fluxos de conhecimentos</w:t>
      </w:r>
      <w:r>
        <w:rPr>
          <w:rFonts w:ascii="Times New Roman" w:hAnsi="Times New Roman" w:cs="Times New Roman"/>
          <w:color w:val="auto"/>
        </w:rPr>
        <w:t xml:space="preserve"> tecnológicos. Para tal</w:t>
      </w:r>
      <w:r w:rsidR="005B27FA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foi utilizada </w:t>
      </w:r>
      <w:r w:rsidR="005B27FA">
        <w:rPr>
          <w:rFonts w:ascii="Times New Roman" w:hAnsi="Times New Roman" w:cs="Times New Roman"/>
          <w:color w:val="auto"/>
        </w:rPr>
        <w:t>a estrutura de insumo-produto para Brasil, Rússia, China e África do Sul.</w:t>
      </w:r>
    </w:p>
    <w:p w:rsidR="001F1D24" w:rsidRDefault="005B27FA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 principais resultados apontam</w:t>
      </w:r>
      <w:r w:rsidR="0031482B">
        <w:rPr>
          <w:rFonts w:ascii="Times New Roman" w:hAnsi="Times New Roman" w:cs="Times New Roman"/>
          <w:color w:val="auto"/>
        </w:rPr>
        <w:t>, em geral,</w:t>
      </w:r>
      <w:r>
        <w:rPr>
          <w:rFonts w:ascii="Times New Roman" w:hAnsi="Times New Roman" w:cs="Times New Roman"/>
          <w:color w:val="auto"/>
        </w:rPr>
        <w:t xml:space="preserve"> para </w:t>
      </w:r>
      <w:r w:rsidR="0031482B">
        <w:rPr>
          <w:rFonts w:ascii="Times New Roman" w:hAnsi="Times New Roman" w:cs="Times New Roman"/>
          <w:color w:val="auto"/>
        </w:rPr>
        <w:t>algumas similaridades</w:t>
      </w:r>
      <w:r>
        <w:rPr>
          <w:rFonts w:ascii="Times New Roman" w:hAnsi="Times New Roman" w:cs="Times New Roman"/>
          <w:color w:val="auto"/>
        </w:rPr>
        <w:t xml:space="preserve"> entre os países dos BRICS. Quanto aos multiplicadores, notam-se valores absolutos mais elevados, o que indica que são usuários de tecnologia e não produtores, sendo a Rússia</w:t>
      </w:r>
      <w:r w:rsidR="00851486">
        <w:rPr>
          <w:rFonts w:ascii="Times New Roman" w:hAnsi="Times New Roman" w:cs="Times New Roman"/>
          <w:color w:val="auto"/>
        </w:rPr>
        <w:t xml:space="preserve"> exceção</w:t>
      </w:r>
      <w:r>
        <w:rPr>
          <w:rFonts w:ascii="Times New Roman" w:hAnsi="Times New Roman" w:cs="Times New Roman"/>
          <w:color w:val="auto"/>
        </w:rPr>
        <w:t xml:space="preserve">, que apresenta um multiplicador tecnológico próximo ao de países desenvolvidos. No que se refere à composição da intensidade tecnológica, nota-se que o P&amp;D próprio é o componente mais importante em geral, e para os países dos BRICS analisados, menos a Rússia, os componentes importados, principalmente de bens de capital, demonstram grande participação neste indicador. </w:t>
      </w:r>
    </w:p>
    <w:p w:rsidR="00851486" w:rsidRDefault="005B27FA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 fluxos líquidos intersetoriais permiti</w:t>
      </w:r>
      <w:r w:rsidR="00851486">
        <w:rPr>
          <w:rFonts w:ascii="Times New Roman" w:hAnsi="Times New Roman" w:cs="Times New Roman"/>
          <w:color w:val="auto"/>
        </w:rPr>
        <w:t>ram</w:t>
      </w:r>
      <w:r>
        <w:rPr>
          <w:rFonts w:ascii="Times New Roman" w:hAnsi="Times New Roman" w:cs="Times New Roman"/>
          <w:color w:val="auto"/>
        </w:rPr>
        <w:t xml:space="preserve"> classificar a relação entre os setores como usuários ou produtores na cadeia produtiva. </w:t>
      </w:r>
      <w:r w:rsidR="002F29DE">
        <w:rPr>
          <w:rFonts w:ascii="Times New Roman" w:hAnsi="Times New Roman" w:cs="Times New Roman"/>
          <w:color w:val="auto"/>
        </w:rPr>
        <w:t xml:space="preserve">Alguns dos principais resultados são, por exemplo, a relação </w:t>
      </w:r>
      <w:r w:rsidR="002F29DE">
        <w:rPr>
          <w:rFonts w:ascii="Times New Roman" w:hAnsi="Times New Roman" w:cs="Times New Roman"/>
          <w:i/>
          <w:color w:val="auto"/>
        </w:rPr>
        <w:t>upstream</w:t>
      </w:r>
      <w:r w:rsidR="002F29DE">
        <w:rPr>
          <w:rFonts w:ascii="Times New Roman" w:hAnsi="Times New Roman" w:cs="Times New Roman"/>
          <w:color w:val="auto"/>
        </w:rPr>
        <w:t>de Energia com os demais setores</w:t>
      </w:r>
      <w:r w:rsidR="00A817B9">
        <w:rPr>
          <w:rFonts w:ascii="Times New Roman" w:hAnsi="Times New Roman" w:cs="Times New Roman"/>
          <w:color w:val="auto"/>
        </w:rPr>
        <w:t>,</w:t>
      </w:r>
      <w:r w:rsidR="002F29DE">
        <w:rPr>
          <w:rFonts w:ascii="Times New Roman" w:hAnsi="Times New Roman" w:cs="Times New Roman"/>
          <w:color w:val="auto"/>
        </w:rPr>
        <w:t xml:space="preserve"> menos para o KIBS</w:t>
      </w:r>
      <w:r w:rsidR="00A817B9">
        <w:rPr>
          <w:rFonts w:ascii="Times New Roman" w:hAnsi="Times New Roman" w:cs="Times New Roman"/>
          <w:color w:val="auto"/>
        </w:rPr>
        <w:t>,</w:t>
      </w:r>
      <w:r w:rsidR="002F29DE">
        <w:rPr>
          <w:rFonts w:ascii="Times New Roman" w:hAnsi="Times New Roman" w:cs="Times New Roman"/>
          <w:color w:val="auto"/>
        </w:rPr>
        <w:t xml:space="preserve"> nos países analisados</w:t>
      </w:r>
      <w:r w:rsidR="00A817B9">
        <w:rPr>
          <w:rFonts w:ascii="Times New Roman" w:hAnsi="Times New Roman" w:cs="Times New Roman"/>
          <w:color w:val="auto"/>
        </w:rPr>
        <w:t xml:space="preserve">, com </w:t>
      </w:r>
      <w:r w:rsidR="002F29DE">
        <w:rPr>
          <w:rFonts w:ascii="Times New Roman" w:hAnsi="Times New Roman" w:cs="Times New Roman"/>
          <w:color w:val="auto"/>
        </w:rPr>
        <w:t xml:space="preserve">exceção da Rússia. O grupo de Materiais por sua vez tem uma relação </w:t>
      </w:r>
      <w:r w:rsidR="00EF701B" w:rsidRPr="00EF701B">
        <w:rPr>
          <w:rFonts w:ascii="Times New Roman" w:hAnsi="Times New Roman" w:cs="Times New Roman"/>
          <w:i/>
          <w:color w:val="auto"/>
        </w:rPr>
        <w:t>downstream</w:t>
      </w:r>
      <w:r w:rsidR="002F29DE">
        <w:rPr>
          <w:rFonts w:ascii="Times New Roman" w:hAnsi="Times New Roman" w:cs="Times New Roman"/>
          <w:color w:val="auto"/>
        </w:rPr>
        <w:t xml:space="preserve"> com os demais setores</w:t>
      </w:r>
      <w:r w:rsidR="00A817B9">
        <w:rPr>
          <w:rFonts w:ascii="Times New Roman" w:hAnsi="Times New Roman" w:cs="Times New Roman"/>
          <w:color w:val="auto"/>
        </w:rPr>
        <w:t xml:space="preserve">, com exceção </w:t>
      </w:r>
      <w:r w:rsidR="002F29DE">
        <w:rPr>
          <w:rFonts w:ascii="Times New Roman" w:hAnsi="Times New Roman" w:cs="Times New Roman"/>
          <w:color w:val="auto"/>
        </w:rPr>
        <w:t xml:space="preserve">do KIBS na Rússia. O grupo de setores Intensivo em Escala no Brasil possui uma relação </w:t>
      </w:r>
      <w:r w:rsidR="002F29DE">
        <w:rPr>
          <w:rFonts w:ascii="Times New Roman" w:hAnsi="Times New Roman" w:cs="Times New Roman"/>
          <w:i/>
          <w:color w:val="auto"/>
        </w:rPr>
        <w:t>upstream</w:t>
      </w:r>
      <w:r w:rsidR="002F29DE">
        <w:rPr>
          <w:rFonts w:ascii="Times New Roman" w:hAnsi="Times New Roman" w:cs="Times New Roman"/>
          <w:color w:val="auto"/>
        </w:rPr>
        <w:t xml:space="preserve"> com os outros grupos e não há um padrão visível no que concerne </w:t>
      </w:r>
      <w:r w:rsidR="00A817B9">
        <w:rPr>
          <w:rFonts w:ascii="Times New Roman" w:hAnsi="Times New Roman" w:cs="Times New Roman"/>
          <w:color w:val="auto"/>
        </w:rPr>
        <w:t>a</w:t>
      </w:r>
      <w:r w:rsidR="002F29DE">
        <w:rPr>
          <w:rFonts w:ascii="Times New Roman" w:hAnsi="Times New Roman" w:cs="Times New Roman"/>
          <w:color w:val="auto"/>
        </w:rPr>
        <w:t xml:space="preserve">o grupo de Fornecedores Especializados. Outros resultados que valem mencionar são referentes aos grupos Baseados em Ciência e Serviços, de forma que no primeiro a relação com os outros setores é </w:t>
      </w:r>
      <w:r w:rsidR="002F29DE">
        <w:rPr>
          <w:rFonts w:ascii="Times New Roman" w:hAnsi="Times New Roman" w:cs="Times New Roman"/>
          <w:i/>
          <w:color w:val="auto"/>
        </w:rPr>
        <w:t>upstream</w:t>
      </w:r>
      <w:r w:rsidR="002F29DE">
        <w:rPr>
          <w:rFonts w:ascii="Times New Roman" w:hAnsi="Times New Roman" w:cs="Times New Roman"/>
          <w:color w:val="auto"/>
        </w:rPr>
        <w:t xml:space="preserve"> em todos os países</w:t>
      </w:r>
      <w:r w:rsidR="00A817B9">
        <w:rPr>
          <w:rFonts w:ascii="Times New Roman" w:hAnsi="Times New Roman" w:cs="Times New Roman"/>
          <w:color w:val="auto"/>
        </w:rPr>
        <w:t xml:space="preserve"> (exceto </w:t>
      </w:r>
      <w:r w:rsidR="002F29DE">
        <w:rPr>
          <w:rFonts w:ascii="Times New Roman" w:hAnsi="Times New Roman" w:cs="Times New Roman"/>
          <w:color w:val="auto"/>
        </w:rPr>
        <w:t>Brasil</w:t>
      </w:r>
      <w:r w:rsidR="00A817B9">
        <w:rPr>
          <w:rFonts w:ascii="Times New Roman" w:hAnsi="Times New Roman" w:cs="Times New Roman"/>
          <w:color w:val="auto"/>
        </w:rPr>
        <w:t>)</w:t>
      </w:r>
      <w:r w:rsidR="002F29DE">
        <w:rPr>
          <w:rFonts w:ascii="Times New Roman" w:hAnsi="Times New Roman" w:cs="Times New Roman"/>
          <w:color w:val="auto"/>
        </w:rPr>
        <w:t xml:space="preserve">, e no último, a relação é </w:t>
      </w:r>
      <w:r w:rsidR="002F29DE">
        <w:rPr>
          <w:rFonts w:ascii="Times New Roman" w:hAnsi="Times New Roman" w:cs="Times New Roman"/>
          <w:i/>
          <w:color w:val="auto"/>
        </w:rPr>
        <w:t>downstream</w:t>
      </w:r>
      <w:r w:rsidR="002F29DE">
        <w:rPr>
          <w:rFonts w:ascii="Times New Roman" w:hAnsi="Times New Roman" w:cs="Times New Roman"/>
          <w:color w:val="auto"/>
        </w:rPr>
        <w:t xml:space="preserve"> em todos os países</w:t>
      </w:r>
      <w:r w:rsidR="00A817B9">
        <w:rPr>
          <w:rFonts w:ascii="Times New Roman" w:hAnsi="Times New Roman" w:cs="Times New Roman"/>
          <w:color w:val="auto"/>
        </w:rPr>
        <w:t>,</w:t>
      </w:r>
      <w:r w:rsidR="002F29DE">
        <w:rPr>
          <w:rFonts w:ascii="Times New Roman" w:hAnsi="Times New Roman" w:cs="Times New Roman"/>
          <w:color w:val="auto"/>
        </w:rPr>
        <w:t xml:space="preserve"> menos na China.</w:t>
      </w:r>
    </w:p>
    <w:p w:rsidR="005B27FA" w:rsidRDefault="00F276E1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Por fim, foi realizada a análise de fluxos de conhecimento</w:t>
      </w:r>
      <w:r w:rsidR="00851486">
        <w:rPr>
          <w:rFonts w:ascii="Times New Roman" w:hAnsi="Times New Roman" w:cs="Times New Roman"/>
          <w:color w:val="auto"/>
        </w:rPr>
        <w:t xml:space="preserve"> tecnológico</w:t>
      </w:r>
      <w:r>
        <w:rPr>
          <w:rFonts w:ascii="Times New Roman" w:hAnsi="Times New Roman" w:cs="Times New Roman"/>
          <w:color w:val="auto"/>
        </w:rPr>
        <w:t xml:space="preserve"> entre os setores </w:t>
      </w:r>
      <w:r w:rsidR="00851486">
        <w:rPr>
          <w:rFonts w:ascii="Times New Roman" w:hAnsi="Times New Roman" w:cs="Times New Roman"/>
          <w:color w:val="auto"/>
        </w:rPr>
        <w:t>de países do BRICS</w:t>
      </w:r>
      <w:r>
        <w:rPr>
          <w:rFonts w:ascii="Times New Roman" w:hAnsi="Times New Roman" w:cs="Times New Roman"/>
          <w:color w:val="auto"/>
        </w:rPr>
        <w:t xml:space="preserve">. Da mesma maneira, os países em geral apresentaram para cada grupo de setores características comuns, </w:t>
      </w:r>
      <w:r w:rsidR="002F29DE">
        <w:rPr>
          <w:rFonts w:ascii="Times New Roman" w:hAnsi="Times New Roman" w:cs="Times New Roman"/>
          <w:color w:val="auto"/>
        </w:rPr>
        <w:t>como o grupo de setores de Energia</w:t>
      </w:r>
      <w:r w:rsidR="00A817B9">
        <w:rPr>
          <w:rFonts w:ascii="Times New Roman" w:hAnsi="Times New Roman" w:cs="Times New Roman"/>
          <w:color w:val="auto"/>
        </w:rPr>
        <w:t>,</w:t>
      </w:r>
      <w:r w:rsidR="002F29DE">
        <w:rPr>
          <w:rFonts w:ascii="Times New Roman" w:hAnsi="Times New Roman" w:cs="Times New Roman"/>
          <w:color w:val="auto"/>
        </w:rPr>
        <w:t xml:space="preserve"> que possu</w:t>
      </w:r>
      <w:r w:rsidR="00A817B9">
        <w:rPr>
          <w:rFonts w:ascii="Times New Roman" w:hAnsi="Times New Roman" w:cs="Times New Roman"/>
          <w:color w:val="auto"/>
        </w:rPr>
        <w:t>i</w:t>
      </w:r>
      <w:r w:rsidR="002F29DE">
        <w:rPr>
          <w:rFonts w:ascii="Times New Roman" w:hAnsi="Times New Roman" w:cs="Times New Roman"/>
          <w:color w:val="auto"/>
        </w:rPr>
        <w:t xml:space="preserve"> fluxo</w:t>
      </w:r>
      <w:r w:rsidR="00A817B9">
        <w:rPr>
          <w:rFonts w:ascii="Times New Roman" w:hAnsi="Times New Roman" w:cs="Times New Roman"/>
          <w:color w:val="auto"/>
        </w:rPr>
        <w:t xml:space="preserve"> de conhecimento tecnológico</w:t>
      </w:r>
      <w:r w:rsidR="002F29DE">
        <w:rPr>
          <w:rFonts w:ascii="Times New Roman" w:hAnsi="Times New Roman" w:cs="Times New Roman"/>
          <w:color w:val="auto"/>
        </w:rPr>
        <w:t xml:space="preserve"> em direção aos setores Tradicionais. Fornecedores Especializados apresentam seus fluxos para setores como Energia, Tradicionais e Materiais, que não possuem um esforço inovativo tão acentuado. O </w:t>
      </w:r>
      <w:r w:rsidR="002617EE">
        <w:rPr>
          <w:rFonts w:ascii="Times New Roman" w:hAnsi="Times New Roman" w:cs="Times New Roman"/>
          <w:color w:val="auto"/>
        </w:rPr>
        <w:t>grupo</w:t>
      </w:r>
      <w:r w:rsidR="002F29DE">
        <w:rPr>
          <w:rFonts w:ascii="Times New Roman" w:hAnsi="Times New Roman" w:cs="Times New Roman"/>
          <w:color w:val="auto"/>
        </w:rPr>
        <w:t xml:space="preserve"> KIBS</w:t>
      </w:r>
      <w:r w:rsidR="002617EE">
        <w:rPr>
          <w:rFonts w:ascii="Times New Roman" w:hAnsi="Times New Roman" w:cs="Times New Roman"/>
          <w:color w:val="auto"/>
        </w:rPr>
        <w:t>,</w:t>
      </w:r>
      <w:r w:rsidR="002F29DE">
        <w:rPr>
          <w:rFonts w:ascii="Times New Roman" w:hAnsi="Times New Roman" w:cs="Times New Roman"/>
          <w:color w:val="auto"/>
        </w:rPr>
        <w:t xml:space="preserve"> por sua vez, para Brasil e África do Sul</w:t>
      </w:r>
      <w:r w:rsidR="002617EE">
        <w:rPr>
          <w:rFonts w:ascii="Times New Roman" w:hAnsi="Times New Roman" w:cs="Times New Roman"/>
          <w:color w:val="auto"/>
        </w:rPr>
        <w:t>,</w:t>
      </w:r>
      <w:r w:rsidR="002F29DE">
        <w:rPr>
          <w:rFonts w:ascii="Times New Roman" w:hAnsi="Times New Roman" w:cs="Times New Roman"/>
          <w:color w:val="auto"/>
        </w:rPr>
        <w:t xml:space="preserve"> apresentam fluxos para </w:t>
      </w:r>
      <w:r w:rsidR="002617EE">
        <w:rPr>
          <w:rFonts w:ascii="Times New Roman" w:hAnsi="Times New Roman" w:cs="Times New Roman"/>
          <w:color w:val="auto"/>
        </w:rPr>
        <w:t xml:space="preserve">todos </w:t>
      </w:r>
      <w:r w:rsidR="002F29DE">
        <w:rPr>
          <w:rFonts w:ascii="Times New Roman" w:hAnsi="Times New Roman" w:cs="Times New Roman"/>
          <w:color w:val="auto"/>
        </w:rPr>
        <w:t>os demais setores, sendo responsáveis pela disseminação de tecnologias e conhecimentos.</w:t>
      </w:r>
      <w:r w:rsidR="002617EE">
        <w:rPr>
          <w:rFonts w:ascii="Times New Roman" w:hAnsi="Times New Roman" w:cs="Times New Roman"/>
          <w:color w:val="auto"/>
        </w:rPr>
        <w:t xml:space="preserve"> No caso chinês, KIBS são receptores com relação a Intensivo em Escala, Fornecedores Especializados e Baseados em Ciência e no caso russo, o mesmo ocorre com relação Intensivo em Escala e Baseados em Ciência.</w:t>
      </w:r>
    </w:p>
    <w:p w:rsidR="00851486" w:rsidRDefault="00851486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A05DEF" w:rsidRPr="006C1C73" w:rsidRDefault="00A05DEF" w:rsidP="0096568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34081B" w:rsidRPr="00CA500E" w:rsidRDefault="0034081B" w:rsidP="00965681">
      <w:pPr>
        <w:rPr>
          <w:b/>
          <w:szCs w:val="24"/>
          <w:lang w:val="en-US"/>
        </w:rPr>
      </w:pPr>
      <w:r w:rsidRPr="00CA500E">
        <w:rPr>
          <w:b/>
          <w:szCs w:val="24"/>
          <w:lang w:val="en-US"/>
        </w:rPr>
        <w:lastRenderedPageBreak/>
        <w:t>Referências</w:t>
      </w:r>
      <w:r w:rsidR="002A48F5" w:rsidRPr="00CA500E">
        <w:rPr>
          <w:b/>
          <w:szCs w:val="24"/>
          <w:lang w:val="en-US"/>
        </w:rPr>
        <w:t xml:space="preserve"> bibliográficas</w:t>
      </w:r>
    </w:p>
    <w:p w:rsidR="002A48F5" w:rsidRPr="00CA500E" w:rsidRDefault="002A48F5" w:rsidP="00965681">
      <w:pPr>
        <w:rPr>
          <w:b/>
          <w:szCs w:val="24"/>
          <w:lang w:val="en-US"/>
        </w:rPr>
      </w:pPr>
    </w:p>
    <w:p w:rsidR="005B144D" w:rsidRPr="000761C3" w:rsidRDefault="005B144D" w:rsidP="00CA500E">
      <w:pPr>
        <w:autoSpaceDE w:val="0"/>
        <w:autoSpaceDN w:val="0"/>
        <w:adjustRightInd w:val="0"/>
        <w:rPr>
          <w:b/>
          <w:szCs w:val="24"/>
          <w:lang w:val="en-US"/>
        </w:rPr>
      </w:pPr>
      <w:r w:rsidRPr="00CA500E">
        <w:rPr>
          <w:szCs w:val="24"/>
          <w:lang w:val="en-US"/>
        </w:rPr>
        <w:t xml:space="preserve">ALBUQUERQUE, E.M. </w:t>
      </w:r>
      <w:r w:rsidRPr="00CA500E">
        <w:rPr>
          <w:b/>
          <w:szCs w:val="24"/>
          <w:lang w:val="en-US"/>
        </w:rPr>
        <w:t>Immature  systems  of  innovation</w:t>
      </w:r>
      <w:r w:rsidRPr="00CA500E">
        <w:rPr>
          <w:szCs w:val="24"/>
          <w:lang w:val="en-US"/>
        </w:rPr>
        <w:t xml:space="preserve">:  introductory notes about a </w:t>
      </w:r>
      <w:r w:rsidR="00CA500E" w:rsidRPr="00CA500E">
        <w:rPr>
          <w:szCs w:val="24"/>
          <w:lang w:val="en-US"/>
        </w:rPr>
        <w:t>c</w:t>
      </w:r>
      <w:r w:rsidRPr="00CA500E">
        <w:rPr>
          <w:szCs w:val="24"/>
          <w:lang w:val="en-US"/>
        </w:rPr>
        <w:t xml:space="preserve">omparison between South Africa, India, Mexico and Brazil based on science  and technology </w:t>
      </w:r>
      <w:r w:rsidRPr="0017645C">
        <w:rPr>
          <w:szCs w:val="24"/>
          <w:lang w:val="en-US"/>
        </w:rPr>
        <w:t xml:space="preserve">statistics. </w:t>
      </w:r>
      <w:r w:rsidR="00CA500E" w:rsidRPr="000761C3">
        <w:rPr>
          <w:szCs w:val="24"/>
          <w:lang w:val="en-US"/>
        </w:rPr>
        <w:t>Belo Horizonte: CEDEPLAR/UFMG, 2003 (</w:t>
      </w:r>
      <w:r w:rsidRPr="000761C3">
        <w:rPr>
          <w:szCs w:val="24"/>
          <w:lang w:val="en-US"/>
        </w:rPr>
        <w:t>Texto</w:t>
      </w:r>
      <w:r w:rsidR="006776F2">
        <w:rPr>
          <w:szCs w:val="24"/>
          <w:lang w:val="en-US"/>
        </w:rPr>
        <w:t xml:space="preserve"> </w:t>
      </w:r>
      <w:r w:rsidRPr="000761C3">
        <w:rPr>
          <w:szCs w:val="24"/>
          <w:lang w:val="en-US"/>
        </w:rPr>
        <w:t>para</w:t>
      </w:r>
      <w:r w:rsidR="006776F2">
        <w:rPr>
          <w:szCs w:val="24"/>
          <w:lang w:val="en-US"/>
        </w:rPr>
        <w:t xml:space="preserve"> </w:t>
      </w:r>
      <w:r w:rsidRPr="000761C3">
        <w:rPr>
          <w:szCs w:val="24"/>
          <w:lang w:val="en-US"/>
        </w:rPr>
        <w:t>Discussão</w:t>
      </w:r>
      <w:r w:rsidR="00CA500E" w:rsidRPr="000761C3">
        <w:rPr>
          <w:szCs w:val="24"/>
          <w:lang w:val="en-US"/>
        </w:rPr>
        <w:t>; 221)</w:t>
      </w:r>
      <w:r w:rsidRPr="000761C3">
        <w:rPr>
          <w:szCs w:val="24"/>
          <w:lang w:val="en-US"/>
        </w:rPr>
        <w:t>.</w:t>
      </w:r>
    </w:p>
    <w:p w:rsidR="005B144D" w:rsidRPr="000761C3" w:rsidRDefault="005B144D" w:rsidP="00CA500E">
      <w:pPr>
        <w:autoSpaceDE w:val="0"/>
        <w:autoSpaceDN w:val="0"/>
        <w:adjustRightInd w:val="0"/>
        <w:rPr>
          <w:szCs w:val="24"/>
          <w:lang w:val="en-US"/>
        </w:rPr>
      </w:pPr>
    </w:p>
    <w:p w:rsidR="009103F6" w:rsidRPr="00A40228" w:rsidRDefault="009103F6" w:rsidP="00CA500E">
      <w:pPr>
        <w:autoSpaceDE w:val="0"/>
        <w:autoSpaceDN w:val="0"/>
        <w:adjustRightInd w:val="0"/>
        <w:rPr>
          <w:szCs w:val="24"/>
          <w:lang w:val="en-US"/>
        </w:rPr>
      </w:pPr>
      <w:r w:rsidRPr="00CA500E">
        <w:rPr>
          <w:szCs w:val="24"/>
          <w:lang w:val="en-US"/>
        </w:rPr>
        <w:t xml:space="preserve">ANBERD </w:t>
      </w:r>
      <w:r w:rsidR="00086B7F" w:rsidRPr="00CA500E">
        <w:rPr>
          <w:szCs w:val="24"/>
          <w:lang w:val="en-US"/>
        </w:rPr>
        <w:t>- Analytical Business Enterprise Research and Development.</w:t>
      </w:r>
      <w:r w:rsidR="006776F2">
        <w:rPr>
          <w:szCs w:val="24"/>
          <w:lang w:val="en-US"/>
        </w:rPr>
        <w:t xml:space="preserve"> </w:t>
      </w:r>
      <w:r w:rsidR="00086B7F" w:rsidRPr="00A40228">
        <w:rPr>
          <w:szCs w:val="24"/>
          <w:lang w:val="en-US"/>
        </w:rPr>
        <w:t>Disponível</w:t>
      </w:r>
      <w:r w:rsidR="006776F2">
        <w:rPr>
          <w:szCs w:val="24"/>
          <w:lang w:val="en-US"/>
        </w:rPr>
        <w:t xml:space="preserve"> </w:t>
      </w:r>
      <w:r w:rsidR="00086B7F" w:rsidRPr="00A40228">
        <w:rPr>
          <w:szCs w:val="24"/>
          <w:lang w:val="en-US"/>
        </w:rPr>
        <w:t xml:space="preserve">em: </w:t>
      </w:r>
      <w:r w:rsidR="0095526B" w:rsidRPr="00A40228">
        <w:rPr>
          <w:szCs w:val="24"/>
          <w:lang w:val="en-US"/>
        </w:rPr>
        <w:t>&lt;http:// www.</w:t>
      </w:r>
      <w:r w:rsidR="00715385" w:rsidRPr="00A40228">
        <w:rPr>
          <w:szCs w:val="24"/>
          <w:lang w:val="en-US"/>
        </w:rPr>
        <w:t>OCDE</w:t>
      </w:r>
      <w:r w:rsidR="0095526B" w:rsidRPr="00A40228">
        <w:rPr>
          <w:szCs w:val="24"/>
          <w:lang w:val="en-US"/>
        </w:rPr>
        <w:t>.org/sti/anberd&gt;. Acesso</w:t>
      </w:r>
      <w:r w:rsidR="006776F2">
        <w:rPr>
          <w:szCs w:val="24"/>
          <w:lang w:val="en-US"/>
        </w:rPr>
        <w:t xml:space="preserve"> </w:t>
      </w:r>
      <w:r w:rsidR="0095526B" w:rsidRPr="00A40228">
        <w:rPr>
          <w:szCs w:val="24"/>
          <w:lang w:val="en-US"/>
        </w:rPr>
        <w:t>em</w:t>
      </w:r>
      <w:r w:rsidR="006776F2">
        <w:rPr>
          <w:szCs w:val="24"/>
          <w:lang w:val="en-US"/>
        </w:rPr>
        <w:t xml:space="preserve"> </w:t>
      </w:r>
      <w:r w:rsidR="0095526B" w:rsidRPr="00A40228">
        <w:rPr>
          <w:szCs w:val="24"/>
          <w:lang w:val="en-US"/>
        </w:rPr>
        <w:t>fevereiro de 2011.</w:t>
      </w:r>
    </w:p>
    <w:p w:rsidR="00086B7F" w:rsidRPr="00A40228" w:rsidRDefault="00086B7F" w:rsidP="00CA500E">
      <w:pPr>
        <w:autoSpaceDE w:val="0"/>
        <w:autoSpaceDN w:val="0"/>
        <w:adjustRightInd w:val="0"/>
        <w:rPr>
          <w:szCs w:val="24"/>
          <w:lang w:val="en-US"/>
        </w:rPr>
      </w:pPr>
    </w:p>
    <w:p w:rsidR="00A45095" w:rsidRPr="00CA500E" w:rsidRDefault="00A45095" w:rsidP="00CA500E">
      <w:pPr>
        <w:autoSpaceDE w:val="0"/>
        <w:autoSpaceDN w:val="0"/>
        <w:adjustRightInd w:val="0"/>
        <w:rPr>
          <w:szCs w:val="24"/>
          <w:lang w:val="en-US"/>
        </w:rPr>
      </w:pPr>
      <w:r w:rsidRPr="00CA500E">
        <w:rPr>
          <w:szCs w:val="24"/>
          <w:lang w:val="en-US"/>
        </w:rPr>
        <w:t>BRESCHI, S.; LISSONI, F. Knowledge Spillover and Local Innovation Systems: A Critical Survey.</w:t>
      </w:r>
      <w:r w:rsidRPr="00CA500E">
        <w:rPr>
          <w:b/>
          <w:szCs w:val="24"/>
          <w:lang w:val="en-US"/>
        </w:rPr>
        <w:t>Industrial and Corporate Change,</w:t>
      </w:r>
      <w:r w:rsidRPr="00CA500E">
        <w:rPr>
          <w:szCs w:val="24"/>
          <w:lang w:val="en-US"/>
        </w:rPr>
        <w:t xml:space="preserve"> v. 10, n.4, 2001.</w:t>
      </w:r>
    </w:p>
    <w:p w:rsidR="00A45095" w:rsidRPr="00CA500E" w:rsidRDefault="00A45095" w:rsidP="00CA500E">
      <w:pPr>
        <w:autoSpaceDE w:val="0"/>
        <w:autoSpaceDN w:val="0"/>
        <w:adjustRightInd w:val="0"/>
        <w:rPr>
          <w:szCs w:val="24"/>
          <w:lang w:val="en-US"/>
        </w:rPr>
      </w:pPr>
    </w:p>
    <w:p w:rsidR="0059378F" w:rsidRPr="00CA500E" w:rsidRDefault="0059378F" w:rsidP="00CA500E">
      <w:pPr>
        <w:autoSpaceDE w:val="0"/>
        <w:autoSpaceDN w:val="0"/>
        <w:adjustRightInd w:val="0"/>
        <w:rPr>
          <w:szCs w:val="24"/>
          <w:lang w:val="en-US"/>
        </w:rPr>
      </w:pPr>
      <w:r w:rsidRPr="00CA500E">
        <w:rPr>
          <w:szCs w:val="24"/>
          <w:lang w:val="en-US"/>
        </w:rPr>
        <w:t>CASSIOLATO, J. E., VITORINO, V.</w:t>
      </w:r>
      <w:r w:rsidRPr="00CA500E">
        <w:rPr>
          <w:b/>
          <w:szCs w:val="24"/>
          <w:lang w:val="en-US"/>
        </w:rPr>
        <w:t>BRICS</w:t>
      </w:r>
      <w:r w:rsidR="006776F2">
        <w:rPr>
          <w:b/>
          <w:szCs w:val="24"/>
          <w:lang w:val="en-US"/>
        </w:rPr>
        <w:t xml:space="preserve"> </w:t>
      </w:r>
      <w:r w:rsidRPr="00CA500E">
        <w:rPr>
          <w:b/>
          <w:szCs w:val="24"/>
          <w:lang w:val="en-US"/>
        </w:rPr>
        <w:t>and Development Alternatives</w:t>
      </w:r>
      <w:r w:rsidRPr="00CA500E">
        <w:rPr>
          <w:szCs w:val="24"/>
          <w:lang w:val="en-US"/>
        </w:rPr>
        <w:t>: Innovation Systems and Policies. London: Anthem Press, 2011.</w:t>
      </w:r>
    </w:p>
    <w:p w:rsidR="0059378F" w:rsidRPr="00CA500E" w:rsidRDefault="0059378F" w:rsidP="00CA500E">
      <w:pPr>
        <w:autoSpaceDE w:val="0"/>
        <w:autoSpaceDN w:val="0"/>
        <w:adjustRightInd w:val="0"/>
        <w:rPr>
          <w:szCs w:val="24"/>
          <w:lang w:val="en-US"/>
        </w:rPr>
      </w:pPr>
    </w:p>
    <w:p w:rsidR="0059378F" w:rsidRPr="00CA500E" w:rsidRDefault="0059378F" w:rsidP="00CA500E">
      <w:pPr>
        <w:autoSpaceDE w:val="0"/>
        <w:autoSpaceDN w:val="0"/>
        <w:adjustRightInd w:val="0"/>
        <w:rPr>
          <w:szCs w:val="24"/>
          <w:lang w:val="en-US"/>
        </w:rPr>
      </w:pPr>
      <w:r w:rsidRPr="00CA500E">
        <w:rPr>
          <w:szCs w:val="24"/>
          <w:lang w:val="en-US"/>
        </w:rPr>
        <w:t xml:space="preserve">CASSIOLATO, J. E., LASTRES, H. M. M. </w:t>
      </w:r>
      <w:r w:rsidR="005B144D" w:rsidRPr="00CA500E">
        <w:rPr>
          <w:szCs w:val="24"/>
          <w:lang w:val="en-US"/>
        </w:rPr>
        <w:t xml:space="preserve">Science, technology and Innovation Policies in the BRICS Countries: an introduction. </w:t>
      </w:r>
      <w:r w:rsidRPr="00CA500E">
        <w:rPr>
          <w:szCs w:val="24"/>
          <w:lang w:val="en-US"/>
        </w:rPr>
        <w:t>In: CASSIOLATO, J. E., VITORINO, V.</w:t>
      </w:r>
      <w:r w:rsidRPr="00CA500E">
        <w:rPr>
          <w:b/>
          <w:szCs w:val="24"/>
          <w:lang w:val="en-US"/>
        </w:rPr>
        <w:t>BRICS</w:t>
      </w:r>
      <w:r w:rsidR="006776F2">
        <w:rPr>
          <w:b/>
          <w:szCs w:val="24"/>
          <w:lang w:val="en-US"/>
        </w:rPr>
        <w:t xml:space="preserve"> </w:t>
      </w:r>
      <w:r w:rsidRPr="00CA500E">
        <w:rPr>
          <w:b/>
          <w:szCs w:val="24"/>
          <w:lang w:val="en-US"/>
        </w:rPr>
        <w:t>and Development Alternatives</w:t>
      </w:r>
      <w:r w:rsidRPr="00CA500E">
        <w:rPr>
          <w:szCs w:val="24"/>
          <w:lang w:val="en-US"/>
        </w:rPr>
        <w:t>: Innovation Systems and Policies. London: Anthem Press, 2011.</w:t>
      </w:r>
    </w:p>
    <w:p w:rsidR="0059378F" w:rsidRPr="00CA500E" w:rsidRDefault="0059378F" w:rsidP="00CA500E">
      <w:pPr>
        <w:autoSpaceDE w:val="0"/>
        <w:autoSpaceDN w:val="0"/>
        <w:adjustRightInd w:val="0"/>
        <w:rPr>
          <w:szCs w:val="24"/>
          <w:lang w:val="en-US"/>
        </w:rPr>
      </w:pPr>
    </w:p>
    <w:p w:rsidR="0095526B" w:rsidRPr="00CA500E" w:rsidRDefault="00E21AEA" w:rsidP="00CA500E">
      <w:pPr>
        <w:rPr>
          <w:szCs w:val="24"/>
          <w:lang w:val="en-US"/>
        </w:rPr>
      </w:pPr>
      <w:r w:rsidRPr="00CA500E">
        <w:rPr>
          <w:szCs w:val="24"/>
          <w:lang w:val="en-US"/>
        </w:rPr>
        <w:t xml:space="preserve">FREEMAN, C. Japan: a new national system ofinnovation? In: DOSI, G.; FREEMAN, C.; NELSON, R.;SILVERBERG, G.; SOETE, L. (eds). </w:t>
      </w:r>
      <w:r w:rsidRPr="00CA500E">
        <w:rPr>
          <w:b/>
          <w:szCs w:val="24"/>
          <w:lang w:val="en-US"/>
        </w:rPr>
        <w:t>Technical change and economic theory</w:t>
      </w:r>
      <w:r w:rsidRPr="00CA500E">
        <w:rPr>
          <w:szCs w:val="24"/>
          <w:lang w:val="en-US"/>
        </w:rPr>
        <w:t>. London: Pinter, 1988</w:t>
      </w:r>
    </w:p>
    <w:p w:rsidR="00E21AEA" w:rsidRPr="00CA500E" w:rsidRDefault="00E21AEA" w:rsidP="00CA500E">
      <w:pPr>
        <w:rPr>
          <w:szCs w:val="24"/>
          <w:lang w:val="en-US"/>
        </w:rPr>
      </w:pPr>
    </w:p>
    <w:p w:rsidR="0095526B" w:rsidRPr="00CA500E" w:rsidRDefault="0095526B" w:rsidP="00CA500E">
      <w:pPr>
        <w:rPr>
          <w:szCs w:val="24"/>
          <w:lang w:val="en-US"/>
        </w:rPr>
      </w:pPr>
      <w:r w:rsidRPr="00CA500E">
        <w:rPr>
          <w:szCs w:val="24"/>
          <w:lang w:val="en-US"/>
        </w:rPr>
        <w:t xml:space="preserve">GRILICHES, Z. Issues in Assessing the Contribution of P&amp;D to Productivity Growth. </w:t>
      </w:r>
      <w:r w:rsidRPr="00CA500E">
        <w:rPr>
          <w:b/>
          <w:szCs w:val="24"/>
          <w:lang w:val="en-US"/>
        </w:rPr>
        <w:t>Bell Jou</w:t>
      </w:r>
      <w:r w:rsidR="00112123" w:rsidRPr="00CA500E">
        <w:rPr>
          <w:b/>
          <w:szCs w:val="24"/>
          <w:lang w:val="en-US"/>
        </w:rPr>
        <w:t>r</w:t>
      </w:r>
      <w:r w:rsidRPr="00CA500E">
        <w:rPr>
          <w:b/>
          <w:szCs w:val="24"/>
          <w:lang w:val="en-US"/>
        </w:rPr>
        <w:t>nal of Economics</w:t>
      </w:r>
      <w:r w:rsidRPr="00CA500E">
        <w:rPr>
          <w:szCs w:val="24"/>
          <w:lang w:val="en-US"/>
        </w:rPr>
        <w:t>, v. 10, p. 92-116, 1979.</w:t>
      </w:r>
    </w:p>
    <w:p w:rsidR="0095526B" w:rsidRPr="00CA500E" w:rsidRDefault="0095526B" w:rsidP="00CA500E">
      <w:pPr>
        <w:rPr>
          <w:szCs w:val="24"/>
          <w:lang w:val="en-US"/>
        </w:rPr>
      </w:pPr>
    </w:p>
    <w:p w:rsidR="0095526B" w:rsidRPr="00CA500E" w:rsidRDefault="0095526B" w:rsidP="00CA500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  <w:lang w:val="en-US" w:eastAsia="pt-BR"/>
        </w:rPr>
      </w:pPr>
      <w:r w:rsidRPr="00CA500E">
        <w:rPr>
          <w:rFonts w:ascii="TimesNewRomanPSMT" w:eastAsia="Calibri" w:hAnsi="TimesNewRomanPSMT" w:cs="TimesNewRomanPSMT"/>
          <w:szCs w:val="24"/>
          <w:lang w:val="en-US" w:eastAsia="pt-BR"/>
        </w:rPr>
        <w:t xml:space="preserve">HAUKNES, J., KNELL, M. Embodied knowledge and sectoral linkages: An input–outputapproach to the interaction of high- and low-tech industries. </w:t>
      </w:r>
      <w:r w:rsidRPr="00CA500E">
        <w:rPr>
          <w:rFonts w:eastAsia="Calibri"/>
          <w:b/>
          <w:iCs/>
          <w:szCs w:val="24"/>
          <w:lang w:val="en-US" w:eastAsia="pt-BR"/>
        </w:rPr>
        <w:t>Research Policy</w:t>
      </w:r>
      <w:r w:rsidR="00112123" w:rsidRPr="00CA500E">
        <w:rPr>
          <w:rFonts w:eastAsia="Calibri"/>
          <w:iCs/>
          <w:szCs w:val="24"/>
          <w:lang w:val="en-US" w:eastAsia="pt-BR"/>
        </w:rPr>
        <w:t xml:space="preserve">, </w:t>
      </w:r>
      <w:r w:rsidRPr="00CA500E">
        <w:rPr>
          <w:rFonts w:ascii="TimesNewRomanPSMT" w:eastAsia="Calibri" w:hAnsi="TimesNewRomanPSMT" w:cs="TimesNewRomanPSMT"/>
          <w:szCs w:val="24"/>
          <w:lang w:val="en-US" w:eastAsia="pt-BR"/>
        </w:rPr>
        <w:t>v. 38, p. 459-469,2009.</w:t>
      </w:r>
    </w:p>
    <w:p w:rsidR="0095526B" w:rsidRPr="00CA500E" w:rsidRDefault="0095526B" w:rsidP="00CA500E">
      <w:pPr>
        <w:rPr>
          <w:rFonts w:ascii="TimesNewRomanPSMT" w:eastAsia="Calibri" w:hAnsi="TimesNewRomanPSMT" w:cs="TimesNewRomanPSMT"/>
          <w:szCs w:val="24"/>
          <w:lang w:val="en-US" w:eastAsia="pt-BR"/>
        </w:rPr>
      </w:pPr>
    </w:p>
    <w:p w:rsidR="0095526B" w:rsidRPr="00CA500E" w:rsidRDefault="0095526B" w:rsidP="00CA500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  <w:lang w:val="en-US" w:eastAsia="pt-BR"/>
        </w:rPr>
      </w:pPr>
      <w:r w:rsidRPr="00CA500E">
        <w:rPr>
          <w:rFonts w:ascii="TimesNewRomanPSMT" w:eastAsia="Calibri" w:hAnsi="TimesNewRomanPSMT" w:cs="TimesNewRomanPSMT"/>
          <w:szCs w:val="24"/>
          <w:lang w:val="en-US" w:eastAsia="pt-BR"/>
        </w:rPr>
        <w:t xml:space="preserve">HIRSCHMAN, A. D. </w:t>
      </w:r>
      <w:r w:rsidRPr="00CA500E">
        <w:rPr>
          <w:rFonts w:ascii="TimesNewRomanPSMT" w:eastAsia="Calibri" w:hAnsi="TimesNewRomanPSMT" w:cs="TimesNewRomanPSMT"/>
          <w:b/>
          <w:szCs w:val="24"/>
          <w:lang w:val="en-US" w:eastAsia="pt-BR"/>
        </w:rPr>
        <w:t>The Strategy of Economic Development</w:t>
      </w:r>
      <w:r w:rsidRPr="00CA500E">
        <w:rPr>
          <w:rFonts w:ascii="TimesNewRomanPSMT" w:eastAsia="Calibri" w:hAnsi="TimesNewRomanPSMT" w:cs="TimesNewRomanPSMT"/>
          <w:szCs w:val="24"/>
          <w:lang w:val="en-US" w:eastAsia="pt-BR"/>
        </w:rPr>
        <w:t>.New Haven, Conn.:Yale University Press. 1958.</w:t>
      </w:r>
    </w:p>
    <w:p w:rsidR="0095526B" w:rsidRPr="00CA500E" w:rsidRDefault="0095526B" w:rsidP="00CA500E">
      <w:pPr>
        <w:rPr>
          <w:rFonts w:ascii="TimesNewRomanPSMT" w:eastAsia="Calibri" w:hAnsi="TimesNewRomanPSMT" w:cs="TimesNewRomanPSMT"/>
          <w:szCs w:val="24"/>
          <w:lang w:val="en-US" w:eastAsia="pt-BR"/>
        </w:rPr>
      </w:pPr>
    </w:p>
    <w:p w:rsidR="00B779FE" w:rsidRPr="00CA500E" w:rsidRDefault="00E21AEA" w:rsidP="00CA500E">
      <w:pPr>
        <w:rPr>
          <w:szCs w:val="24"/>
          <w:lang w:val="en-US"/>
        </w:rPr>
      </w:pPr>
      <w:r w:rsidRPr="00CA500E">
        <w:rPr>
          <w:szCs w:val="24"/>
          <w:lang w:val="en-US"/>
        </w:rPr>
        <w:t xml:space="preserve">LUNDVALL, B.A. Innovation as an interactive process: from user-producerinteraction to the national system of innovation. In: DOSI,G.; FREEMAN, C.; NELSON, R.; SILVERBERG, G.; SOETE, L.(eds). </w:t>
      </w:r>
      <w:r w:rsidRPr="00CA500E">
        <w:rPr>
          <w:b/>
          <w:szCs w:val="24"/>
          <w:lang w:val="en-US"/>
        </w:rPr>
        <w:t>Technical change and economic theory</w:t>
      </w:r>
      <w:r w:rsidRPr="00CA500E">
        <w:rPr>
          <w:szCs w:val="24"/>
          <w:lang w:val="en-US"/>
        </w:rPr>
        <w:t>. London: Pinter, 1988.</w:t>
      </w:r>
    </w:p>
    <w:p w:rsidR="00E21AEA" w:rsidRPr="00CA500E" w:rsidRDefault="00E21AEA" w:rsidP="00CA500E">
      <w:pPr>
        <w:rPr>
          <w:szCs w:val="24"/>
          <w:lang w:val="en-US"/>
        </w:rPr>
      </w:pPr>
    </w:p>
    <w:p w:rsidR="0059378F" w:rsidRPr="00CA500E" w:rsidRDefault="0059378F" w:rsidP="00CA500E">
      <w:pPr>
        <w:autoSpaceDE w:val="0"/>
        <w:autoSpaceDN w:val="0"/>
        <w:adjustRightInd w:val="0"/>
        <w:rPr>
          <w:szCs w:val="24"/>
          <w:lang w:val="en-US"/>
        </w:rPr>
      </w:pPr>
      <w:r w:rsidRPr="00CA500E">
        <w:rPr>
          <w:szCs w:val="24"/>
          <w:lang w:val="en-US"/>
        </w:rPr>
        <w:t xml:space="preserve">______________. </w:t>
      </w:r>
      <w:r w:rsidR="005B144D" w:rsidRPr="00CA500E">
        <w:rPr>
          <w:szCs w:val="24"/>
          <w:lang w:val="en-US"/>
        </w:rPr>
        <w:t>The BRICS Countries and Europe</w:t>
      </w:r>
      <w:r w:rsidRPr="00CA500E">
        <w:rPr>
          <w:szCs w:val="24"/>
          <w:lang w:val="en-US"/>
        </w:rPr>
        <w:t>. In: CASSIOLATO, J. E., VITORINO, V.</w:t>
      </w:r>
      <w:r w:rsidRPr="00CA500E">
        <w:rPr>
          <w:b/>
          <w:szCs w:val="24"/>
          <w:lang w:val="en-US"/>
        </w:rPr>
        <w:t>BRICSand Deve</w:t>
      </w:r>
      <w:r w:rsidR="00112123" w:rsidRPr="00CA500E">
        <w:rPr>
          <w:b/>
          <w:szCs w:val="24"/>
          <w:lang w:val="en-US"/>
        </w:rPr>
        <w:t>lopment Alternatives</w:t>
      </w:r>
      <w:r w:rsidR="00112123" w:rsidRPr="00CA500E">
        <w:rPr>
          <w:szCs w:val="24"/>
          <w:lang w:val="en-US"/>
        </w:rPr>
        <w:t>: Innovatio</w:t>
      </w:r>
      <w:r w:rsidRPr="00CA500E">
        <w:rPr>
          <w:szCs w:val="24"/>
          <w:lang w:val="en-US"/>
        </w:rPr>
        <w:t>n Systems and Policies. London: Anthem Press, 2011.</w:t>
      </w:r>
    </w:p>
    <w:p w:rsidR="0059378F" w:rsidRPr="00CA500E" w:rsidRDefault="0059378F" w:rsidP="00CA500E">
      <w:pPr>
        <w:autoSpaceDE w:val="0"/>
        <w:autoSpaceDN w:val="0"/>
        <w:adjustRightInd w:val="0"/>
        <w:rPr>
          <w:szCs w:val="24"/>
          <w:lang w:val="en-US"/>
        </w:rPr>
      </w:pPr>
    </w:p>
    <w:p w:rsidR="00B779FE" w:rsidRPr="00CA500E" w:rsidRDefault="00B779FE" w:rsidP="00CA500E">
      <w:pPr>
        <w:rPr>
          <w:szCs w:val="24"/>
          <w:lang w:val="en-US"/>
        </w:rPr>
      </w:pPr>
      <w:r w:rsidRPr="00CA500E">
        <w:rPr>
          <w:szCs w:val="24"/>
          <w:lang w:val="en-US"/>
        </w:rPr>
        <w:t xml:space="preserve">MILLER, R. E; BLAIR, P. D. </w:t>
      </w:r>
      <w:r w:rsidRPr="00CA500E">
        <w:rPr>
          <w:b/>
          <w:szCs w:val="24"/>
          <w:lang w:val="en-US"/>
        </w:rPr>
        <w:t>Input-Output Analysis</w:t>
      </w:r>
      <w:r w:rsidRPr="00CA500E">
        <w:rPr>
          <w:szCs w:val="24"/>
          <w:lang w:val="en-US"/>
        </w:rPr>
        <w:t>: Foundations and Extensions</w:t>
      </w:r>
      <w:r w:rsidR="00CA500E">
        <w:rPr>
          <w:szCs w:val="24"/>
          <w:lang w:val="en-US"/>
        </w:rPr>
        <w:t>.</w:t>
      </w:r>
      <w:r w:rsidRPr="00CA500E">
        <w:rPr>
          <w:szCs w:val="24"/>
          <w:lang w:val="en-US"/>
        </w:rPr>
        <w:t>2</w:t>
      </w:r>
      <w:r w:rsidRPr="00CA500E">
        <w:rPr>
          <w:szCs w:val="24"/>
          <w:vertAlign w:val="superscript"/>
          <w:lang w:val="en-US"/>
        </w:rPr>
        <w:t>nd</w:t>
      </w:r>
      <w:r w:rsidRPr="00CA500E">
        <w:rPr>
          <w:szCs w:val="24"/>
          <w:lang w:val="en-US"/>
        </w:rPr>
        <w:t xml:space="preserve"> Edition.New York: Cambridge University Press, 2009.</w:t>
      </w:r>
    </w:p>
    <w:p w:rsidR="00B779FE" w:rsidRPr="00CA500E" w:rsidRDefault="00B779FE" w:rsidP="00CA500E">
      <w:pPr>
        <w:rPr>
          <w:szCs w:val="24"/>
          <w:lang w:val="en-US"/>
        </w:rPr>
      </w:pPr>
    </w:p>
    <w:p w:rsidR="0095526B" w:rsidRPr="00CA500E" w:rsidRDefault="0095526B" w:rsidP="00CA500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  <w:lang w:val="en-US" w:eastAsia="pt-BR"/>
        </w:rPr>
      </w:pPr>
      <w:r w:rsidRPr="00CA500E">
        <w:rPr>
          <w:rFonts w:ascii="TimesNewRomanPSMT" w:eastAsia="Calibri" w:hAnsi="TimesNewRomanPSMT" w:cs="TimesNewRomanPSMT"/>
          <w:szCs w:val="24"/>
          <w:lang w:val="en-US" w:eastAsia="pt-BR"/>
        </w:rPr>
        <w:t>MOHEN, P. Introdu</w:t>
      </w:r>
      <w:r w:rsidR="00112123" w:rsidRPr="00CA500E">
        <w:rPr>
          <w:rFonts w:ascii="TimesNewRomanPSMT" w:eastAsia="Calibri" w:hAnsi="TimesNewRomanPSMT" w:cs="TimesNewRomanPSMT"/>
          <w:szCs w:val="24"/>
          <w:lang w:val="en-US" w:eastAsia="pt-BR"/>
        </w:rPr>
        <w:t>c</w:t>
      </w:r>
      <w:r w:rsidRPr="00CA500E">
        <w:rPr>
          <w:rFonts w:ascii="TimesNewRomanPSMT" w:eastAsia="Calibri" w:hAnsi="TimesNewRomanPSMT" w:cs="TimesNewRomanPSMT"/>
          <w:szCs w:val="24"/>
          <w:lang w:val="en-US" w:eastAsia="pt-BR"/>
        </w:rPr>
        <w:t xml:space="preserve">tion: Input-Output Analysis </w:t>
      </w:r>
      <w:r w:rsidR="00112123" w:rsidRPr="00CA500E">
        <w:rPr>
          <w:rFonts w:ascii="TimesNewRomanPSMT" w:eastAsia="Calibri" w:hAnsi="TimesNewRomanPSMT" w:cs="TimesNewRomanPSMT"/>
          <w:szCs w:val="24"/>
          <w:lang w:val="en-US" w:eastAsia="pt-BR"/>
        </w:rPr>
        <w:t xml:space="preserve">and </w:t>
      </w:r>
      <w:r w:rsidRPr="00CA500E">
        <w:rPr>
          <w:rFonts w:ascii="TimesNewRomanPSMT" w:eastAsia="Calibri" w:hAnsi="TimesNewRomanPSMT" w:cs="TimesNewRomanPSMT"/>
          <w:szCs w:val="24"/>
          <w:lang w:val="en-US" w:eastAsia="pt-BR"/>
        </w:rPr>
        <w:t>Interindustry R&amp;D Spillovers.</w:t>
      </w:r>
      <w:r w:rsidRPr="00CA500E">
        <w:rPr>
          <w:rFonts w:eastAsia="Calibri"/>
          <w:b/>
          <w:iCs/>
          <w:szCs w:val="24"/>
          <w:lang w:val="en-US" w:eastAsia="pt-BR"/>
        </w:rPr>
        <w:t>Economic Systems Research</w:t>
      </w:r>
      <w:r w:rsidRPr="00CA500E">
        <w:rPr>
          <w:rFonts w:ascii="TimesNewRomanPSMT" w:eastAsia="Calibri" w:hAnsi="TimesNewRomanPSMT" w:cs="TimesNewRomanPSMT"/>
          <w:szCs w:val="24"/>
          <w:lang w:val="en-US" w:eastAsia="pt-BR"/>
        </w:rPr>
        <w:t>, v. 9, n. 1, p. 3-8, 1997.</w:t>
      </w:r>
    </w:p>
    <w:p w:rsidR="0095526B" w:rsidRPr="00CA500E" w:rsidRDefault="0095526B" w:rsidP="00CA500E">
      <w:pPr>
        <w:rPr>
          <w:rFonts w:ascii="TimesNewRomanPSMT" w:eastAsia="Calibri" w:hAnsi="TimesNewRomanPSMT" w:cs="TimesNewRomanPSMT"/>
          <w:szCs w:val="24"/>
          <w:lang w:val="en-US" w:eastAsia="pt-BR"/>
        </w:rPr>
      </w:pPr>
    </w:p>
    <w:p w:rsidR="00E21AEA" w:rsidRPr="00CA500E" w:rsidRDefault="00E21AEA" w:rsidP="00CA500E">
      <w:pPr>
        <w:rPr>
          <w:szCs w:val="24"/>
          <w:lang w:val="en-US"/>
        </w:rPr>
      </w:pPr>
      <w:r w:rsidRPr="00CA500E">
        <w:rPr>
          <w:szCs w:val="24"/>
          <w:lang w:val="en-US"/>
        </w:rPr>
        <w:t>MOWERY, D. C, ROSENBERG, N.</w:t>
      </w:r>
      <w:r w:rsidR="006776F2">
        <w:rPr>
          <w:szCs w:val="24"/>
          <w:lang w:val="en-US"/>
        </w:rPr>
        <w:t xml:space="preserve"> </w:t>
      </w:r>
      <w:r w:rsidRPr="00CA500E">
        <w:rPr>
          <w:szCs w:val="24"/>
          <w:lang w:val="en-US"/>
        </w:rPr>
        <w:t>The U.S. national innovation</w:t>
      </w:r>
      <w:r w:rsidR="006776F2">
        <w:rPr>
          <w:szCs w:val="24"/>
          <w:lang w:val="en-US"/>
        </w:rPr>
        <w:t xml:space="preserve"> </w:t>
      </w:r>
      <w:r w:rsidRPr="00CA500E">
        <w:rPr>
          <w:szCs w:val="24"/>
          <w:lang w:val="en-US"/>
        </w:rPr>
        <w:t xml:space="preserve">system. In: NELSON, R. (Ed.) </w:t>
      </w:r>
      <w:r w:rsidRPr="00CA500E">
        <w:rPr>
          <w:b/>
          <w:szCs w:val="24"/>
          <w:lang w:val="en-US"/>
        </w:rPr>
        <w:t>National innovation systems: a comparative analyses</w:t>
      </w:r>
      <w:r w:rsidRPr="00CA500E">
        <w:rPr>
          <w:szCs w:val="24"/>
          <w:lang w:val="en-US"/>
        </w:rPr>
        <w:t>. New York/Oxford: Oxford University Press,1993. (Cap. 2)</w:t>
      </w:r>
    </w:p>
    <w:p w:rsidR="00E21AEA" w:rsidRPr="00CA500E" w:rsidRDefault="00E21AEA" w:rsidP="00CA500E">
      <w:pPr>
        <w:rPr>
          <w:szCs w:val="24"/>
          <w:lang w:val="en-US"/>
        </w:rPr>
      </w:pPr>
    </w:p>
    <w:p w:rsidR="00E21AEA" w:rsidRPr="00CA500E" w:rsidRDefault="00E21AEA" w:rsidP="00CA500E">
      <w:pPr>
        <w:rPr>
          <w:szCs w:val="24"/>
          <w:lang w:val="en-US"/>
        </w:rPr>
      </w:pPr>
      <w:r w:rsidRPr="00CA500E">
        <w:rPr>
          <w:szCs w:val="24"/>
          <w:lang w:val="en-US"/>
        </w:rPr>
        <w:lastRenderedPageBreak/>
        <w:t>NELSON, R. Institutions supporting technical change in the</w:t>
      </w:r>
      <w:r w:rsidR="006776F2">
        <w:rPr>
          <w:szCs w:val="24"/>
          <w:lang w:val="en-US"/>
        </w:rPr>
        <w:t xml:space="preserve"> </w:t>
      </w:r>
      <w:r w:rsidRPr="00CA500E">
        <w:rPr>
          <w:szCs w:val="24"/>
          <w:lang w:val="en-US"/>
        </w:rPr>
        <w:t xml:space="preserve">United States. In: DOSI, G.; FREEMAN, C.; NELSON, R.;SILVERBERG, G.; SOETE, L. (eds). </w:t>
      </w:r>
      <w:r w:rsidRPr="00CA500E">
        <w:rPr>
          <w:b/>
          <w:szCs w:val="24"/>
          <w:lang w:val="en-US"/>
        </w:rPr>
        <w:t>Technical change and economic theory</w:t>
      </w:r>
      <w:r w:rsidRPr="00CA500E">
        <w:rPr>
          <w:szCs w:val="24"/>
          <w:lang w:val="en-US"/>
        </w:rPr>
        <w:t>. London: Pinter, 1988</w:t>
      </w:r>
    </w:p>
    <w:p w:rsidR="00E21AEA" w:rsidRPr="00CA500E" w:rsidRDefault="00E21AEA" w:rsidP="00CA500E">
      <w:pPr>
        <w:rPr>
          <w:szCs w:val="24"/>
          <w:lang w:val="en-US"/>
        </w:rPr>
      </w:pPr>
    </w:p>
    <w:p w:rsidR="009103F6" w:rsidRPr="00CA500E" w:rsidRDefault="00715385" w:rsidP="00CA500E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CA500E">
        <w:rPr>
          <w:rFonts w:ascii="Times New Roman" w:hAnsi="Times New Roman" w:cs="Times New Roman"/>
          <w:color w:val="auto"/>
          <w:lang w:val="en-US"/>
        </w:rPr>
        <w:t>OCDE</w:t>
      </w:r>
      <w:r w:rsidR="00CE0186" w:rsidRPr="00CA500E">
        <w:rPr>
          <w:rFonts w:ascii="Times New Roman" w:hAnsi="Times New Roman" w:cs="Times New Roman"/>
          <w:color w:val="auto"/>
          <w:lang w:val="en-US"/>
        </w:rPr>
        <w:t xml:space="preserve"> – Organisation for Economic Co-operation and Development.</w:t>
      </w:r>
      <w:r w:rsidR="00CE0186" w:rsidRPr="00CA500E">
        <w:rPr>
          <w:rFonts w:ascii="Times New Roman" w:hAnsi="Times New Roman" w:cs="Times New Roman"/>
          <w:b/>
          <w:color w:val="auto"/>
          <w:lang w:val="en-US"/>
        </w:rPr>
        <w:t>COMPENDIUM OF PATENT STATISTICS 2008</w:t>
      </w:r>
      <w:r w:rsidR="00CE0186" w:rsidRPr="00CA500E">
        <w:rPr>
          <w:rFonts w:ascii="Times New Roman" w:hAnsi="Times New Roman" w:cs="Times New Roman"/>
          <w:color w:val="auto"/>
          <w:lang w:val="en-US"/>
        </w:rPr>
        <w:t>.</w:t>
      </w:r>
      <w:r w:rsidR="006776F2">
        <w:rPr>
          <w:rFonts w:ascii="Times New Roman" w:hAnsi="Times New Roman" w:cs="Times New Roman"/>
          <w:color w:val="auto"/>
          <w:lang w:val="en-US"/>
        </w:rPr>
        <w:t xml:space="preserve"> </w:t>
      </w:r>
      <w:r w:rsidR="00CE0186" w:rsidRPr="00CA500E">
        <w:rPr>
          <w:rFonts w:ascii="Times New Roman" w:hAnsi="Times New Roman" w:cs="Times New Roman"/>
          <w:color w:val="auto"/>
          <w:lang w:val="en-US"/>
        </w:rPr>
        <w:t>Disponível</w:t>
      </w:r>
      <w:r w:rsidR="006776F2">
        <w:rPr>
          <w:rFonts w:ascii="Times New Roman" w:hAnsi="Times New Roman" w:cs="Times New Roman"/>
          <w:color w:val="auto"/>
          <w:lang w:val="en-US"/>
        </w:rPr>
        <w:t xml:space="preserve"> </w:t>
      </w:r>
      <w:r w:rsidR="00CE0186" w:rsidRPr="00CA500E">
        <w:rPr>
          <w:rFonts w:ascii="Times New Roman" w:hAnsi="Times New Roman" w:cs="Times New Roman"/>
          <w:color w:val="auto"/>
          <w:lang w:val="en-US"/>
        </w:rPr>
        <w:t>em: &lt;http://www.</w:t>
      </w:r>
      <w:r w:rsidRPr="00CA500E">
        <w:rPr>
          <w:rFonts w:ascii="Times New Roman" w:hAnsi="Times New Roman" w:cs="Times New Roman"/>
          <w:color w:val="auto"/>
          <w:lang w:val="en-US"/>
        </w:rPr>
        <w:t>OCDE</w:t>
      </w:r>
      <w:r w:rsidR="00CE0186" w:rsidRPr="00CA500E">
        <w:rPr>
          <w:rFonts w:ascii="Times New Roman" w:hAnsi="Times New Roman" w:cs="Times New Roman"/>
          <w:color w:val="auto"/>
          <w:lang w:val="en-US"/>
        </w:rPr>
        <w:t>.org&gt;</w:t>
      </w:r>
    </w:p>
    <w:p w:rsidR="00E21AEA" w:rsidRPr="00CA500E" w:rsidRDefault="00E21AEA" w:rsidP="00CA500E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9103F6" w:rsidRPr="00CA500E" w:rsidRDefault="00E21AEA" w:rsidP="00CA500E">
      <w:pPr>
        <w:rPr>
          <w:szCs w:val="24"/>
          <w:lang w:val="en-US"/>
        </w:rPr>
      </w:pPr>
      <w:r w:rsidRPr="00CA500E">
        <w:rPr>
          <w:rFonts w:ascii="TimesNewRomanPSMT" w:eastAsia="Calibri" w:hAnsi="TimesNewRomanPSMT" w:cs="TimesNewRomanPSMT"/>
          <w:szCs w:val="24"/>
          <w:lang w:val="en-US" w:eastAsia="pt-BR"/>
        </w:rPr>
        <w:t>PAPACONSTANTINOU, G., SAKURAI, N., WYCKOFF, A. Domestic and international product-embodied R&amp;D diffusion.</w:t>
      </w:r>
      <w:r w:rsidRPr="00CA500E">
        <w:rPr>
          <w:rFonts w:ascii="TimesNewRomanPSMT" w:eastAsia="Calibri" w:hAnsi="TimesNewRomanPSMT" w:cs="TimesNewRomanPSMT"/>
          <w:b/>
          <w:szCs w:val="24"/>
          <w:lang w:val="en-US" w:eastAsia="pt-BR"/>
        </w:rPr>
        <w:t>Research Poli</w:t>
      </w:r>
      <w:r w:rsidR="00112123" w:rsidRPr="00CA500E">
        <w:rPr>
          <w:rFonts w:ascii="TimesNewRomanPSMT" w:eastAsia="Calibri" w:hAnsi="TimesNewRomanPSMT" w:cs="TimesNewRomanPSMT"/>
          <w:b/>
          <w:szCs w:val="24"/>
          <w:lang w:val="en-US" w:eastAsia="pt-BR"/>
        </w:rPr>
        <w:t>c</w:t>
      </w:r>
      <w:r w:rsidRPr="00CA500E">
        <w:rPr>
          <w:rFonts w:ascii="TimesNewRomanPSMT" w:eastAsia="Calibri" w:hAnsi="TimesNewRomanPSMT" w:cs="TimesNewRomanPSMT"/>
          <w:b/>
          <w:szCs w:val="24"/>
          <w:lang w:val="en-US" w:eastAsia="pt-BR"/>
        </w:rPr>
        <w:t>y</w:t>
      </w:r>
      <w:r w:rsidRPr="00CA500E">
        <w:rPr>
          <w:rFonts w:ascii="TimesNewRomanPSMT" w:eastAsia="Calibri" w:hAnsi="TimesNewRomanPSMT" w:cs="TimesNewRomanPSMT"/>
          <w:szCs w:val="24"/>
          <w:lang w:val="en-US" w:eastAsia="pt-BR"/>
        </w:rPr>
        <w:t xml:space="preserve">, v. 27, p. 301-314, </w:t>
      </w:r>
      <w:r w:rsidRPr="00CA500E">
        <w:rPr>
          <w:szCs w:val="24"/>
          <w:lang w:val="en-US"/>
        </w:rPr>
        <w:t>1998.</w:t>
      </w:r>
    </w:p>
    <w:p w:rsidR="0095526B" w:rsidRPr="00CA500E" w:rsidRDefault="0095526B" w:rsidP="00CA500E">
      <w:pPr>
        <w:rPr>
          <w:szCs w:val="24"/>
          <w:lang w:val="en-US"/>
        </w:rPr>
      </w:pPr>
    </w:p>
    <w:p w:rsidR="0095526B" w:rsidRPr="00CA500E" w:rsidRDefault="0095526B" w:rsidP="00CA500E">
      <w:pPr>
        <w:rPr>
          <w:szCs w:val="24"/>
        </w:rPr>
      </w:pPr>
      <w:r w:rsidRPr="00CA500E">
        <w:rPr>
          <w:szCs w:val="24"/>
          <w:lang w:val="en-US"/>
        </w:rPr>
        <w:t xml:space="preserve">PAVITT, K. Sectoral patterns of technological change: towards a taxonomy anda theory. </w:t>
      </w:r>
      <w:r w:rsidRPr="00CA500E">
        <w:rPr>
          <w:b/>
          <w:szCs w:val="24"/>
        </w:rPr>
        <w:t>Research</w:t>
      </w:r>
      <w:r w:rsidR="006776F2">
        <w:rPr>
          <w:b/>
          <w:szCs w:val="24"/>
        </w:rPr>
        <w:t xml:space="preserve"> </w:t>
      </w:r>
      <w:r w:rsidRPr="00CA500E">
        <w:rPr>
          <w:b/>
          <w:szCs w:val="24"/>
        </w:rPr>
        <w:t>Policy</w:t>
      </w:r>
      <w:r w:rsidRPr="00CA500E">
        <w:rPr>
          <w:szCs w:val="24"/>
        </w:rPr>
        <w:t>, v. 13, p. 343–373, 1984</w:t>
      </w:r>
    </w:p>
    <w:p w:rsidR="0095526B" w:rsidRPr="00CA500E" w:rsidRDefault="0095526B" w:rsidP="00CA500E">
      <w:pPr>
        <w:rPr>
          <w:szCs w:val="24"/>
        </w:rPr>
      </w:pPr>
    </w:p>
    <w:p w:rsidR="009103F6" w:rsidRPr="00CA500E" w:rsidRDefault="009103F6" w:rsidP="00CA500E">
      <w:pPr>
        <w:rPr>
          <w:szCs w:val="24"/>
        </w:rPr>
      </w:pPr>
      <w:r w:rsidRPr="00CA500E">
        <w:rPr>
          <w:szCs w:val="24"/>
        </w:rPr>
        <w:t>PINTEC</w:t>
      </w:r>
      <w:r w:rsidR="00E80D4D" w:rsidRPr="00CA500E">
        <w:rPr>
          <w:szCs w:val="24"/>
        </w:rPr>
        <w:t>–</w:t>
      </w:r>
      <w:r w:rsidR="00CE0186" w:rsidRPr="00CA500E">
        <w:rPr>
          <w:szCs w:val="24"/>
        </w:rPr>
        <w:t xml:space="preserve"> Pesquisa Industrial de Inovação Tecnológica</w:t>
      </w:r>
      <w:r w:rsidR="00E80D4D" w:rsidRPr="00CA500E">
        <w:rPr>
          <w:szCs w:val="24"/>
        </w:rPr>
        <w:t xml:space="preserve"> 2003-2005</w:t>
      </w:r>
      <w:r w:rsidR="00CE0186" w:rsidRPr="00CA500E">
        <w:rPr>
          <w:szCs w:val="24"/>
        </w:rPr>
        <w:t xml:space="preserve">. Disponível em </w:t>
      </w:r>
      <w:r w:rsidR="00E80D4D" w:rsidRPr="00CA500E">
        <w:rPr>
          <w:szCs w:val="24"/>
        </w:rPr>
        <w:t>&lt;http:// http://www.ibge.gov.br &gt;.</w:t>
      </w:r>
    </w:p>
    <w:p w:rsidR="00E21AEA" w:rsidRPr="00CA500E" w:rsidRDefault="00E21AEA" w:rsidP="00CA500E">
      <w:pPr>
        <w:rPr>
          <w:szCs w:val="24"/>
        </w:rPr>
      </w:pPr>
    </w:p>
    <w:p w:rsidR="0095526B" w:rsidRPr="00CA500E" w:rsidRDefault="00CE0186" w:rsidP="00CA500E">
      <w:pPr>
        <w:rPr>
          <w:szCs w:val="24"/>
          <w:lang w:val="en-US"/>
        </w:rPr>
      </w:pPr>
      <w:r w:rsidRPr="00CA500E">
        <w:rPr>
          <w:szCs w:val="24"/>
          <w:lang w:val="en-US"/>
        </w:rPr>
        <w:t>RASMUSSEN, P.N</w:t>
      </w:r>
      <w:r w:rsidR="00E21AEA" w:rsidRPr="00CA500E">
        <w:rPr>
          <w:szCs w:val="24"/>
          <w:lang w:val="en-US"/>
        </w:rPr>
        <w:t xml:space="preserve">. </w:t>
      </w:r>
      <w:r w:rsidR="00E21AEA" w:rsidRPr="00CA500E">
        <w:rPr>
          <w:b/>
          <w:szCs w:val="24"/>
          <w:lang w:val="en-US"/>
        </w:rPr>
        <w:t xml:space="preserve">Studies in Inter-sectoral </w:t>
      </w:r>
      <w:r w:rsidR="00112123" w:rsidRPr="00CA500E">
        <w:rPr>
          <w:b/>
          <w:szCs w:val="24"/>
          <w:lang w:val="en-US"/>
        </w:rPr>
        <w:t>r</w:t>
      </w:r>
      <w:r w:rsidR="00E21AEA" w:rsidRPr="00CA500E">
        <w:rPr>
          <w:b/>
          <w:szCs w:val="24"/>
          <w:lang w:val="en-US"/>
        </w:rPr>
        <w:t>elations</w:t>
      </w:r>
      <w:r w:rsidR="00E21AEA" w:rsidRPr="00CA500E">
        <w:rPr>
          <w:szCs w:val="24"/>
          <w:lang w:val="en-US"/>
        </w:rPr>
        <w:t>.</w:t>
      </w:r>
      <w:r w:rsidR="006776F2">
        <w:rPr>
          <w:szCs w:val="24"/>
          <w:lang w:val="en-US"/>
        </w:rPr>
        <w:t xml:space="preserve"> </w:t>
      </w:r>
      <w:r w:rsidR="00E21AEA" w:rsidRPr="00CA500E">
        <w:rPr>
          <w:szCs w:val="24"/>
          <w:lang w:val="en-US"/>
        </w:rPr>
        <w:t>North-Holland,</w:t>
      </w:r>
      <w:r w:rsidR="006776F2">
        <w:rPr>
          <w:szCs w:val="24"/>
          <w:lang w:val="en-US"/>
        </w:rPr>
        <w:t xml:space="preserve"> </w:t>
      </w:r>
      <w:r w:rsidRPr="00CA500E">
        <w:rPr>
          <w:szCs w:val="24"/>
          <w:lang w:val="en-US"/>
        </w:rPr>
        <w:t>Amsterdam, 1997.</w:t>
      </w:r>
    </w:p>
    <w:p w:rsidR="003D1297" w:rsidRPr="00CA500E" w:rsidRDefault="003D1297" w:rsidP="00CA500E">
      <w:pPr>
        <w:rPr>
          <w:szCs w:val="24"/>
          <w:lang w:val="en-US"/>
        </w:rPr>
      </w:pPr>
    </w:p>
    <w:p w:rsidR="003D1297" w:rsidRPr="00F65DD0" w:rsidRDefault="003D1297" w:rsidP="00CA500E">
      <w:pPr>
        <w:rPr>
          <w:szCs w:val="24"/>
        </w:rPr>
      </w:pPr>
      <w:r w:rsidRPr="00F65DD0">
        <w:rPr>
          <w:szCs w:val="24"/>
          <w:lang w:val="en-US"/>
        </w:rPr>
        <w:t xml:space="preserve">REDESIST. </w:t>
      </w:r>
      <w:r w:rsidRPr="00F65DD0">
        <w:rPr>
          <w:b/>
          <w:szCs w:val="24"/>
          <w:lang w:val="en-US"/>
        </w:rPr>
        <w:t xml:space="preserve">Comparative and Summary Report on BRICS National Innovation Systems. </w:t>
      </w:r>
      <w:r w:rsidRPr="00F65DD0">
        <w:rPr>
          <w:szCs w:val="24"/>
        </w:rPr>
        <w:t>Disponível em:&lt;http://www.ie.ufrj.br/redesist/&gt; . Acesso em 13 de maio de 2011.</w:t>
      </w:r>
    </w:p>
    <w:p w:rsidR="002B7BC2" w:rsidRPr="00F65DD0" w:rsidRDefault="002B7BC2" w:rsidP="00CA500E">
      <w:pPr>
        <w:rPr>
          <w:szCs w:val="24"/>
        </w:rPr>
      </w:pPr>
    </w:p>
    <w:p w:rsidR="00E21AEA" w:rsidRPr="00F65DD0" w:rsidRDefault="0095526B" w:rsidP="00CA500E">
      <w:pPr>
        <w:rPr>
          <w:rFonts w:ascii="TimesNewRomanPSMT" w:eastAsia="Calibri" w:hAnsi="TimesNewRomanPSMT" w:cs="TimesNewRomanPSMT"/>
          <w:szCs w:val="24"/>
          <w:lang w:val="en-US" w:eastAsia="pt-BR"/>
        </w:rPr>
      </w:pPr>
      <w:r w:rsidRPr="00F65DD0">
        <w:rPr>
          <w:szCs w:val="24"/>
          <w:lang w:val="en-US"/>
        </w:rPr>
        <w:t>SAKURAI, N., PAPACONSTANTINOU, G., IOANNIDIS, E. Impact of R&amp;D andTechnology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 xml:space="preserve"> Diffusion on Productivity Growth: Empirical Evidence for 10 </w:t>
      </w:r>
      <w:r w:rsidR="00715385" w:rsidRPr="00F65DD0">
        <w:rPr>
          <w:rFonts w:ascii="TimesNewRomanPSMT" w:eastAsia="Calibri" w:hAnsi="TimesNewRomanPSMT" w:cs="TimesNewRomanPSMT"/>
          <w:szCs w:val="24"/>
          <w:lang w:val="en-US" w:eastAsia="pt-BR"/>
        </w:rPr>
        <w:t>OCDE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 xml:space="preserve">Countries. </w:t>
      </w:r>
      <w:r w:rsidR="00E21AEA" w:rsidRPr="00F65DD0">
        <w:rPr>
          <w:rFonts w:eastAsia="Calibri"/>
          <w:b/>
          <w:iCs/>
          <w:szCs w:val="24"/>
          <w:lang w:val="en-US" w:eastAsia="pt-BR"/>
        </w:rPr>
        <w:t xml:space="preserve">Economic </w:t>
      </w:r>
      <w:r w:rsidRPr="00F65DD0">
        <w:rPr>
          <w:rFonts w:eastAsia="Calibri"/>
          <w:b/>
          <w:iCs/>
          <w:szCs w:val="24"/>
          <w:lang w:val="en-US" w:eastAsia="pt-BR"/>
        </w:rPr>
        <w:t>Systems Research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, v. 9, n. 1, p. 81-109, 1997.</w:t>
      </w:r>
    </w:p>
    <w:p w:rsidR="00E21AEA" w:rsidRPr="00F65DD0" w:rsidRDefault="00E21AEA" w:rsidP="00CA500E">
      <w:pPr>
        <w:rPr>
          <w:rFonts w:ascii="TimesNewRomanPSMT" w:eastAsia="Calibri" w:hAnsi="TimesNewRomanPSMT" w:cs="TimesNewRomanPSMT"/>
          <w:szCs w:val="24"/>
          <w:lang w:val="en-US" w:eastAsia="pt-BR"/>
        </w:rPr>
      </w:pPr>
    </w:p>
    <w:p w:rsidR="0095526B" w:rsidRPr="00F65DD0" w:rsidRDefault="00E21AEA" w:rsidP="00CA500E">
      <w:pPr>
        <w:autoSpaceDE w:val="0"/>
        <w:autoSpaceDN w:val="0"/>
        <w:adjustRightInd w:val="0"/>
        <w:rPr>
          <w:szCs w:val="24"/>
          <w:lang w:val="en-US"/>
        </w:rPr>
      </w:pP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SCHERER, F. M. Inter-Industry Technology Flows and Productivity Growth.</w:t>
      </w:r>
      <w:r w:rsidRPr="00F65DD0">
        <w:rPr>
          <w:rFonts w:eastAsia="Calibri"/>
          <w:b/>
          <w:iCs/>
          <w:szCs w:val="24"/>
          <w:lang w:val="en-US" w:eastAsia="pt-BR"/>
        </w:rPr>
        <w:t>Review ofEconomics and Statistics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, v. 64, p. 627-634, 1982.</w:t>
      </w:r>
    </w:p>
    <w:p w:rsidR="00E21AEA" w:rsidRPr="00F65DD0" w:rsidRDefault="00E21AEA" w:rsidP="00CA500E">
      <w:pPr>
        <w:rPr>
          <w:szCs w:val="24"/>
          <w:lang w:val="en-US"/>
        </w:rPr>
      </w:pPr>
    </w:p>
    <w:p w:rsidR="00E21AEA" w:rsidRPr="00F65DD0" w:rsidRDefault="00CE0186" w:rsidP="00CA500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  <w:lang w:val="en-US" w:eastAsia="pt-BR"/>
        </w:rPr>
      </w:pP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VAN MEIJL</w:t>
      </w:r>
      <w:r w:rsidR="003138A7">
        <w:rPr>
          <w:rFonts w:ascii="TimesNewRomanPSMT" w:eastAsia="Calibri" w:hAnsi="TimesNewRomanPSMT" w:cs="TimesNewRomanPSMT"/>
          <w:szCs w:val="24"/>
          <w:lang w:val="en-US" w:eastAsia="pt-BR"/>
        </w:rPr>
        <w:t>, H</w:t>
      </w:r>
      <w:r w:rsidR="00F65DD0">
        <w:rPr>
          <w:rFonts w:ascii="TimesNewRomanPSMT" w:eastAsia="Calibri" w:hAnsi="TimesNewRomanPSMT" w:cs="TimesNewRomanPSMT"/>
          <w:szCs w:val="24"/>
          <w:lang w:val="en-US" w:eastAsia="pt-BR"/>
        </w:rPr>
        <w:t>.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 xml:space="preserve"> Measuring Intersectoral Spillovers: French Evidence. </w:t>
      </w:r>
      <w:r w:rsidR="00E21AEA" w:rsidRPr="00F65DD0">
        <w:rPr>
          <w:rFonts w:eastAsia="Calibri"/>
          <w:b/>
          <w:iCs/>
          <w:szCs w:val="24"/>
          <w:lang w:val="en-US" w:eastAsia="pt-BR"/>
        </w:rPr>
        <w:t>Economic Systems Research</w:t>
      </w:r>
      <w:r w:rsidR="00E21AEA" w:rsidRPr="00F65DD0">
        <w:rPr>
          <w:rFonts w:ascii="TimesNewRomanPSMT" w:eastAsia="Calibri" w:hAnsi="TimesNewRomanPSMT" w:cs="TimesNewRomanPSMT"/>
          <w:szCs w:val="24"/>
          <w:lang w:val="en-US" w:eastAsia="pt-BR"/>
        </w:rPr>
        <w:t xml:space="preserve">, v.9, n. 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1</w:t>
      </w:r>
      <w:r w:rsidR="00E21AEA" w:rsidRPr="00F65DD0">
        <w:rPr>
          <w:rFonts w:ascii="TimesNewRomanPSMT" w:eastAsia="Calibri" w:hAnsi="TimesNewRomanPSMT" w:cs="TimesNewRomanPSMT"/>
          <w:szCs w:val="24"/>
          <w:lang w:val="en-US" w:eastAsia="pt-BR"/>
        </w:rPr>
        <w:t xml:space="preserve">, p. 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25</w:t>
      </w:r>
      <w:r w:rsidR="00E21AEA" w:rsidRPr="00F65DD0">
        <w:rPr>
          <w:rFonts w:ascii="TimesNewRomanPSMT" w:eastAsia="Calibri" w:hAnsi="TimesNewRomanPSMT" w:cs="TimesNewRomanPSMT"/>
          <w:szCs w:val="24"/>
          <w:lang w:val="en-US" w:eastAsia="pt-BR"/>
        </w:rPr>
        <w:t>-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46</w:t>
      </w:r>
      <w:r w:rsidR="00E21AEA" w:rsidRPr="00F65DD0">
        <w:rPr>
          <w:rFonts w:ascii="TimesNewRomanPSMT" w:eastAsia="Calibri" w:hAnsi="TimesNewRomanPSMT" w:cs="TimesNewRomanPSMT"/>
          <w:szCs w:val="24"/>
          <w:lang w:val="en-US" w:eastAsia="pt-BR"/>
        </w:rPr>
        <w:t>, 1997.</w:t>
      </w:r>
    </w:p>
    <w:p w:rsidR="00E21AEA" w:rsidRPr="00F65DD0" w:rsidRDefault="00E21AEA" w:rsidP="00CA500E">
      <w:pPr>
        <w:rPr>
          <w:szCs w:val="24"/>
          <w:lang w:val="en-US"/>
        </w:rPr>
      </w:pPr>
    </w:p>
    <w:p w:rsidR="00CC7D56" w:rsidRPr="00F65DD0" w:rsidRDefault="00CE0186" w:rsidP="00CA500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4"/>
          <w:lang w:val="en-US" w:eastAsia="pt-BR"/>
        </w:rPr>
      </w:pPr>
      <w:r w:rsidRPr="00F65DD0">
        <w:rPr>
          <w:szCs w:val="24"/>
          <w:lang w:val="en-US"/>
        </w:rPr>
        <w:t>VERSPAGEN</w:t>
      </w:r>
      <w:r w:rsidR="003138A7">
        <w:rPr>
          <w:szCs w:val="24"/>
          <w:lang w:val="en-US"/>
        </w:rPr>
        <w:t xml:space="preserve">, </w:t>
      </w:r>
      <w:r w:rsidR="000E52F7">
        <w:rPr>
          <w:szCs w:val="24"/>
          <w:lang w:val="en-US"/>
        </w:rPr>
        <w:t>B</w:t>
      </w:r>
      <w:r w:rsidR="00F65DD0">
        <w:rPr>
          <w:szCs w:val="24"/>
          <w:lang w:val="en-US"/>
        </w:rPr>
        <w:t xml:space="preserve">. </w:t>
      </w:r>
      <w:r w:rsidRPr="00F65DD0">
        <w:rPr>
          <w:szCs w:val="24"/>
          <w:lang w:val="en-US"/>
        </w:rPr>
        <w:t>Measuring Intersectoral Technology Spillovers: Estimates from theEuropean and US Patent Office Databases.</w:t>
      </w:r>
      <w:r w:rsidR="00E21AEA" w:rsidRPr="00F65DD0">
        <w:rPr>
          <w:rFonts w:eastAsia="Calibri"/>
          <w:b/>
          <w:iCs/>
          <w:szCs w:val="24"/>
          <w:lang w:val="en-US" w:eastAsia="pt-BR"/>
        </w:rPr>
        <w:t>Economic Systems Research</w:t>
      </w:r>
      <w:r w:rsidR="00E21AEA" w:rsidRPr="00F65DD0">
        <w:rPr>
          <w:rFonts w:ascii="TimesNewRomanPSMT" w:eastAsia="Calibri" w:hAnsi="TimesNewRomanPSMT" w:cs="TimesNewRomanPSMT"/>
          <w:szCs w:val="24"/>
          <w:lang w:val="en-US" w:eastAsia="pt-BR"/>
        </w:rPr>
        <w:t xml:space="preserve">, v. 9, n. 1, p. 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47</w:t>
      </w:r>
      <w:r w:rsidR="00E21AEA" w:rsidRPr="00F65DD0">
        <w:rPr>
          <w:rFonts w:ascii="TimesNewRomanPSMT" w:eastAsia="Calibri" w:hAnsi="TimesNewRomanPSMT" w:cs="TimesNewRomanPSMT"/>
          <w:szCs w:val="24"/>
          <w:lang w:val="en-US" w:eastAsia="pt-BR"/>
        </w:rPr>
        <w:t>-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65</w:t>
      </w:r>
      <w:r w:rsidR="00E21AEA" w:rsidRPr="00F65DD0">
        <w:rPr>
          <w:rFonts w:ascii="TimesNewRomanPSMT" w:eastAsia="Calibri" w:hAnsi="TimesNewRomanPSMT" w:cs="TimesNewRomanPSMT"/>
          <w:szCs w:val="24"/>
          <w:lang w:val="en-US" w:eastAsia="pt-BR"/>
        </w:rPr>
        <w:t>, 1997.</w:t>
      </w:r>
    </w:p>
    <w:p w:rsidR="00E21AEA" w:rsidRDefault="00E21AEA" w:rsidP="00CA500E">
      <w:pPr>
        <w:rPr>
          <w:szCs w:val="24"/>
          <w:lang w:val="en-US"/>
        </w:rPr>
      </w:pPr>
    </w:p>
    <w:p w:rsidR="000E52F7" w:rsidRDefault="000E52F7" w:rsidP="000E52F7">
      <w:pPr>
        <w:rPr>
          <w:szCs w:val="24"/>
          <w:lang w:val="en-US"/>
        </w:rPr>
      </w:pPr>
      <w:r>
        <w:rPr>
          <w:szCs w:val="24"/>
          <w:lang w:val="en-US"/>
        </w:rPr>
        <w:t xml:space="preserve">VUORI, S. </w:t>
      </w:r>
      <w:r w:rsidRPr="000E52F7">
        <w:rPr>
          <w:szCs w:val="24"/>
          <w:lang w:val="en-US"/>
        </w:rPr>
        <w:t>Interindustry Technology Flows and Productivity in FinnishManufacturing</w:t>
      </w:r>
      <w:r>
        <w:rPr>
          <w:szCs w:val="24"/>
          <w:lang w:val="en-US"/>
        </w:rPr>
        <w:t xml:space="preserve">. </w:t>
      </w:r>
      <w:r w:rsidRPr="00F65DD0">
        <w:rPr>
          <w:rFonts w:eastAsia="Calibri"/>
          <w:b/>
          <w:iCs/>
          <w:szCs w:val="24"/>
          <w:lang w:val="en-US" w:eastAsia="pt-BR"/>
        </w:rPr>
        <w:t>Economic Systems Research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 xml:space="preserve">, v. 9, n. 1, p. </w:t>
      </w:r>
      <w:r>
        <w:rPr>
          <w:rFonts w:ascii="TimesNewRomanPSMT" w:eastAsia="Calibri" w:hAnsi="TimesNewRomanPSMT" w:cs="TimesNewRomanPSMT"/>
          <w:szCs w:val="24"/>
          <w:lang w:val="en-US" w:eastAsia="pt-BR"/>
        </w:rPr>
        <w:t>67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-</w:t>
      </w:r>
      <w:r>
        <w:rPr>
          <w:rFonts w:ascii="TimesNewRomanPSMT" w:eastAsia="Calibri" w:hAnsi="TimesNewRomanPSMT" w:cs="TimesNewRomanPSMT"/>
          <w:szCs w:val="24"/>
          <w:lang w:val="en-US" w:eastAsia="pt-BR"/>
        </w:rPr>
        <w:t>80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, 1997.</w:t>
      </w:r>
    </w:p>
    <w:p w:rsidR="000E52F7" w:rsidRPr="00F65DD0" w:rsidRDefault="000E52F7" w:rsidP="00CA500E">
      <w:pPr>
        <w:rPr>
          <w:szCs w:val="24"/>
          <w:lang w:val="en-US"/>
        </w:rPr>
      </w:pPr>
    </w:p>
    <w:p w:rsidR="00CC7D56" w:rsidRPr="00F65DD0" w:rsidRDefault="0095526B" w:rsidP="00CA500E">
      <w:pPr>
        <w:autoSpaceDE w:val="0"/>
        <w:autoSpaceDN w:val="0"/>
        <w:adjustRightInd w:val="0"/>
        <w:rPr>
          <w:szCs w:val="24"/>
          <w:lang w:val="en-US"/>
        </w:rPr>
      </w:pP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WOLFF, E. Spillovers, Linkages and Technical Change.</w:t>
      </w:r>
      <w:r w:rsidRPr="00F65DD0">
        <w:rPr>
          <w:rFonts w:eastAsia="Calibri"/>
          <w:b/>
          <w:iCs/>
          <w:szCs w:val="24"/>
          <w:lang w:val="en-US" w:eastAsia="pt-BR"/>
        </w:rPr>
        <w:t>Economic Systems Research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,</w:t>
      </w:r>
      <w:r w:rsidR="00CE0186" w:rsidRPr="00F65DD0">
        <w:rPr>
          <w:rFonts w:ascii="TimesNewRomanPSMT" w:eastAsia="Calibri" w:hAnsi="TimesNewRomanPSMT" w:cs="TimesNewRomanPSMT"/>
          <w:szCs w:val="24"/>
          <w:lang w:val="en-US" w:eastAsia="pt-BR"/>
        </w:rPr>
        <w:t xml:space="preserve"> v. 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9</w:t>
      </w:r>
      <w:r w:rsidR="00E80D4D" w:rsidRPr="00F65DD0">
        <w:rPr>
          <w:rFonts w:ascii="TimesNewRomanPSMT" w:eastAsia="Calibri" w:hAnsi="TimesNewRomanPSMT" w:cs="TimesNewRomanPSMT"/>
          <w:szCs w:val="24"/>
          <w:lang w:val="en-US" w:eastAsia="pt-BR"/>
        </w:rPr>
        <w:t>, n</w:t>
      </w:r>
      <w:r w:rsidR="00CE0186" w:rsidRPr="00F65DD0">
        <w:rPr>
          <w:rFonts w:ascii="TimesNewRomanPSMT" w:eastAsia="Calibri" w:hAnsi="TimesNewRomanPSMT" w:cs="TimesNewRomanPSMT"/>
          <w:szCs w:val="24"/>
          <w:lang w:val="en-US" w:eastAsia="pt-BR"/>
        </w:rPr>
        <w:t>.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>1,</w:t>
      </w:r>
      <w:r w:rsidR="00E80D4D" w:rsidRPr="00F65DD0">
        <w:rPr>
          <w:rFonts w:ascii="TimesNewRomanPSMT" w:eastAsia="Calibri" w:hAnsi="TimesNewRomanPSMT" w:cs="TimesNewRomanPSMT"/>
          <w:szCs w:val="24"/>
          <w:lang w:val="en-US" w:eastAsia="pt-BR"/>
        </w:rPr>
        <w:t xml:space="preserve"> p. 9-23,</w:t>
      </w:r>
      <w:r w:rsidRPr="00F65DD0">
        <w:rPr>
          <w:rFonts w:ascii="TimesNewRomanPSMT" w:eastAsia="Calibri" w:hAnsi="TimesNewRomanPSMT" w:cs="TimesNewRomanPSMT"/>
          <w:szCs w:val="24"/>
          <w:lang w:val="en-US" w:eastAsia="pt-BR"/>
        </w:rPr>
        <w:t xml:space="preserve"> 1997</w:t>
      </w:r>
      <w:r w:rsidR="00E80D4D" w:rsidRPr="00F65DD0">
        <w:rPr>
          <w:rFonts w:ascii="TimesNewRomanPSMT" w:eastAsia="Calibri" w:hAnsi="TimesNewRomanPSMT" w:cs="TimesNewRomanPSMT"/>
          <w:szCs w:val="24"/>
          <w:lang w:val="en-US" w:eastAsia="pt-BR"/>
        </w:rPr>
        <w:t>.</w:t>
      </w:r>
    </w:p>
    <w:p w:rsidR="00E80D4D" w:rsidRPr="00F65DD0" w:rsidRDefault="00E80D4D" w:rsidP="00CA500E">
      <w:pPr>
        <w:rPr>
          <w:szCs w:val="24"/>
          <w:lang w:val="en-US"/>
        </w:rPr>
      </w:pPr>
    </w:p>
    <w:p w:rsidR="00965681" w:rsidRPr="00F65DD0" w:rsidRDefault="00965681" w:rsidP="00965681">
      <w:pPr>
        <w:rPr>
          <w:szCs w:val="24"/>
          <w:lang w:val="en-US"/>
        </w:rPr>
      </w:pPr>
    </w:p>
    <w:p w:rsidR="00A05DEF" w:rsidRPr="000761C3" w:rsidRDefault="00A05DEF" w:rsidP="009A760E">
      <w:pPr>
        <w:jc w:val="center"/>
        <w:rPr>
          <w:b/>
          <w:szCs w:val="24"/>
          <w:lang w:val="en-US"/>
        </w:rPr>
      </w:pPr>
    </w:p>
    <w:p w:rsidR="00A05DEF" w:rsidRPr="000761C3" w:rsidRDefault="00A05DEF" w:rsidP="009A760E">
      <w:pPr>
        <w:jc w:val="center"/>
        <w:rPr>
          <w:b/>
          <w:szCs w:val="24"/>
          <w:lang w:val="en-US"/>
        </w:rPr>
      </w:pPr>
    </w:p>
    <w:p w:rsidR="00A05DEF" w:rsidRPr="000761C3" w:rsidRDefault="00A05DEF" w:rsidP="009A760E">
      <w:pPr>
        <w:jc w:val="center"/>
        <w:rPr>
          <w:b/>
          <w:szCs w:val="24"/>
          <w:lang w:val="en-US"/>
        </w:rPr>
      </w:pPr>
    </w:p>
    <w:p w:rsidR="00A05DEF" w:rsidRPr="000761C3" w:rsidRDefault="00A05DEF" w:rsidP="009A760E">
      <w:pPr>
        <w:jc w:val="center"/>
        <w:rPr>
          <w:b/>
          <w:szCs w:val="24"/>
          <w:lang w:val="en-US"/>
        </w:rPr>
      </w:pPr>
    </w:p>
    <w:p w:rsidR="00A05DEF" w:rsidRPr="000761C3" w:rsidRDefault="00A05DEF" w:rsidP="009A760E">
      <w:pPr>
        <w:jc w:val="center"/>
        <w:rPr>
          <w:b/>
          <w:szCs w:val="24"/>
          <w:lang w:val="en-US"/>
        </w:rPr>
      </w:pPr>
    </w:p>
    <w:p w:rsidR="00A05DEF" w:rsidRPr="000761C3" w:rsidRDefault="00A05DEF" w:rsidP="009A760E">
      <w:pPr>
        <w:jc w:val="center"/>
        <w:rPr>
          <w:b/>
          <w:szCs w:val="24"/>
          <w:lang w:val="en-US"/>
        </w:rPr>
      </w:pPr>
    </w:p>
    <w:p w:rsidR="00A05DEF" w:rsidRPr="000761C3" w:rsidRDefault="00A05DEF" w:rsidP="009A760E">
      <w:pPr>
        <w:jc w:val="center"/>
        <w:rPr>
          <w:b/>
          <w:szCs w:val="24"/>
          <w:lang w:val="en-US"/>
        </w:rPr>
      </w:pPr>
    </w:p>
    <w:p w:rsidR="00A05DEF" w:rsidRPr="000761C3" w:rsidRDefault="00A05DEF" w:rsidP="009A760E">
      <w:pPr>
        <w:jc w:val="center"/>
        <w:rPr>
          <w:b/>
          <w:szCs w:val="24"/>
          <w:lang w:val="en-US"/>
        </w:rPr>
      </w:pPr>
    </w:p>
    <w:p w:rsidR="00A05DEF" w:rsidRPr="000761C3" w:rsidRDefault="00A05DEF" w:rsidP="009A760E">
      <w:pPr>
        <w:jc w:val="center"/>
        <w:rPr>
          <w:b/>
          <w:szCs w:val="24"/>
          <w:lang w:val="en-US"/>
        </w:rPr>
      </w:pPr>
    </w:p>
    <w:p w:rsidR="00A05DEF" w:rsidRPr="000761C3" w:rsidRDefault="00A05DEF" w:rsidP="009A760E">
      <w:pPr>
        <w:jc w:val="center"/>
        <w:rPr>
          <w:b/>
          <w:szCs w:val="24"/>
          <w:lang w:val="en-US"/>
        </w:rPr>
      </w:pPr>
    </w:p>
    <w:p w:rsidR="00A05DEF" w:rsidRPr="000761C3" w:rsidRDefault="00A05DEF" w:rsidP="009A760E">
      <w:pPr>
        <w:jc w:val="center"/>
        <w:rPr>
          <w:b/>
          <w:szCs w:val="24"/>
          <w:lang w:val="en-US"/>
        </w:rPr>
      </w:pPr>
    </w:p>
    <w:p w:rsidR="0034081B" w:rsidRPr="00F65DD0" w:rsidRDefault="0034081B" w:rsidP="009A760E">
      <w:pPr>
        <w:jc w:val="center"/>
        <w:rPr>
          <w:b/>
          <w:szCs w:val="24"/>
        </w:rPr>
      </w:pPr>
      <w:r w:rsidRPr="00F65DD0">
        <w:rPr>
          <w:b/>
          <w:szCs w:val="24"/>
        </w:rPr>
        <w:lastRenderedPageBreak/>
        <w:t>Anexos</w:t>
      </w:r>
    </w:p>
    <w:p w:rsidR="00922158" w:rsidRPr="00F65DD0" w:rsidRDefault="00922158" w:rsidP="009A760E">
      <w:pPr>
        <w:jc w:val="center"/>
        <w:rPr>
          <w:szCs w:val="24"/>
        </w:rPr>
      </w:pPr>
      <w:r w:rsidRPr="00F65DD0">
        <w:rPr>
          <w:szCs w:val="24"/>
        </w:rPr>
        <w:t>Anexo I – Compatibilização Matriz Insumo-Porduto e Classificação proposta</w:t>
      </w:r>
    </w:p>
    <w:tbl>
      <w:tblPr>
        <w:tblW w:w="895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6770"/>
        <w:gridCol w:w="2180"/>
      </w:tblGrid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 xml:space="preserve">Insumo Produto </w:t>
            </w:r>
            <w:r w:rsidR="00715385" w:rsidRPr="00F9177B">
              <w:rPr>
                <w:color w:val="000000"/>
                <w:sz w:val="22"/>
                <w:lang w:eastAsia="pt-BR"/>
              </w:rPr>
              <w:t>OCDE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Classificação proposta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1 Agriculture, hunting, forestry and fishing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2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2 Mining and</w:t>
            </w:r>
            <w:r w:rsidR="006776F2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quarrying (energy)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1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3 Mining and quarrying (non-energy)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4 Food products, beverages and tobacco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2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5 Textiles, textile products, leather and footwear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2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6 Wood and products of wood and cork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2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7 Pulp, paper, paper products, printing and publishing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2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8 Coke, refined petroleum products and nuclear fuel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1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9Chemicals</w:t>
            </w:r>
            <w:r w:rsidR="006776F2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excluding</w:t>
            </w:r>
            <w:r w:rsidR="006776F2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pharmaceuticals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4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10 Pharmaceuticals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6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11 Rubber&amp;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plastics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products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12 Other non-metallic mineral products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13 Iron &amp;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steel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14 Non-ferrous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metals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15 Fabricated metal products, except machinery &amp; equipment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4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16 Machinery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&amp;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equipment, nec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5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17 Office, accounting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&amp;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computing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machinery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6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18 Electricalmachinery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&amp;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apparatus, nec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5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19 Radio,television&amp; communication equipment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6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20 Medical, precision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&amp;</w:t>
            </w:r>
            <w:r w:rsidR="0084454B">
              <w:rPr>
                <w:color w:val="000000"/>
                <w:sz w:val="22"/>
                <w:lang w:eastAsia="pt-BR"/>
              </w:rPr>
              <w:t xml:space="preserve"> óptica</w:t>
            </w:r>
            <w:r w:rsidRPr="00F9177B">
              <w:rPr>
                <w:color w:val="000000"/>
                <w:sz w:val="22"/>
                <w:lang w:eastAsia="pt-BR"/>
              </w:rPr>
              <w:t>l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instruments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6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21 Motor vehicles, trailers &amp; semi-trailers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4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22 Building &amp; repairing of ships &amp; boats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2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23 Aircraft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&amp;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spacecraft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2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24 Railroad equipment &amp; transport equip nec.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2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25 Manufacturing nec; recycling (include Furniture)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2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26 Production, collection and distribution of electricity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1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27 Manufacture of gas; distribution of gaseous fuels through mains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1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 xml:space="preserve">28 Steam and hot water supply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1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29 Collection, purification and distribution of water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30 Construction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2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31 Wholesale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&amp;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retailtrade; repairs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32 Hotels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&amp;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restaurants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33 Land transport; transport via pipelines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34 Water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transport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35 Air transport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36 Supporting and auxiliary transport activities; activities of travel agencies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37 Post &amp;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telecommunications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38 Finance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&amp;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insurance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39 Real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estate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activities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84454B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40 Renting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of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machinery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&amp;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equipment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41 Computer &amp;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related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activities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8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42 Research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&amp;</w:t>
            </w:r>
            <w:r w:rsidR="0084454B">
              <w:rPr>
                <w:color w:val="000000"/>
                <w:sz w:val="22"/>
                <w:lang w:eastAsia="pt-BR"/>
              </w:rPr>
              <w:t xml:space="preserve"> </w:t>
            </w:r>
            <w:r w:rsidRPr="00F9177B">
              <w:rPr>
                <w:color w:val="000000"/>
                <w:sz w:val="22"/>
                <w:lang w:eastAsia="pt-BR"/>
              </w:rPr>
              <w:t>development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8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43 Other Business Activities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8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44 Public admin. &amp;</w:t>
            </w:r>
            <w:r w:rsidR="0084454B">
              <w:rPr>
                <w:color w:val="000000"/>
                <w:sz w:val="22"/>
                <w:lang w:val="en-US" w:eastAsia="pt-BR"/>
              </w:rPr>
              <w:t xml:space="preserve"> </w:t>
            </w:r>
            <w:r w:rsidRPr="00F9177B">
              <w:rPr>
                <w:color w:val="000000"/>
                <w:sz w:val="22"/>
                <w:lang w:val="en-US" w:eastAsia="pt-BR"/>
              </w:rPr>
              <w:t>defence; compulsory social security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45 Education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46 Health &amp; social work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>47 Other community, social &amp; personal services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  <w:tr w:rsidR="00922158" w:rsidRPr="00F9177B" w:rsidTr="00922158">
        <w:trPr>
          <w:trHeight w:val="20"/>
          <w:jc w:val="center"/>
        </w:trPr>
        <w:tc>
          <w:tcPr>
            <w:tcW w:w="6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left"/>
              <w:rPr>
                <w:color w:val="000000"/>
                <w:sz w:val="22"/>
                <w:lang w:val="en-US" w:eastAsia="pt-BR"/>
              </w:rPr>
            </w:pPr>
            <w:r w:rsidRPr="00F9177B">
              <w:rPr>
                <w:color w:val="000000"/>
                <w:sz w:val="22"/>
                <w:lang w:val="en-US" w:eastAsia="pt-BR"/>
              </w:rPr>
              <w:t xml:space="preserve">48 Private households with employed persons &amp; extra-territorial </w:t>
            </w:r>
            <w:r w:rsidR="0084454B">
              <w:rPr>
                <w:color w:val="000000"/>
                <w:sz w:val="22"/>
                <w:lang w:val="en-US" w:eastAsia="pt-BR"/>
              </w:rPr>
              <w:t xml:space="preserve">organizations </w:t>
            </w:r>
            <w:r w:rsidRPr="00F9177B">
              <w:rPr>
                <w:color w:val="000000"/>
                <w:sz w:val="22"/>
                <w:lang w:val="en-US" w:eastAsia="pt-BR"/>
              </w:rPr>
              <w:t>&amp; bodies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158" w:rsidRPr="00F9177B" w:rsidRDefault="00922158" w:rsidP="00965681">
            <w:pPr>
              <w:jc w:val="center"/>
              <w:rPr>
                <w:color w:val="000000"/>
                <w:sz w:val="22"/>
                <w:lang w:eastAsia="pt-BR"/>
              </w:rPr>
            </w:pPr>
            <w:r w:rsidRPr="00F9177B">
              <w:rPr>
                <w:color w:val="000000"/>
                <w:sz w:val="22"/>
                <w:lang w:eastAsia="pt-BR"/>
              </w:rPr>
              <w:t>7</w:t>
            </w:r>
          </w:p>
        </w:tc>
      </w:tr>
    </w:tbl>
    <w:p w:rsidR="00922158" w:rsidRPr="00922158" w:rsidRDefault="00E83E5A" w:rsidP="009A760E">
      <w:pPr>
        <w:ind w:left="450"/>
      </w:pPr>
      <w:r w:rsidRPr="00E60583">
        <w:rPr>
          <w:sz w:val="20"/>
          <w:szCs w:val="20"/>
        </w:rPr>
        <w:t>Fonte:</w:t>
      </w:r>
      <w:r>
        <w:rPr>
          <w:sz w:val="20"/>
          <w:szCs w:val="20"/>
        </w:rPr>
        <w:t xml:space="preserve"> Elaboração própria com base em Hauknes e Knell (2009).</w:t>
      </w:r>
    </w:p>
    <w:p w:rsidR="00965681" w:rsidRDefault="00965681" w:rsidP="00965681"/>
    <w:p w:rsidR="00965681" w:rsidRDefault="00965681" w:rsidP="00965681"/>
    <w:p w:rsidR="00E83E5A" w:rsidRPr="00F65DD0" w:rsidRDefault="00E83E5A" w:rsidP="009A760E">
      <w:pPr>
        <w:jc w:val="center"/>
        <w:rPr>
          <w:szCs w:val="24"/>
        </w:rPr>
      </w:pPr>
      <w:r w:rsidRPr="00F65DD0">
        <w:rPr>
          <w:szCs w:val="24"/>
        </w:rPr>
        <w:lastRenderedPageBreak/>
        <w:t xml:space="preserve">Anexo II – Compatibilização ANBERD, PINTEC e </w:t>
      </w:r>
      <w:r w:rsidR="002A48F5" w:rsidRPr="00F65DD0">
        <w:rPr>
          <w:szCs w:val="24"/>
        </w:rPr>
        <w:t>c</w:t>
      </w:r>
      <w:r w:rsidRPr="00F65DD0">
        <w:rPr>
          <w:szCs w:val="24"/>
        </w:rPr>
        <w:t>lassificação proposta.</w:t>
      </w:r>
    </w:p>
    <w:tbl>
      <w:tblPr>
        <w:tblW w:w="876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2800"/>
        <w:gridCol w:w="2680"/>
        <w:gridCol w:w="3280"/>
      </w:tblGrid>
      <w:tr w:rsidR="00F62837" w:rsidRPr="00F65DD0" w:rsidTr="00965681">
        <w:trPr>
          <w:trHeight w:val="315"/>
          <w:jc w:val="center"/>
        </w:trPr>
        <w:tc>
          <w:tcPr>
            <w:tcW w:w="28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2A48F5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Classificação Proposta</w:t>
            </w:r>
          </w:p>
        </w:tc>
        <w:tc>
          <w:tcPr>
            <w:tcW w:w="26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2A48F5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Setores ANBERD</w:t>
            </w:r>
          </w:p>
        </w:tc>
        <w:tc>
          <w:tcPr>
            <w:tcW w:w="32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2A48F5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Setores PINTEC</w:t>
            </w:r>
          </w:p>
        </w:tc>
      </w:tr>
      <w:tr w:rsidR="00F62837" w:rsidRPr="00F65DD0" w:rsidTr="00965681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lef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 xml:space="preserve">1 </w:t>
            </w:r>
            <w:r w:rsidR="00AF055D" w:rsidRPr="00F65DD0">
              <w:rPr>
                <w:color w:val="000000"/>
                <w:szCs w:val="24"/>
                <w:lang w:eastAsia="pt-BR"/>
              </w:rPr>
              <w:t>–</w:t>
            </w:r>
            <w:r w:rsidRPr="00F65DD0">
              <w:rPr>
                <w:color w:val="000000"/>
                <w:szCs w:val="24"/>
                <w:lang w:eastAsia="pt-BR"/>
              </w:rPr>
              <w:t xml:space="preserve"> Energia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23, 40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righ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23</w:t>
            </w:r>
          </w:p>
        </w:tc>
      </w:tr>
      <w:tr w:rsidR="00F62837" w:rsidRPr="00F65DD0" w:rsidTr="00965681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lef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2 - Tradicional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15-22 ,36-37,45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righ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15-22, 36-37</w:t>
            </w:r>
          </w:p>
        </w:tc>
      </w:tr>
      <w:tr w:rsidR="00F62837" w:rsidRPr="00F65DD0" w:rsidTr="00965681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lef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 xml:space="preserve">3 </w:t>
            </w:r>
            <w:r w:rsidR="0084454B">
              <w:rPr>
                <w:color w:val="000000"/>
                <w:szCs w:val="24"/>
                <w:lang w:eastAsia="pt-BR"/>
              </w:rPr>
              <w:t>–</w:t>
            </w:r>
            <w:r w:rsidRPr="00F65DD0">
              <w:rPr>
                <w:color w:val="000000"/>
                <w:szCs w:val="24"/>
                <w:lang w:eastAsia="pt-BR"/>
              </w:rPr>
              <w:t xml:space="preserve"> Materiais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25-27, 41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righ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25-27</w:t>
            </w:r>
          </w:p>
        </w:tc>
      </w:tr>
      <w:tr w:rsidR="00F62837" w:rsidRPr="00F65DD0" w:rsidTr="00965681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lef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 xml:space="preserve">4 - Intensivo em </w:t>
            </w:r>
            <w:r w:rsidR="00AF055D" w:rsidRPr="00F65DD0">
              <w:rPr>
                <w:color w:val="000000"/>
                <w:szCs w:val="24"/>
                <w:lang w:eastAsia="pt-BR"/>
              </w:rPr>
              <w:t>Escala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 xml:space="preserve">24 (exceto 2423), 28, 34-35,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righ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24(exc. 24.5), 28, 34, 35</w:t>
            </w:r>
          </w:p>
        </w:tc>
      </w:tr>
      <w:tr w:rsidR="00F62837" w:rsidRPr="00F65DD0" w:rsidTr="00965681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lef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5 - Fornecedor</w:t>
            </w:r>
            <w:r w:rsidR="00AF055D" w:rsidRPr="00F65DD0">
              <w:rPr>
                <w:color w:val="000000"/>
                <w:szCs w:val="24"/>
                <w:lang w:eastAsia="pt-BR"/>
              </w:rPr>
              <w:t>Especializado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29, 31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righ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29,31</w:t>
            </w:r>
          </w:p>
        </w:tc>
      </w:tr>
      <w:tr w:rsidR="00F62837" w:rsidRPr="00F65DD0" w:rsidTr="00965681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lef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 xml:space="preserve">6 - Baseado em </w:t>
            </w:r>
            <w:r w:rsidR="00AF055D" w:rsidRPr="00F65DD0">
              <w:rPr>
                <w:color w:val="000000"/>
                <w:szCs w:val="24"/>
                <w:lang w:eastAsia="pt-BR"/>
              </w:rPr>
              <w:t>Ciência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2423, 30, 33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righ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24.5, 30, 32, 33</w:t>
            </w:r>
          </w:p>
        </w:tc>
      </w:tr>
      <w:tr w:rsidR="00F62837" w:rsidRPr="00F65DD0" w:rsidTr="00965681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lef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 xml:space="preserve">7 </w:t>
            </w:r>
            <w:r w:rsidR="00AF055D" w:rsidRPr="00F65DD0">
              <w:rPr>
                <w:color w:val="000000"/>
                <w:szCs w:val="24"/>
                <w:lang w:eastAsia="pt-BR"/>
              </w:rPr>
              <w:t>–</w:t>
            </w:r>
            <w:r w:rsidRPr="00F65DD0">
              <w:rPr>
                <w:color w:val="000000"/>
                <w:szCs w:val="24"/>
                <w:lang w:eastAsia="pt-BR"/>
              </w:rPr>
              <w:t xml:space="preserve"> Serviços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50-52,55,60-67,70-71,75-99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righ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61</w:t>
            </w:r>
          </w:p>
        </w:tc>
      </w:tr>
      <w:tr w:rsidR="00F62837" w:rsidRPr="00F65DD0" w:rsidTr="00965681">
        <w:trPr>
          <w:trHeight w:val="497"/>
          <w:jc w:val="center"/>
        </w:trPr>
        <w:tc>
          <w:tcPr>
            <w:tcW w:w="2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lef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 xml:space="preserve">8 </w:t>
            </w:r>
            <w:r w:rsidR="00830B36" w:rsidRPr="00F65DD0">
              <w:rPr>
                <w:color w:val="000000"/>
                <w:szCs w:val="24"/>
                <w:lang w:eastAsia="pt-BR"/>
              </w:rPr>
              <w:t>–</w:t>
            </w:r>
            <w:r w:rsidRPr="00F65DD0">
              <w:rPr>
                <w:color w:val="000000"/>
                <w:szCs w:val="24"/>
                <w:lang w:eastAsia="pt-BR"/>
              </w:rPr>
              <w:t xml:space="preserve"> KIBS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37" w:rsidRPr="00F65DD0" w:rsidRDefault="00F62837" w:rsidP="00965681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72-74</w:t>
            </w:r>
          </w:p>
        </w:tc>
        <w:tc>
          <w:tcPr>
            <w:tcW w:w="3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62837" w:rsidRPr="00F65DD0" w:rsidRDefault="00F62837" w:rsidP="00965681">
            <w:pPr>
              <w:jc w:val="right"/>
              <w:rPr>
                <w:color w:val="000000"/>
                <w:szCs w:val="24"/>
                <w:lang w:eastAsia="pt-BR"/>
              </w:rPr>
            </w:pPr>
            <w:r w:rsidRPr="00F65DD0">
              <w:rPr>
                <w:color w:val="000000"/>
                <w:szCs w:val="24"/>
                <w:lang w:eastAsia="pt-BR"/>
              </w:rPr>
              <w:t>Atividades de informáticas e serviços relacionados; P&amp;D.</w:t>
            </w:r>
          </w:p>
        </w:tc>
      </w:tr>
    </w:tbl>
    <w:p w:rsidR="00F62837" w:rsidRPr="00922158" w:rsidRDefault="00F62837" w:rsidP="009A760E">
      <w:pPr>
        <w:ind w:left="450"/>
      </w:pPr>
      <w:r w:rsidRPr="00E60583">
        <w:rPr>
          <w:sz w:val="20"/>
          <w:szCs w:val="20"/>
        </w:rPr>
        <w:t>Fonte:</w:t>
      </w:r>
      <w:r>
        <w:rPr>
          <w:sz w:val="20"/>
          <w:szCs w:val="20"/>
        </w:rPr>
        <w:t xml:space="preserve"> Elaboração própria com base em Hauknes e Knell (2009).</w:t>
      </w:r>
    </w:p>
    <w:p w:rsidR="00A05DEF" w:rsidRDefault="00A05DEF" w:rsidP="009A760E">
      <w:pPr>
        <w:jc w:val="center"/>
      </w:pPr>
    </w:p>
    <w:p w:rsidR="00830B36" w:rsidRDefault="00830B36" w:rsidP="009A760E">
      <w:pPr>
        <w:jc w:val="center"/>
      </w:pPr>
      <w:r>
        <w:t>Anexo III</w:t>
      </w:r>
      <w:r w:rsidR="004D5365">
        <w:t xml:space="preserve"> – Tabela 1 de Hauknes e Knell (2009)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6"/>
        <w:gridCol w:w="2134"/>
        <w:gridCol w:w="784"/>
        <w:gridCol w:w="1103"/>
        <w:gridCol w:w="1103"/>
        <w:gridCol w:w="1103"/>
        <w:gridCol w:w="1103"/>
        <w:gridCol w:w="833"/>
        <w:gridCol w:w="1209"/>
      </w:tblGrid>
      <w:tr w:rsidR="00830B36" w:rsidRPr="00F9177B" w:rsidTr="006F2CBB">
        <w:trPr>
          <w:cantSplit/>
          <w:trHeight w:val="20"/>
        </w:trPr>
        <w:tc>
          <w:tcPr>
            <w:tcW w:w="20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36" w:rsidRPr="00F9177B" w:rsidRDefault="00830B36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9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36" w:rsidRPr="00F9177B" w:rsidRDefault="00830B36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1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B36" w:rsidRPr="00F9177B" w:rsidRDefault="00830B36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P&amp;D Próprio</w:t>
            </w:r>
          </w:p>
        </w:tc>
        <w:tc>
          <w:tcPr>
            <w:tcW w:w="564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B36" w:rsidRPr="00F9177B" w:rsidRDefault="00830B36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P&amp;D em insumos domésticos</w:t>
            </w:r>
          </w:p>
        </w:tc>
        <w:tc>
          <w:tcPr>
            <w:tcW w:w="564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B36" w:rsidRPr="00F9177B" w:rsidRDefault="00830B36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P&amp;D em insumos importados</w:t>
            </w:r>
          </w:p>
        </w:tc>
        <w:tc>
          <w:tcPr>
            <w:tcW w:w="564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B36" w:rsidRPr="00F9177B" w:rsidRDefault="00830B36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P&amp;D em bens de capital domésticos</w:t>
            </w:r>
          </w:p>
        </w:tc>
        <w:tc>
          <w:tcPr>
            <w:tcW w:w="564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B36" w:rsidRPr="00F9177B" w:rsidRDefault="00830B36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P&amp;D em bens de capital importados</w:t>
            </w:r>
          </w:p>
        </w:tc>
        <w:tc>
          <w:tcPr>
            <w:tcW w:w="426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B36" w:rsidRPr="00F9177B" w:rsidRDefault="00830B36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Total de P&amp;D Contido</w:t>
            </w:r>
          </w:p>
        </w:tc>
        <w:tc>
          <w:tcPr>
            <w:tcW w:w="618" w:type="pct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B36" w:rsidRPr="00F9177B" w:rsidRDefault="00830B36" w:rsidP="00F65DD0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Mult</w:t>
            </w:r>
            <w:r w:rsidR="00F65DD0" w:rsidRPr="00F9177B">
              <w:rPr>
                <w:color w:val="000000"/>
                <w:sz w:val="16"/>
                <w:szCs w:val="16"/>
                <w:lang w:eastAsia="pt-BR"/>
              </w:rPr>
              <w:t>iplicador</w:t>
            </w:r>
            <w:r w:rsidRPr="00F9177B">
              <w:rPr>
                <w:color w:val="000000"/>
                <w:sz w:val="16"/>
                <w:szCs w:val="16"/>
                <w:lang w:eastAsia="pt-BR"/>
              </w:rPr>
              <w:t xml:space="preserve"> Tecnológico</w:t>
            </w:r>
          </w:p>
        </w:tc>
      </w:tr>
      <w:tr w:rsidR="00830B36" w:rsidRPr="00F9177B" w:rsidTr="006F2CBB">
        <w:trPr>
          <w:cantSplit/>
          <w:trHeight w:val="2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36" w:rsidRPr="00F9177B" w:rsidRDefault="00830B36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36" w:rsidRPr="00F9177B" w:rsidRDefault="00830B36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1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0B36" w:rsidRPr="00F9177B" w:rsidRDefault="00830B36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4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0B36" w:rsidRPr="00F9177B" w:rsidRDefault="00830B36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4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0B36" w:rsidRPr="00F9177B" w:rsidRDefault="00830B36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4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0B36" w:rsidRPr="00F9177B" w:rsidRDefault="00830B36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4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0B36" w:rsidRPr="00F9177B" w:rsidRDefault="00830B36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6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0B36" w:rsidRPr="00F9177B" w:rsidRDefault="00830B36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8" w:type="pct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0B36" w:rsidRPr="00F9177B" w:rsidRDefault="00830B36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 w:val="restart"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France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 – Energia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1,7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 – Tradicional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3,4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 – Materiais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6,9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1,8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4 - Intensivo em Escala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9,3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15,8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1,7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5 - Fornecedor Especializado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11,7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1,9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6 - Baseado em Ciência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25,3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38,1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1,5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7 – Serviços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4,9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8 – KIBS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1,6</w:t>
            </w:r>
          </w:p>
        </w:tc>
        <w:tc>
          <w:tcPr>
            <w:tcW w:w="61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2,3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Germany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 – Energia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5,6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 – Tradicional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4,4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 – Materiais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4,8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2,2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4 - Intensivo em Escala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13,6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19,2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1,4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5 - Fornecedor Especializado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9,2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1,7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6 - Baseado em Ciência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23,1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4,8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36,8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1,6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7 – Serviços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5,7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8 – KIBS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1,1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1,6</w:t>
            </w:r>
          </w:p>
        </w:tc>
        <w:tc>
          <w:tcPr>
            <w:tcW w:w="61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1,5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Norway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 – Energia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2,0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 – Tradicional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2,8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 – Materiais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5,4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2,3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4 - Intensivo em Escala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-0,2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11,9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2,5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5 - Fornecedor Especializado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8,2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14,4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1,7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6 - Baseado em Ciência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27,9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7,6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10,8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53,6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1,9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7 – Serviços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4,4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8 – KIBS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3,7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5,6</w:t>
            </w:r>
          </w:p>
        </w:tc>
        <w:tc>
          <w:tcPr>
            <w:tcW w:w="61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1,5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Sweden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 – Energia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2,8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 – Tradicional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3,2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 – Materiais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7,3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2,0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4 - Intensivo em Escala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12,1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18,6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1,5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5 - Fornecedor Especializado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9,6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15,9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1,6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6 - Baseado em Ciência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54,1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6,5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5,4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72,0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1,3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7 – Serviços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5,1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8 – KIBS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3,4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1,2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56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42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6,0</w:t>
            </w:r>
          </w:p>
        </w:tc>
        <w:tc>
          <w:tcPr>
            <w:tcW w:w="618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1,7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USA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 – Energia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3,5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 – Tradicional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5,0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 – Materiais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5,6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3,1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4 - Intensivo em Escala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10,3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18,2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1,8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5 - Fornecedor Especializado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6,7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13,2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2,0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6 - Baseado em Ciência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27,0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8,7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2,9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44,3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1,6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7 – Serviços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3,1</w:t>
            </w:r>
          </w:p>
        </w:tc>
      </w:tr>
      <w:tr w:rsidR="00AF055D" w:rsidRPr="00F9177B" w:rsidTr="006F2CBB">
        <w:trPr>
          <w:cantSplit/>
          <w:trHeight w:val="20"/>
        </w:trPr>
        <w:tc>
          <w:tcPr>
            <w:tcW w:w="208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55D" w:rsidRPr="00F9177B" w:rsidRDefault="00AF055D" w:rsidP="00965681">
            <w:pPr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8 – KIBS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5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5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0,1</w:t>
            </w:r>
          </w:p>
        </w:tc>
        <w:tc>
          <w:tcPr>
            <w:tcW w:w="5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56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4,4</w:t>
            </w:r>
          </w:p>
        </w:tc>
        <w:tc>
          <w:tcPr>
            <w:tcW w:w="6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55D" w:rsidRPr="00F9177B" w:rsidRDefault="00AF055D" w:rsidP="0096568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F9177B">
              <w:rPr>
                <w:color w:val="000000"/>
                <w:sz w:val="16"/>
                <w:szCs w:val="16"/>
                <w:lang w:eastAsia="pt-BR"/>
              </w:rPr>
              <w:t>1,4</w:t>
            </w:r>
          </w:p>
        </w:tc>
      </w:tr>
    </w:tbl>
    <w:p w:rsidR="00BE0392" w:rsidRPr="002B7BC2" w:rsidRDefault="004D5365" w:rsidP="00965681">
      <w:pPr>
        <w:rPr>
          <w:sz w:val="20"/>
          <w:szCs w:val="20"/>
        </w:rPr>
      </w:pPr>
      <w:r w:rsidRPr="002B7BC2">
        <w:rPr>
          <w:sz w:val="20"/>
          <w:szCs w:val="20"/>
        </w:rPr>
        <w:t>Fonte: Hauknes e Knell (2009)</w:t>
      </w:r>
    </w:p>
    <w:p w:rsidR="009A760E" w:rsidRDefault="009A760E" w:rsidP="009A760E">
      <w:pPr>
        <w:jc w:val="center"/>
      </w:pPr>
    </w:p>
    <w:p w:rsidR="00F9177B" w:rsidRDefault="00F9177B" w:rsidP="009A760E">
      <w:pPr>
        <w:jc w:val="center"/>
      </w:pPr>
    </w:p>
    <w:p w:rsidR="006F2CBB" w:rsidRDefault="004D5365" w:rsidP="009A760E">
      <w:pPr>
        <w:jc w:val="center"/>
      </w:pPr>
      <w:r>
        <w:lastRenderedPageBreak/>
        <w:t xml:space="preserve">Anexo IV – </w:t>
      </w:r>
      <w:r w:rsidR="002B7BC2">
        <w:t>Intensidade tecnológica rela</w:t>
      </w:r>
      <w:bookmarkStart w:id="0" w:name="_GoBack"/>
      <w:bookmarkEnd w:id="0"/>
      <w:r w:rsidR="002B7BC2">
        <w:t>tiva ao P&amp;D próprio.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9"/>
        <w:gridCol w:w="2245"/>
        <w:gridCol w:w="850"/>
        <w:gridCol w:w="970"/>
        <w:gridCol w:w="850"/>
        <w:gridCol w:w="850"/>
        <w:gridCol w:w="1110"/>
        <w:gridCol w:w="850"/>
        <w:gridCol w:w="850"/>
        <w:gridCol w:w="844"/>
      </w:tblGrid>
      <w:tr w:rsidR="00F11711" w:rsidRPr="000C6606" w:rsidTr="000C6606">
        <w:trPr>
          <w:cantSplit/>
          <w:trHeight w:val="57"/>
        </w:trPr>
        <w:tc>
          <w:tcPr>
            <w:tcW w:w="15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1 - Energia</w:t>
            </w:r>
          </w:p>
        </w:tc>
        <w:tc>
          <w:tcPr>
            <w:tcW w:w="49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2 - Tradicional</w:t>
            </w:r>
          </w:p>
        </w:tc>
        <w:tc>
          <w:tcPr>
            <w:tcW w:w="49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 xml:space="preserve">3 </w:t>
            </w:r>
            <w:r w:rsidR="004D5365" w:rsidRPr="000C6606">
              <w:rPr>
                <w:color w:val="000000"/>
                <w:sz w:val="18"/>
                <w:szCs w:val="18"/>
                <w:lang w:eastAsia="pt-BR"/>
              </w:rPr>
              <w:t>–</w:t>
            </w:r>
            <w:r w:rsidRPr="000C6606">
              <w:rPr>
                <w:color w:val="000000"/>
                <w:sz w:val="18"/>
                <w:szCs w:val="18"/>
                <w:lang w:eastAsia="pt-BR"/>
              </w:rPr>
              <w:t xml:space="preserve"> Materiais</w:t>
            </w:r>
          </w:p>
        </w:tc>
        <w:tc>
          <w:tcPr>
            <w:tcW w:w="49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4 - Intensivo em escala</w:t>
            </w:r>
          </w:p>
        </w:tc>
        <w:tc>
          <w:tcPr>
            <w:tcW w:w="49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5 - Fornecedor especializado</w:t>
            </w:r>
          </w:p>
        </w:tc>
        <w:tc>
          <w:tcPr>
            <w:tcW w:w="49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6 - Baseado em Ciência</w:t>
            </w:r>
          </w:p>
        </w:tc>
        <w:tc>
          <w:tcPr>
            <w:tcW w:w="49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7 - Serviços</w:t>
            </w:r>
          </w:p>
        </w:tc>
        <w:tc>
          <w:tcPr>
            <w:tcW w:w="49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8 - KIBS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 w:val="restart"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Brasil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 – Energia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573,93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236,04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67,32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2,65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4,04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1,15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1842,68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0,21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 – Tradicional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3,18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1798,83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6,93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0,24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589,15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0,14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 – Materiais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5,54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243,35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559,25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2,97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7,57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568,40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0,13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4 - Intensivo em Escala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41,83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1273,16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301,58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138,48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25,76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6,24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3383,43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0,57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5 - Fornecedor Especializado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21,91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199,45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49,98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2,55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144,67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3,38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831,65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0,12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6 - Baseado em Ciência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3,38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101,69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9,62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0,62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2,19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111,66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1429,44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0,21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 – Serviços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3,41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56,63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9,70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0,54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0,84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0,36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4766,48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0,13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 – KIBS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105,41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839,87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129,13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7,12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11,08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8,57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15297,27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51,76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Rússia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 – Energia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477,62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195,04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39,97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1,13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0,55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822,58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0,32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 – Tradicional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5,77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1683,86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5,36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301,49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0,13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 – Materiais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5,58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202,41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636,74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0,08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1,86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223,05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0,15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4 - Intensivo em Escala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256,51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3774,11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379,87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116,34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24,21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11790,18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7,37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5 - Fornecedor Especializado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64,33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1060,20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98,60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0,46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155,97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3444,41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2,12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6 - Baseado em Ciência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22,32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326,62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32,91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2,09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97,40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1018,23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0,64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 – Serviços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18,45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112,62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17,21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0,52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0,19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4753,06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0,16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 – KIBS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88,84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234,37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44,70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0,20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3,32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0,52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2439,36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59,23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China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 – Energia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547,18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199,66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30,90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3,10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3,25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0,55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1227,73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2,42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 – Tradicional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6,60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1857,02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8,78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0,86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1,15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0,32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886,27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1,96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 – Materiais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72,93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661,94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647,78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7,76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16,86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2,28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2105,95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4,58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4 - Intensivo em Escala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70,52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1027,51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98,62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143,34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15,64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2,89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3584,96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9,42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5 - Fornecedor Especializado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102,96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646,18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55,08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5,39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167,06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9,42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4410,27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9,57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6 - Baseado em Ciência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74,38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450,71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37,85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4,09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7,51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113,09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8063,02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24,84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 – Serviços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10,09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81,61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7,52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0,89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0,24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4902,17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1,35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 – KIBS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14,48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154,67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9,68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1,09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1,83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0,44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1289,45</w:t>
            </w:r>
          </w:p>
        </w:tc>
        <w:tc>
          <w:tcPr>
            <w:tcW w:w="49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54,56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África do Sul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 – Energia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390,53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156,03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68,12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18,06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1,87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1,74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549,31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0,33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 – Tradicional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4,31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1725,07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13,05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4,01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0,43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0,38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382,04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0,34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 – Materiais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8,76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108,01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574,22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11,25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0,91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198,23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0,16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4 - Intensivo em Escala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7,81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78,94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18,22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130,07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0,96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0,75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359,55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0,20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5 - Fornecedor Especializado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11,96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191,43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40,84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18,21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147,82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3,22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362,97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0,27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6 - Baseado em Ciência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7,64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80,54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21,25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7,99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1,07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98,17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641,69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0,76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7 – Serviços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8,31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120,55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40,10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8,56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0,74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5408,99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0,85</w:t>
            </w:r>
          </w:p>
        </w:tc>
      </w:tr>
      <w:tr w:rsidR="00F11711" w:rsidRPr="000C6606" w:rsidTr="000C6606">
        <w:trPr>
          <w:cantSplit/>
          <w:trHeight w:val="57"/>
        </w:trPr>
        <w:tc>
          <w:tcPr>
            <w:tcW w:w="150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711" w:rsidRPr="000C6606" w:rsidRDefault="00F11711" w:rsidP="00965681">
            <w:pPr>
              <w:jc w:val="left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8 – KIBS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35,87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639,93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156,63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29,82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5,09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3,58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3551,12</w:t>
            </w:r>
          </w:p>
        </w:tc>
        <w:tc>
          <w:tcPr>
            <w:tcW w:w="4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711" w:rsidRPr="000C6606" w:rsidRDefault="00F11711" w:rsidP="00965681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0C6606">
              <w:rPr>
                <w:color w:val="000000"/>
                <w:sz w:val="18"/>
                <w:szCs w:val="18"/>
                <w:lang w:eastAsia="pt-BR"/>
              </w:rPr>
              <w:t>54,64</w:t>
            </w:r>
          </w:p>
        </w:tc>
      </w:tr>
    </w:tbl>
    <w:p w:rsidR="00F11711" w:rsidRPr="002B7BC2" w:rsidRDefault="002B7BC2" w:rsidP="00965681">
      <w:pPr>
        <w:rPr>
          <w:sz w:val="20"/>
          <w:szCs w:val="20"/>
        </w:rPr>
      </w:pPr>
      <w:r w:rsidRPr="002B7BC2">
        <w:rPr>
          <w:sz w:val="20"/>
          <w:szCs w:val="20"/>
        </w:rPr>
        <w:t>Fonte: Resultado da Pesquisa.</w:t>
      </w:r>
    </w:p>
    <w:sectPr w:rsidR="00F11711" w:rsidRPr="002B7BC2" w:rsidSect="00965681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56" w:rsidRDefault="00C46F56" w:rsidP="00422D68">
      <w:r>
        <w:separator/>
      </w:r>
    </w:p>
  </w:endnote>
  <w:endnote w:type="continuationSeparator" w:id="1">
    <w:p w:rsidR="00C46F56" w:rsidRDefault="00C46F56" w:rsidP="0042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56" w:rsidRDefault="00C46F56" w:rsidP="00422D68">
      <w:r>
        <w:separator/>
      </w:r>
    </w:p>
  </w:footnote>
  <w:footnote w:type="continuationSeparator" w:id="1">
    <w:p w:rsidR="00C46F56" w:rsidRDefault="00C46F56" w:rsidP="00422D68">
      <w:r>
        <w:continuationSeparator/>
      </w:r>
    </w:p>
  </w:footnote>
  <w:footnote w:id="2">
    <w:p w:rsidR="00D15BED" w:rsidRDefault="00D15BED" w:rsidP="001B102B">
      <w:pPr>
        <w:pStyle w:val="Textodenotaderodap"/>
      </w:pPr>
      <w:r>
        <w:rPr>
          <w:rStyle w:val="Refdenotaderodap"/>
        </w:rPr>
        <w:footnoteRef/>
      </w:r>
      <w:r>
        <w:t xml:space="preserve"> A ausência da Índia nesse estudo se deve à inexistência de dados de P&amp;D comparáveis aos dados provenientes da ANBERD e PINTEC. </w:t>
      </w:r>
    </w:p>
  </w:footnote>
  <w:footnote w:id="3">
    <w:p w:rsidR="00D15BED" w:rsidRDefault="00D15BED" w:rsidP="00DA58B9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Para os resultados descritivos apresentados por OCDE (2008) deve-se ler BRIICS – Brasil, Rússia, Índia, Indonésia, China e África do Sul.</w:t>
      </w:r>
    </w:p>
  </w:footnote>
  <w:footnote w:id="4">
    <w:p w:rsidR="00D15BED" w:rsidRDefault="00D15BED" w:rsidP="00F60E4B">
      <w:pPr>
        <w:pStyle w:val="Textodenotaderodap"/>
      </w:pPr>
      <w:r>
        <w:rPr>
          <w:rStyle w:val="Refdenotaderodap"/>
        </w:rPr>
        <w:footnoteRef/>
      </w:r>
      <w:r>
        <w:t xml:space="preserve"> Baseado em Miller e Blair (2009) e Hauknes e Knell (2009)</w:t>
      </w:r>
    </w:p>
  </w:footnote>
  <w:footnote w:id="5">
    <w:p w:rsidR="00D15BED" w:rsidRPr="00E54CAD" w:rsidRDefault="00D15BED" w:rsidP="00DA58B9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E54CAD">
        <w:rPr>
          <w:lang w:val="en-US"/>
        </w:rPr>
        <w:t xml:space="preserve">Ver Miller e Blair (2009): </w:t>
      </w:r>
      <w:r w:rsidRPr="00DB3177">
        <w:rPr>
          <w:i/>
          <w:lang w:val="en-US"/>
        </w:rPr>
        <w:t>output-to-output based multiplier</w:t>
      </w:r>
      <w:r>
        <w:rPr>
          <w:lang w:val="en-US"/>
        </w:rPr>
        <w:t>.</w:t>
      </w:r>
    </w:p>
  </w:footnote>
  <w:footnote w:id="6">
    <w:p w:rsidR="00D15BED" w:rsidRDefault="00D15BED" w:rsidP="00DA58B9">
      <w:pPr>
        <w:pStyle w:val="Textodenotaderodap"/>
      </w:pPr>
      <w:r>
        <w:rPr>
          <w:rStyle w:val="Refdenotaderodap"/>
        </w:rPr>
        <w:footnoteRef/>
      </w:r>
      <w:r>
        <w:t>Hauknes e Knell (2009) elaboram melhor o problema do viés, e desenvolvem diferentes fórmulas para captar o comércio internacional, sendo que aqui será apresentada aquela de fato utilizada no trabalho dos autores.</w:t>
      </w:r>
    </w:p>
  </w:footnote>
  <w:footnote w:id="7">
    <w:p w:rsidR="00D15BED" w:rsidRDefault="00D15BED" w:rsidP="00DA58B9">
      <w:pPr>
        <w:pStyle w:val="Textodenotaderodap"/>
      </w:pPr>
      <w:r>
        <w:rPr>
          <w:rStyle w:val="Refdenotaderodap"/>
        </w:rPr>
        <w:footnoteRef/>
      </w:r>
      <w:r>
        <w:t xml:space="preserve"> Alemanha, Áustria, Bélgica, Dinamarca, Espanha, Estados Unidos, Finlândia, França, Holanda, Irlanda, Itália, Suécia e Reino Unido.</w:t>
      </w:r>
    </w:p>
  </w:footnote>
  <w:footnote w:id="8">
    <w:p w:rsidR="00D15BED" w:rsidRDefault="00D15BED" w:rsidP="00DA58B9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Maiores detalhes em Hauknes e Knell (2009)</w:t>
      </w:r>
    </w:p>
  </w:footnote>
  <w:footnote w:id="9">
    <w:p w:rsidR="00D15BED" w:rsidRDefault="00D15BED" w:rsidP="00DA7C0A">
      <w:pPr>
        <w:pStyle w:val="Textodenotaderodap"/>
      </w:pPr>
      <w:r>
        <w:rPr>
          <w:rStyle w:val="Refdenotaderodap"/>
          <w:rFonts w:eastAsiaTheme="majorEastAsia"/>
        </w:rPr>
        <w:footnoteRef/>
      </w:r>
      <w:r>
        <w:t xml:space="preserve"> Ver Anexo I.</w:t>
      </w:r>
    </w:p>
  </w:footnote>
  <w:footnote w:id="10">
    <w:p w:rsidR="00D15BED" w:rsidRPr="003501FC" w:rsidRDefault="00D15BED" w:rsidP="00D61D0B">
      <w:pPr>
        <w:pStyle w:val="Textodenotaderodap"/>
      </w:pPr>
      <w:r>
        <w:rPr>
          <w:rStyle w:val="Refdenotaderodap"/>
        </w:rPr>
        <w:footnoteRef/>
      </w:r>
      <w:r w:rsidRPr="003501FC">
        <w:t xml:space="preserve"> ANBERD é um banco de dados desenvolvido para prover analistas com dados de gastos de P&amp;D industrial compreensíveis e internacionalmente comparáveis garantindo também uma série histórica para os mesmos</w:t>
      </w:r>
      <w:r>
        <w:t xml:space="preserve"> (OECD)</w:t>
      </w:r>
      <w:r w:rsidRPr="003501FC">
        <w:t>.</w:t>
      </w:r>
    </w:p>
  </w:footnote>
  <w:footnote w:id="11">
    <w:p w:rsidR="00D15BED" w:rsidRDefault="00D15BED">
      <w:pPr>
        <w:pStyle w:val="Textodenotaderodap"/>
      </w:pPr>
      <w:r>
        <w:rPr>
          <w:rStyle w:val="Refdenotaderodap"/>
        </w:rPr>
        <w:footnoteRef/>
      </w:r>
      <w:r>
        <w:t xml:space="preserve"> O uso deste procedimento se justifica dada a suposição de que os países comparados estão num mesmo estágio de desenvolvimento industrial.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27591"/>
      <w:docPartObj>
        <w:docPartGallery w:val="Page Numbers (Top of Page)"/>
        <w:docPartUnique/>
      </w:docPartObj>
    </w:sdtPr>
    <w:sdtContent>
      <w:p w:rsidR="00D15BED" w:rsidRDefault="00D15BED">
        <w:pPr>
          <w:pStyle w:val="Cabealho"/>
          <w:jc w:val="right"/>
        </w:pPr>
        <w:fldSimple w:instr="PAGE   \* MERGEFORMAT">
          <w:r w:rsidR="0084454B">
            <w:rPr>
              <w:noProof/>
            </w:rPr>
            <w:t>19</w:t>
          </w:r>
        </w:fldSimple>
      </w:p>
    </w:sdtContent>
  </w:sdt>
  <w:p w:rsidR="00D15BED" w:rsidRDefault="00D15BE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A32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7FA9"/>
    <w:rsid w:val="00001EBE"/>
    <w:rsid w:val="0000723D"/>
    <w:rsid w:val="00023F06"/>
    <w:rsid w:val="00027029"/>
    <w:rsid w:val="0003251F"/>
    <w:rsid w:val="0003649F"/>
    <w:rsid w:val="000411C6"/>
    <w:rsid w:val="00046D1A"/>
    <w:rsid w:val="00065A90"/>
    <w:rsid w:val="00067F9D"/>
    <w:rsid w:val="000724CF"/>
    <w:rsid w:val="000761C3"/>
    <w:rsid w:val="00080B80"/>
    <w:rsid w:val="00080D1F"/>
    <w:rsid w:val="00086B7F"/>
    <w:rsid w:val="00090D7B"/>
    <w:rsid w:val="000A31D2"/>
    <w:rsid w:val="000A53FF"/>
    <w:rsid w:val="000B1EE0"/>
    <w:rsid w:val="000B6A39"/>
    <w:rsid w:val="000C3AE3"/>
    <w:rsid w:val="000C4646"/>
    <w:rsid w:val="000C6606"/>
    <w:rsid w:val="000D7135"/>
    <w:rsid w:val="000E1F82"/>
    <w:rsid w:val="000E52F7"/>
    <w:rsid w:val="000F4CBE"/>
    <w:rsid w:val="00102B97"/>
    <w:rsid w:val="00110FC4"/>
    <w:rsid w:val="00111AE1"/>
    <w:rsid w:val="00111C4F"/>
    <w:rsid w:val="00112123"/>
    <w:rsid w:val="0011585F"/>
    <w:rsid w:val="0011752D"/>
    <w:rsid w:val="00121561"/>
    <w:rsid w:val="001312D5"/>
    <w:rsid w:val="001327A1"/>
    <w:rsid w:val="001331C5"/>
    <w:rsid w:val="00141945"/>
    <w:rsid w:val="00152773"/>
    <w:rsid w:val="00156B00"/>
    <w:rsid w:val="00161AB1"/>
    <w:rsid w:val="00165A24"/>
    <w:rsid w:val="0017645C"/>
    <w:rsid w:val="0019136B"/>
    <w:rsid w:val="00193F85"/>
    <w:rsid w:val="001B102B"/>
    <w:rsid w:val="001B56DE"/>
    <w:rsid w:val="001D2D99"/>
    <w:rsid w:val="001D58D9"/>
    <w:rsid w:val="001E19AC"/>
    <w:rsid w:val="001E5BEA"/>
    <w:rsid w:val="001F1D24"/>
    <w:rsid w:val="001F1F62"/>
    <w:rsid w:val="001F6D10"/>
    <w:rsid w:val="0021043C"/>
    <w:rsid w:val="0021474E"/>
    <w:rsid w:val="00217B5C"/>
    <w:rsid w:val="00231B9E"/>
    <w:rsid w:val="00237695"/>
    <w:rsid w:val="00247537"/>
    <w:rsid w:val="00261352"/>
    <w:rsid w:val="002617EE"/>
    <w:rsid w:val="00281717"/>
    <w:rsid w:val="002A1D42"/>
    <w:rsid w:val="002A48F5"/>
    <w:rsid w:val="002B267E"/>
    <w:rsid w:val="002B3D06"/>
    <w:rsid w:val="002B7BC2"/>
    <w:rsid w:val="002C5FF6"/>
    <w:rsid w:val="002F29DE"/>
    <w:rsid w:val="00303513"/>
    <w:rsid w:val="00304B51"/>
    <w:rsid w:val="00306A35"/>
    <w:rsid w:val="003138A7"/>
    <w:rsid w:val="0031482B"/>
    <w:rsid w:val="003235F4"/>
    <w:rsid w:val="00324775"/>
    <w:rsid w:val="0034081B"/>
    <w:rsid w:val="003420F4"/>
    <w:rsid w:val="003501FC"/>
    <w:rsid w:val="003557F6"/>
    <w:rsid w:val="003651EC"/>
    <w:rsid w:val="00367996"/>
    <w:rsid w:val="0037159B"/>
    <w:rsid w:val="003814B3"/>
    <w:rsid w:val="00382AE5"/>
    <w:rsid w:val="003839DE"/>
    <w:rsid w:val="0038411E"/>
    <w:rsid w:val="003905B0"/>
    <w:rsid w:val="00390EAA"/>
    <w:rsid w:val="00394F2A"/>
    <w:rsid w:val="003A3249"/>
    <w:rsid w:val="003A361C"/>
    <w:rsid w:val="003B01B0"/>
    <w:rsid w:val="003C2A40"/>
    <w:rsid w:val="003D1297"/>
    <w:rsid w:val="003D1D01"/>
    <w:rsid w:val="003E0C73"/>
    <w:rsid w:val="00400344"/>
    <w:rsid w:val="004011D5"/>
    <w:rsid w:val="0040447F"/>
    <w:rsid w:val="00422D68"/>
    <w:rsid w:val="004368D2"/>
    <w:rsid w:val="00440D84"/>
    <w:rsid w:val="004613C3"/>
    <w:rsid w:val="0046357A"/>
    <w:rsid w:val="004734DA"/>
    <w:rsid w:val="00474809"/>
    <w:rsid w:val="0047488C"/>
    <w:rsid w:val="0047795D"/>
    <w:rsid w:val="0048334D"/>
    <w:rsid w:val="00484C45"/>
    <w:rsid w:val="004B1670"/>
    <w:rsid w:val="004C21AA"/>
    <w:rsid w:val="004D36AC"/>
    <w:rsid w:val="004D5365"/>
    <w:rsid w:val="00502721"/>
    <w:rsid w:val="005037AB"/>
    <w:rsid w:val="0051231B"/>
    <w:rsid w:val="00517E9D"/>
    <w:rsid w:val="00524D98"/>
    <w:rsid w:val="00532173"/>
    <w:rsid w:val="00536858"/>
    <w:rsid w:val="00563C31"/>
    <w:rsid w:val="005654D5"/>
    <w:rsid w:val="0056612B"/>
    <w:rsid w:val="005720C7"/>
    <w:rsid w:val="0058332E"/>
    <w:rsid w:val="005927F3"/>
    <w:rsid w:val="0059378F"/>
    <w:rsid w:val="00596256"/>
    <w:rsid w:val="005B00E8"/>
    <w:rsid w:val="005B144D"/>
    <w:rsid w:val="005B27FA"/>
    <w:rsid w:val="005C34FC"/>
    <w:rsid w:val="005C51BA"/>
    <w:rsid w:val="005C5EDC"/>
    <w:rsid w:val="005D0CAD"/>
    <w:rsid w:val="005D48DC"/>
    <w:rsid w:val="005E5162"/>
    <w:rsid w:val="005F5F1B"/>
    <w:rsid w:val="0060211F"/>
    <w:rsid w:val="00603A45"/>
    <w:rsid w:val="00603F36"/>
    <w:rsid w:val="0060665A"/>
    <w:rsid w:val="00610A32"/>
    <w:rsid w:val="00612BD2"/>
    <w:rsid w:val="006141CF"/>
    <w:rsid w:val="006256EB"/>
    <w:rsid w:val="0063148B"/>
    <w:rsid w:val="00631F85"/>
    <w:rsid w:val="0063430A"/>
    <w:rsid w:val="00654DB1"/>
    <w:rsid w:val="00666AB7"/>
    <w:rsid w:val="00667F2E"/>
    <w:rsid w:val="006752A6"/>
    <w:rsid w:val="006776F2"/>
    <w:rsid w:val="00677F02"/>
    <w:rsid w:val="006A1D9F"/>
    <w:rsid w:val="006A5B0F"/>
    <w:rsid w:val="006A69F8"/>
    <w:rsid w:val="006C1961"/>
    <w:rsid w:val="006C1C73"/>
    <w:rsid w:val="006C58AE"/>
    <w:rsid w:val="006E658C"/>
    <w:rsid w:val="006E6670"/>
    <w:rsid w:val="006F2CBB"/>
    <w:rsid w:val="00711B55"/>
    <w:rsid w:val="00715385"/>
    <w:rsid w:val="0074627E"/>
    <w:rsid w:val="00747205"/>
    <w:rsid w:val="007528CF"/>
    <w:rsid w:val="00764809"/>
    <w:rsid w:val="007648A9"/>
    <w:rsid w:val="007738A6"/>
    <w:rsid w:val="00785272"/>
    <w:rsid w:val="00794974"/>
    <w:rsid w:val="007A0A9E"/>
    <w:rsid w:val="007B2C60"/>
    <w:rsid w:val="007B4E67"/>
    <w:rsid w:val="007C3ABC"/>
    <w:rsid w:val="007E08E0"/>
    <w:rsid w:val="007E4B60"/>
    <w:rsid w:val="007E639E"/>
    <w:rsid w:val="00806A79"/>
    <w:rsid w:val="00811ECF"/>
    <w:rsid w:val="00830B36"/>
    <w:rsid w:val="008341F5"/>
    <w:rsid w:val="0084454B"/>
    <w:rsid w:val="00847B02"/>
    <w:rsid w:val="0085026C"/>
    <w:rsid w:val="00851486"/>
    <w:rsid w:val="008773C8"/>
    <w:rsid w:val="0087784E"/>
    <w:rsid w:val="0088529A"/>
    <w:rsid w:val="00885755"/>
    <w:rsid w:val="00890B49"/>
    <w:rsid w:val="008972CB"/>
    <w:rsid w:val="008A3F3F"/>
    <w:rsid w:val="008A4FC4"/>
    <w:rsid w:val="008B0A7A"/>
    <w:rsid w:val="008B3995"/>
    <w:rsid w:val="008B7D15"/>
    <w:rsid w:val="008C3B13"/>
    <w:rsid w:val="008C3B19"/>
    <w:rsid w:val="008D42AB"/>
    <w:rsid w:val="00904973"/>
    <w:rsid w:val="009103F6"/>
    <w:rsid w:val="00922158"/>
    <w:rsid w:val="00922D8F"/>
    <w:rsid w:val="00924BDD"/>
    <w:rsid w:val="00927875"/>
    <w:rsid w:val="00934A5B"/>
    <w:rsid w:val="0095526B"/>
    <w:rsid w:val="00964396"/>
    <w:rsid w:val="00965681"/>
    <w:rsid w:val="009818E3"/>
    <w:rsid w:val="00982667"/>
    <w:rsid w:val="0098349F"/>
    <w:rsid w:val="00996D7A"/>
    <w:rsid w:val="009A760E"/>
    <w:rsid w:val="009B0DB1"/>
    <w:rsid w:val="009B23E8"/>
    <w:rsid w:val="009C2782"/>
    <w:rsid w:val="009E74DE"/>
    <w:rsid w:val="009F1558"/>
    <w:rsid w:val="00A01874"/>
    <w:rsid w:val="00A0329D"/>
    <w:rsid w:val="00A05DEF"/>
    <w:rsid w:val="00A14276"/>
    <w:rsid w:val="00A21F37"/>
    <w:rsid w:val="00A27D9E"/>
    <w:rsid w:val="00A40228"/>
    <w:rsid w:val="00A45095"/>
    <w:rsid w:val="00A7368F"/>
    <w:rsid w:val="00A74984"/>
    <w:rsid w:val="00A817B9"/>
    <w:rsid w:val="00A82D84"/>
    <w:rsid w:val="00A919E9"/>
    <w:rsid w:val="00A92208"/>
    <w:rsid w:val="00AA2619"/>
    <w:rsid w:val="00AB0B6F"/>
    <w:rsid w:val="00AC1D84"/>
    <w:rsid w:val="00AC4C90"/>
    <w:rsid w:val="00AC6B2F"/>
    <w:rsid w:val="00AD5164"/>
    <w:rsid w:val="00AE64C5"/>
    <w:rsid w:val="00AE7FA9"/>
    <w:rsid w:val="00AF055D"/>
    <w:rsid w:val="00B004F7"/>
    <w:rsid w:val="00B07B8F"/>
    <w:rsid w:val="00B21705"/>
    <w:rsid w:val="00B253C7"/>
    <w:rsid w:val="00B43ADD"/>
    <w:rsid w:val="00B446FF"/>
    <w:rsid w:val="00B45274"/>
    <w:rsid w:val="00B51AA7"/>
    <w:rsid w:val="00B52A3F"/>
    <w:rsid w:val="00B53D08"/>
    <w:rsid w:val="00B55CB2"/>
    <w:rsid w:val="00B654E5"/>
    <w:rsid w:val="00B655C4"/>
    <w:rsid w:val="00B7738E"/>
    <w:rsid w:val="00B779FE"/>
    <w:rsid w:val="00B90FAF"/>
    <w:rsid w:val="00B951F5"/>
    <w:rsid w:val="00BB1FA3"/>
    <w:rsid w:val="00BB50F2"/>
    <w:rsid w:val="00BB55E6"/>
    <w:rsid w:val="00BC362B"/>
    <w:rsid w:val="00BD0E6E"/>
    <w:rsid w:val="00BE0392"/>
    <w:rsid w:val="00BE33D4"/>
    <w:rsid w:val="00C02D6D"/>
    <w:rsid w:val="00C0330B"/>
    <w:rsid w:val="00C043E3"/>
    <w:rsid w:val="00C06652"/>
    <w:rsid w:val="00C10408"/>
    <w:rsid w:val="00C112E6"/>
    <w:rsid w:val="00C2324D"/>
    <w:rsid w:val="00C4663C"/>
    <w:rsid w:val="00C46F56"/>
    <w:rsid w:val="00C5517D"/>
    <w:rsid w:val="00C641DD"/>
    <w:rsid w:val="00C64207"/>
    <w:rsid w:val="00C823D0"/>
    <w:rsid w:val="00C94C1E"/>
    <w:rsid w:val="00CA500E"/>
    <w:rsid w:val="00CB0149"/>
    <w:rsid w:val="00CB023C"/>
    <w:rsid w:val="00CB1EFF"/>
    <w:rsid w:val="00CB5B5B"/>
    <w:rsid w:val="00CC5749"/>
    <w:rsid w:val="00CC7D56"/>
    <w:rsid w:val="00CD0487"/>
    <w:rsid w:val="00CD04C5"/>
    <w:rsid w:val="00CE0186"/>
    <w:rsid w:val="00CE66A7"/>
    <w:rsid w:val="00CF3EB2"/>
    <w:rsid w:val="00CF50D4"/>
    <w:rsid w:val="00D106F5"/>
    <w:rsid w:val="00D158B4"/>
    <w:rsid w:val="00D15BED"/>
    <w:rsid w:val="00D2417A"/>
    <w:rsid w:val="00D25760"/>
    <w:rsid w:val="00D27215"/>
    <w:rsid w:val="00D33031"/>
    <w:rsid w:val="00D40F08"/>
    <w:rsid w:val="00D54BA2"/>
    <w:rsid w:val="00D560C2"/>
    <w:rsid w:val="00D576DB"/>
    <w:rsid w:val="00D61D0B"/>
    <w:rsid w:val="00D67573"/>
    <w:rsid w:val="00D77B4B"/>
    <w:rsid w:val="00D95AD2"/>
    <w:rsid w:val="00DA1EC7"/>
    <w:rsid w:val="00DA58B9"/>
    <w:rsid w:val="00DA783D"/>
    <w:rsid w:val="00DA7C0A"/>
    <w:rsid w:val="00DB3177"/>
    <w:rsid w:val="00DB7DE9"/>
    <w:rsid w:val="00DC2FAA"/>
    <w:rsid w:val="00DD7C37"/>
    <w:rsid w:val="00DE00C7"/>
    <w:rsid w:val="00DF11D8"/>
    <w:rsid w:val="00E06FE9"/>
    <w:rsid w:val="00E17268"/>
    <w:rsid w:val="00E21AEA"/>
    <w:rsid w:val="00E549E8"/>
    <w:rsid w:val="00E54CAD"/>
    <w:rsid w:val="00E55D64"/>
    <w:rsid w:val="00E60583"/>
    <w:rsid w:val="00E61716"/>
    <w:rsid w:val="00E74CF7"/>
    <w:rsid w:val="00E76BCD"/>
    <w:rsid w:val="00E80D4D"/>
    <w:rsid w:val="00E83E5A"/>
    <w:rsid w:val="00E8723B"/>
    <w:rsid w:val="00E965C5"/>
    <w:rsid w:val="00E97752"/>
    <w:rsid w:val="00EA4954"/>
    <w:rsid w:val="00EC7709"/>
    <w:rsid w:val="00EE6FA6"/>
    <w:rsid w:val="00EF28D9"/>
    <w:rsid w:val="00EF701B"/>
    <w:rsid w:val="00F11711"/>
    <w:rsid w:val="00F11E7B"/>
    <w:rsid w:val="00F167F2"/>
    <w:rsid w:val="00F20C03"/>
    <w:rsid w:val="00F276E1"/>
    <w:rsid w:val="00F44CE3"/>
    <w:rsid w:val="00F529F4"/>
    <w:rsid w:val="00F52CC8"/>
    <w:rsid w:val="00F60E4B"/>
    <w:rsid w:val="00F62837"/>
    <w:rsid w:val="00F65DD0"/>
    <w:rsid w:val="00F70F02"/>
    <w:rsid w:val="00F712A7"/>
    <w:rsid w:val="00F723DA"/>
    <w:rsid w:val="00F75365"/>
    <w:rsid w:val="00F9177B"/>
    <w:rsid w:val="00F934AE"/>
    <w:rsid w:val="00F9614B"/>
    <w:rsid w:val="00F96394"/>
    <w:rsid w:val="00F9754D"/>
    <w:rsid w:val="00F9794B"/>
    <w:rsid w:val="00FA55AA"/>
    <w:rsid w:val="00FB25BD"/>
    <w:rsid w:val="00FC0A7A"/>
    <w:rsid w:val="00FC2C26"/>
    <w:rsid w:val="00FC3C72"/>
    <w:rsid w:val="00FD2A01"/>
    <w:rsid w:val="00FF1D74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695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422D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422D68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422D68"/>
    <w:rPr>
      <w:rFonts w:cs="Times New Roman"/>
      <w:vertAlign w:val="superscript"/>
    </w:rPr>
  </w:style>
  <w:style w:type="character" w:styleId="Refdecomentrio">
    <w:name w:val="annotation reference"/>
    <w:basedOn w:val="Fontepargpadro"/>
    <w:semiHidden/>
    <w:rsid w:val="006C58A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C58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locked/>
    <w:rsid w:val="006C58A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C58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locked/>
    <w:rsid w:val="006C58AE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6C5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6C58AE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C641DD"/>
    <w:pPr>
      <w:ind w:left="720"/>
    </w:pPr>
  </w:style>
  <w:style w:type="paragraph" w:customStyle="1" w:styleId="Reviso1">
    <w:name w:val="Revisão1"/>
    <w:hidden/>
    <w:semiHidden/>
    <w:rsid w:val="00C641DD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C641D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locked/>
    <w:rsid w:val="000E1F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112E6"/>
    <w:rPr>
      <w:color w:val="808080"/>
    </w:rPr>
  </w:style>
  <w:style w:type="character" w:customStyle="1" w:styleId="apple-style-span">
    <w:name w:val="apple-style-span"/>
    <w:basedOn w:val="Fontepargpadro"/>
    <w:rsid w:val="00086B7F"/>
  </w:style>
  <w:style w:type="character" w:styleId="Hyperlink">
    <w:name w:val="Hyperlink"/>
    <w:basedOn w:val="Fontepargpadro"/>
    <w:rsid w:val="0095526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661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12B"/>
    <w:rPr>
      <w:rFonts w:ascii="Times New Roman" w:eastAsia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rsid w:val="005661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612B"/>
    <w:rPr>
      <w:rFonts w:ascii="Times New Roman" w:eastAsia="Times New Roman" w:hAnsi="Times New Roman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A5B0F"/>
    <w:pPr>
      <w:ind w:left="720"/>
      <w:contextualSpacing/>
    </w:pPr>
  </w:style>
  <w:style w:type="character" w:customStyle="1" w:styleId="hps">
    <w:name w:val="hps"/>
    <w:basedOn w:val="Fontepargpadro"/>
    <w:rsid w:val="00D27215"/>
  </w:style>
  <w:style w:type="character" w:customStyle="1" w:styleId="apple-converted-space">
    <w:name w:val="apple-converted-space"/>
    <w:basedOn w:val="Fontepargpadro"/>
    <w:rsid w:val="00D27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695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422D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422D68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422D68"/>
    <w:rPr>
      <w:rFonts w:cs="Times New Roman"/>
      <w:vertAlign w:val="superscript"/>
    </w:rPr>
  </w:style>
  <w:style w:type="character" w:styleId="Refdecomentrio">
    <w:name w:val="annotation reference"/>
    <w:basedOn w:val="Fontepargpadro"/>
    <w:semiHidden/>
    <w:rsid w:val="006C58A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C58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locked/>
    <w:rsid w:val="006C58A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C58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locked/>
    <w:rsid w:val="006C58AE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6C5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6C58AE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C641DD"/>
    <w:pPr>
      <w:ind w:left="720"/>
    </w:pPr>
  </w:style>
  <w:style w:type="paragraph" w:customStyle="1" w:styleId="Reviso1">
    <w:name w:val="Revisão1"/>
    <w:hidden/>
    <w:semiHidden/>
    <w:rsid w:val="00C641DD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C641D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locked/>
    <w:rsid w:val="000E1F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112E6"/>
    <w:rPr>
      <w:color w:val="808080"/>
    </w:rPr>
  </w:style>
  <w:style w:type="character" w:customStyle="1" w:styleId="apple-style-span">
    <w:name w:val="apple-style-span"/>
    <w:basedOn w:val="Fontepargpadro"/>
    <w:rsid w:val="00086B7F"/>
  </w:style>
  <w:style w:type="character" w:styleId="Hyperlink">
    <w:name w:val="Hyperlink"/>
    <w:basedOn w:val="Fontepargpadro"/>
    <w:rsid w:val="0095526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661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12B"/>
    <w:rPr>
      <w:rFonts w:ascii="Times New Roman" w:eastAsia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rsid w:val="005661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612B"/>
    <w:rPr>
      <w:rFonts w:ascii="Times New Roman" w:eastAsia="Times New Roman" w:hAnsi="Times New Roman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A5B0F"/>
    <w:pPr>
      <w:ind w:left="720"/>
      <w:contextualSpacing/>
    </w:pPr>
  </w:style>
  <w:style w:type="character" w:customStyle="1" w:styleId="hps">
    <w:name w:val="hps"/>
    <w:basedOn w:val="Fontepargpadro"/>
    <w:rsid w:val="00D27215"/>
  </w:style>
  <w:style w:type="character" w:customStyle="1" w:styleId="apple-converted-space">
    <w:name w:val="apple-converted-space"/>
    <w:basedOn w:val="Fontepargpadro"/>
    <w:rsid w:val="00D27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BFN\Artigos\2011%20-%20Ferreira%20Neto%20e%20Gon&#231;alves\dados\Resultad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Indicadores!$N$10</c:f>
              <c:strCache>
                <c:ptCount val="1"/>
                <c:pt idx="0">
                  <c:v>P&amp;D Próprio</c:v>
                </c:pt>
              </c:strCache>
            </c:strRef>
          </c:tx>
          <c:dLbls>
            <c:delete val="1"/>
          </c:dLbls>
          <c:cat>
            <c:strRef>
              <c:f>Indicadores!$M$11:$M$14</c:f>
              <c:strCache>
                <c:ptCount val="4"/>
                <c:pt idx="0">
                  <c:v>BRASIL</c:v>
                </c:pt>
                <c:pt idx="1">
                  <c:v>RÚSSIA</c:v>
                </c:pt>
                <c:pt idx="2">
                  <c:v>CHINA</c:v>
                </c:pt>
                <c:pt idx="3">
                  <c:v>ÁFRICA DO SUL</c:v>
                </c:pt>
              </c:strCache>
            </c:strRef>
          </c:cat>
          <c:val>
            <c:numRef>
              <c:f>Indicadores!$N$11:$N$14</c:f>
              <c:numCache>
                <c:formatCode>0.000</c:formatCode>
                <c:ptCount val="4"/>
                <c:pt idx="0">
                  <c:v>5.4758034262227501E-2</c:v>
                </c:pt>
                <c:pt idx="1">
                  <c:v>7.9078791552789754E-2</c:v>
                </c:pt>
                <c:pt idx="2">
                  <c:v>2.7270695248685202E-2</c:v>
                </c:pt>
                <c:pt idx="3">
                  <c:v>5.5943153599690945E-2</c:v>
                </c:pt>
              </c:numCache>
            </c:numRef>
          </c:val>
        </c:ser>
        <c:ser>
          <c:idx val="2"/>
          <c:order val="1"/>
          <c:tx>
            <c:strRef>
              <c:f>Indicadores!$P$10</c:f>
              <c:strCache>
                <c:ptCount val="1"/>
                <c:pt idx="0">
                  <c:v>P&amp;D em insumo domésticos</c:v>
                </c:pt>
              </c:strCache>
            </c:strRef>
          </c:tx>
          <c:dLbls>
            <c:delete val="1"/>
          </c:dLbls>
          <c:cat>
            <c:strRef>
              <c:f>Indicadores!$M$11:$M$14</c:f>
              <c:strCache>
                <c:ptCount val="4"/>
                <c:pt idx="0">
                  <c:v>BRASIL</c:v>
                </c:pt>
                <c:pt idx="1">
                  <c:v>RÚSSIA</c:v>
                </c:pt>
                <c:pt idx="2">
                  <c:v>CHINA</c:v>
                </c:pt>
                <c:pt idx="3">
                  <c:v>ÁFRICA DO SUL</c:v>
                </c:pt>
              </c:strCache>
            </c:strRef>
          </c:cat>
          <c:val>
            <c:numRef>
              <c:f>Indicadores!$P$11:$P$14</c:f>
              <c:numCache>
                <c:formatCode>0.000</c:formatCode>
                <c:ptCount val="4"/>
                <c:pt idx="0">
                  <c:v>1.7178194235467781E-2</c:v>
                </c:pt>
                <c:pt idx="1">
                  <c:v>1.3504379126798265E-2</c:v>
                </c:pt>
                <c:pt idx="2">
                  <c:v>1.5365840661452187E-2</c:v>
                </c:pt>
                <c:pt idx="3">
                  <c:v>1.5728114576987196E-2</c:v>
                </c:pt>
              </c:numCache>
            </c:numRef>
          </c:val>
        </c:ser>
        <c:ser>
          <c:idx val="3"/>
          <c:order val="2"/>
          <c:tx>
            <c:strRef>
              <c:f>Indicadores!$Q$10</c:f>
              <c:strCache>
                <c:ptCount val="1"/>
                <c:pt idx="0">
                  <c:v>P&amp;D em bens de capital doméstico</c:v>
                </c:pt>
              </c:strCache>
            </c:strRef>
          </c:tx>
          <c:dLbls>
            <c:delete val="1"/>
          </c:dLbls>
          <c:cat>
            <c:strRef>
              <c:f>Indicadores!$M$11:$M$14</c:f>
              <c:strCache>
                <c:ptCount val="4"/>
                <c:pt idx="0">
                  <c:v>BRASIL</c:v>
                </c:pt>
                <c:pt idx="1">
                  <c:v>RÚSSIA</c:v>
                </c:pt>
                <c:pt idx="2">
                  <c:v>CHINA</c:v>
                </c:pt>
                <c:pt idx="3">
                  <c:v>ÁFRICA DO SUL</c:v>
                </c:pt>
              </c:strCache>
            </c:strRef>
          </c:cat>
          <c:val>
            <c:numRef>
              <c:f>Indicadores!$Q$11:$Q$14</c:f>
              <c:numCache>
                <c:formatCode>0.000</c:formatCode>
                <c:ptCount val="4"/>
                <c:pt idx="0">
                  <c:v>1.0773385178011911E-2</c:v>
                </c:pt>
                <c:pt idx="1">
                  <c:v>4.4026989217276977E-3</c:v>
                </c:pt>
                <c:pt idx="2">
                  <c:v>3.8468876092431249E-3</c:v>
                </c:pt>
                <c:pt idx="3">
                  <c:v>7.0798923978489959E-3</c:v>
                </c:pt>
              </c:numCache>
            </c:numRef>
          </c:val>
        </c:ser>
        <c:ser>
          <c:idx val="1"/>
          <c:order val="3"/>
          <c:tx>
            <c:strRef>
              <c:f>Indicadores!$O$10</c:f>
              <c:strCache>
                <c:ptCount val="1"/>
                <c:pt idx="0">
                  <c:v>P&amp;D em insumo importados</c:v>
                </c:pt>
              </c:strCache>
            </c:strRef>
          </c:tx>
          <c:dLbls>
            <c:delete val="1"/>
          </c:dLbls>
          <c:cat>
            <c:strRef>
              <c:f>Indicadores!$M$11:$M$14</c:f>
              <c:strCache>
                <c:ptCount val="4"/>
                <c:pt idx="0">
                  <c:v>BRASIL</c:v>
                </c:pt>
                <c:pt idx="1">
                  <c:v>RÚSSIA</c:v>
                </c:pt>
                <c:pt idx="2">
                  <c:v>CHINA</c:v>
                </c:pt>
                <c:pt idx="3">
                  <c:v>ÁFRICA DO SUL</c:v>
                </c:pt>
              </c:strCache>
            </c:strRef>
          </c:cat>
          <c:val>
            <c:numRef>
              <c:f>Indicadores!$O$11:$O$14</c:f>
              <c:numCache>
                <c:formatCode>0.000</c:formatCode>
                <c:ptCount val="4"/>
                <c:pt idx="0">
                  <c:v>1.8714662541112242E-2</c:v>
                </c:pt>
                <c:pt idx="1">
                  <c:v>1.3811229815326663E-2</c:v>
                </c:pt>
                <c:pt idx="2">
                  <c:v>1.388005323538617E-2</c:v>
                </c:pt>
                <c:pt idx="3">
                  <c:v>1.4130685679769281E-2</c:v>
                </c:pt>
              </c:numCache>
            </c:numRef>
          </c:val>
        </c:ser>
        <c:ser>
          <c:idx val="4"/>
          <c:order val="4"/>
          <c:tx>
            <c:strRef>
              <c:f>Indicadores!$R$10</c:f>
              <c:strCache>
                <c:ptCount val="1"/>
                <c:pt idx="0">
                  <c:v>P&amp;D em bens de capital importado</c:v>
                </c:pt>
              </c:strCache>
            </c:strRef>
          </c:tx>
          <c:dLbls>
            <c:dLbl>
              <c:idx val="0"/>
              <c:layout>
                <c:manualLayout>
                  <c:x val="1.4111111111111121E-2"/>
                  <c:y val="-0.1175925925925926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2,35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6462962962962967E-2"/>
                  <c:y val="-0.1175925925925926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1,47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8814814814814854E-2"/>
                  <c:y val="-0.293981481481482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2,67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7.0555555555556421E-3"/>
                  <c:y val="-0.156790123456790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2,01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pt-BR"/>
                </a:pPr>
                <a:endParaRPr lang="pt-BR"/>
              </a:p>
            </c:txPr>
            <c:showVal val="1"/>
          </c:dLbls>
          <c:cat>
            <c:strRef>
              <c:f>Indicadores!$M$11:$M$14</c:f>
              <c:strCache>
                <c:ptCount val="4"/>
                <c:pt idx="0">
                  <c:v>BRASIL</c:v>
                </c:pt>
                <c:pt idx="1">
                  <c:v>RÚSSIA</c:v>
                </c:pt>
                <c:pt idx="2">
                  <c:v>CHINA</c:v>
                </c:pt>
                <c:pt idx="3">
                  <c:v>ÁFRICA DO SUL</c:v>
                </c:pt>
              </c:strCache>
            </c:strRef>
          </c:cat>
          <c:val>
            <c:numRef>
              <c:f>Indicadores!$R$11:$R$14</c:f>
              <c:numCache>
                <c:formatCode>0.000</c:formatCode>
                <c:ptCount val="4"/>
                <c:pt idx="0">
                  <c:v>2.7495529296094192E-2</c:v>
                </c:pt>
                <c:pt idx="1">
                  <c:v>5.4545361918093239E-3</c:v>
                </c:pt>
                <c:pt idx="2">
                  <c:v>1.237107938028302E-2</c:v>
                </c:pt>
                <c:pt idx="3">
                  <c:v>1.9600812613249578E-2</c:v>
                </c:pt>
              </c:numCache>
            </c:numRef>
          </c:val>
        </c:ser>
        <c:dLbls>
          <c:showVal val="1"/>
        </c:dLbls>
        <c:shape val="box"/>
        <c:axId val="81097472"/>
        <c:axId val="81099392"/>
        <c:axId val="0"/>
      </c:bar3DChart>
      <c:catAx>
        <c:axId val="81097472"/>
        <c:scaling>
          <c:orientation val="minMax"/>
        </c:scaling>
        <c:axPos val="b"/>
        <c:tickLblPos val="nextTo"/>
        <c:txPr>
          <a:bodyPr/>
          <a:lstStyle/>
          <a:p>
            <a:pPr>
              <a:defRPr lang="pt-BR"/>
            </a:pPr>
            <a:endParaRPr lang="pt-BR"/>
          </a:p>
        </c:txPr>
        <c:crossAx val="81099392"/>
        <c:crosses val="autoZero"/>
        <c:auto val="1"/>
        <c:lblAlgn val="ctr"/>
        <c:lblOffset val="100"/>
      </c:catAx>
      <c:valAx>
        <c:axId val="81099392"/>
        <c:scaling>
          <c:orientation val="minMax"/>
        </c:scaling>
        <c:axPos val="l"/>
        <c:majorGridlines/>
        <c:numFmt formatCode="0.000" sourceLinked="1"/>
        <c:tickLblPos val="nextTo"/>
        <c:txPr>
          <a:bodyPr/>
          <a:lstStyle/>
          <a:p>
            <a:pPr>
              <a:defRPr lang="pt-BR"/>
            </a:pPr>
            <a:endParaRPr lang="pt-BR"/>
          </a:p>
        </c:txPr>
        <c:crossAx val="81097472"/>
        <c:crosses val="autoZero"/>
        <c:crossBetween val="between"/>
      </c:valAx>
    </c:plotArea>
    <c:legend>
      <c:legendPos val="b"/>
      <c:txPr>
        <a:bodyPr/>
        <a:lstStyle/>
        <a:p>
          <a:pPr>
            <a:defRPr lang="pt-BR"/>
          </a:pPr>
          <a:endParaRPr lang="pt-BR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F1E1-E800-4626-B026-FB832294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8754</Words>
  <Characters>47274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CONHECIMENTO INCORPORADO E LIGAÇÕES SETORIAIS: Uma abordagem insumo-produto comparativa dos BRICS</vt:lpstr>
    </vt:vector>
  </TitlesOfParts>
  <Company>Microsoft</Company>
  <LinksUpToDate>false</LinksUpToDate>
  <CharactersWithSpaces>55917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CONHECIMENTO INCORPORADO E LIGAÇÕES SETORIAIS: Uma abordagem insumo-produto comparativa dos BRICS</dc:title>
  <dc:creator>Amir Neto</dc:creator>
  <cp:lastModifiedBy>eco0167</cp:lastModifiedBy>
  <cp:revision>6</cp:revision>
  <cp:lastPrinted>2011-07-20T14:12:00Z</cp:lastPrinted>
  <dcterms:created xsi:type="dcterms:W3CDTF">2011-07-19T23:43:00Z</dcterms:created>
  <dcterms:modified xsi:type="dcterms:W3CDTF">2011-07-20T14:32:00Z</dcterms:modified>
</cp:coreProperties>
</file>