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78" w:rsidRPr="00275552" w:rsidRDefault="00887932" w:rsidP="00BC3A59">
      <w:pPr>
        <w:spacing w:after="120"/>
        <w:jc w:val="center"/>
        <w:rPr>
          <w:b/>
        </w:rPr>
      </w:pPr>
      <w:r>
        <w:rPr>
          <w:b/>
        </w:rPr>
        <w:t>Os</w:t>
      </w:r>
      <w:r w:rsidR="003F1F78" w:rsidRPr="00275552">
        <w:rPr>
          <w:b/>
        </w:rPr>
        <w:t xml:space="preserve"> Acordos de Basiléia no Brasil e seus impactos sobre o BNDES e o BNB</w:t>
      </w:r>
      <w:r w:rsidR="003F1F78" w:rsidRPr="00275552">
        <w:rPr>
          <w:rStyle w:val="Refdenotaderodap"/>
          <w:b/>
        </w:rPr>
        <w:footnoteReference w:customMarkFollows="1" w:id="1"/>
        <w:t>*</w:t>
      </w:r>
    </w:p>
    <w:p w:rsidR="003F1F78" w:rsidRPr="001A6058" w:rsidRDefault="003F1F78" w:rsidP="00BC3A59">
      <w:pPr>
        <w:jc w:val="center"/>
      </w:pPr>
      <w:r w:rsidRPr="001A6058">
        <w:rPr>
          <w:i/>
        </w:rPr>
        <w:t>Rogério Sobreira</w:t>
      </w:r>
    </w:p>
    <w:p w:rsidR="003F1F78" w:rsidRPr="00275552" w:rsidRDefault="003F1F78" w:rsidP="00BC3A59">
      <w:pPr>
        <w:jc w:val="center"/>
      </w:pPr>
      <w:r w:rsidRPr="00275552">
        <w:t>Professor-Adjunto de Economia e Finanças, Escola Brasileira de Administraç</w:t>
      </w:r>
      <w:r>
        <w:t>ão Pública e de Empresas (EBAPE), Fundação Getulio Vargas (FGV)</w:t>
      </w:r>
    </w:p>
    <w:p w:rsidR="003F1F78" w:rsidRPr="00D54C9D" w:rsidRDefault="003F1F78" w:rsidP="00BC3A59">
      <w:pPr>
        <w:jc w:val="center"/>
      </w:pPr>
      <w:proofErr w:type="spellStart"/>
      <w:r w:rsidRPr="00D54C9D">
        <w:t>E-mail</w:t>
      </w:r>
      <w:proofErr w:type="spellEnd"/>
      <w:r w:rsidRPr="00D54C9D">
        <w:t>: rogerio.sobreira@fgv.br</w:t>
      </w:r>
    </w:p>
    <w:p w:rsidR="003F1F78" w:rsidRPr="00D54C9D" w:rsidRDefault="003F1F78" w:rsidP="00BC3A59">
      <w:pPr>
        <w:jc w:val="center"/>
      </w:pPr>
    </w:p>
    <w:p w:rsidR="003F1F78" w:rsidRPr="00680BBF" w:rsidRDefault="003F1F78" w:rsidP="00BC3A59">
      <w:pPr>
        <w:jc w:val="center"/>
        <w:rPr>
          <w:i/>
        </w:rPr>
      </w:pPr>
      <w:r w:rsidRPr="00680BBF">
        <w:rPr>
          <w:i/>
        </w:rPr>
        <w:t xml:space="preserve">Norberto </w:t>
      </w:r>
      <w:proofErr w:type="spellStart"/>
      <w:r w:rsidRPr="00680BBF">
        <w:rPr>
          <w:i/>
        </w:rPr>
        <w:t>Montani</w:t>
      </w:r>
      <w:proofErr w:type="spellEnd"/>
      <w:r w:rsidRPr="00680BBF">
        <w:rPr>
          <w:i/>
        </w:rPr>
        <w:t xml:space="preserve"> Martins</w:t>
      </w:r>
    </w:p>
    <w:p w:rsidR="003F1F78" w:rsidRPr="00275552" w:rsidRDefault="003F1F78" w:rsidP="00BC3A59">
      <w:pPr>
        <w:jc w:val="center"/>
      </w:pPr>
      <w:r>
        <w:t>Instituto de Economia (IE), Universidade Federal do Rio de Janeiro (UFRJ) e Pesquisador-bolsista, EBAPE/FGV e Centro Internacional Celso Furtado (CICEF)</w:t>
      </w:r>
    </w:p>
    <w:p w:rsidR="003F1F78" w:rsidRPr="00D54C9D" w:rsidRDefault="003F1F78" w:rsidP="00BC3A59">
      <w:pPr>
        <w:jc w:val="center"/>
      </w:pPr>
      <w:proofErr w:type="spellStart"/>
      <w:r w:rsidRPr="00D54C9D">
        <w:t>E-mail</w:t>
      </w:r>
      <w:proofErr w:type="spellEnd"/>
      <w:r w:rsidRPr="00D54C9D">
        <w:t>: norberto.martins@gmail.com</w:t>
      </w:r>
    </w:p>
    <w:p w:rsidR="003F1F78" w:rsidRDefault="003F1F78" w:rsidP="00BC3A59">
      <w:pPr>
        <w:spacing w:after="120"/>
        <w:jc w:val="both"/>
        <w:rPr>
          <w:b/>
        </w:rPr>
      </w:pPr>
    </w:p>
    <w:p w:rsidR="003F1F78" w:rsidRDefault="003F1F78" w:rsidP="00BC3A59">
      <w:pPr>
        <w:spacing w:after="120"/>
        <w:jc w:val="both"/>
      </w:pPr>
      <w:r w:rsidRPr="00D54C9D">
        <w:rPr>
          <w:b/>
        </w:rPr>
        <w:t xml:space="preserve">Resumo: </w:t>
      </w:r>
      <w:r w:rsidRPr="00CA173B">
        <w:t xml:space="preserve">No Brasil, os bancos de desenvolvimento foram submetidos às exigências regulamentares de Basiléia e tratados de modo idêntico às demais instituições componentes do sistema financeiro nacional. Contudo, dada a natureza idiossincrática dos </w:t>
      </w:r>
      <w:r>
        <w:t>mesmos</w:t>
      </w:r>
      <w:r w:rsidRPr="00CA173B">
        <w:t xml:space="preserve">, freqüentemente se argumenta que a aplicação dos acordos a este tipo de instituição não é adequada, tendo por última implicação </w:t>
      </w:r>
      <w:r>
        <w:t>torná-las menos funcionais ao processo de desenvolvimento econômico</w:t>
      </w:r>
      <w:r w:rsidRPr="00CA173B">
        <w:t xml:space="preserve">. </w:t>
      </w:r>
      <w:r>
        <w:t>O</w:t>
      </w:r>
      <w:r w:rsidRPr="00CA173B">
        <w:t xml:space="preserve"> presente artigo tem por objetivo avaliar se a submissão dos dois principais bancos de desenvolvimento brasileiros, o BNDES e o BNB, aos procedimentos normativos de Basiléia </w:t>
      </w:r>
      <w:proofErr w:type="gramStart"/>
      <w:r>
        <w:t>1</w:t>
      </w:r>
      <w:proofErr w:type="gramEnd"/>
      <w:r>
        <w:t xml:space="preserve"> </w:t>
      </w:r>
      <w:r w:rsidRPr="00CA173B">
        <w:t>provocou uma perda de dinamismo dessas instituições, de modo a impedir integral ou parcialmente o cumprimento de suas funções. Conclui-se que as duas instituições referidas foram afetadas de modo assimétrico pelas exigências regul</w:t>
      </w:r>
      <w:r>
        <w:t xml:space="preserve">amentares associadas </w:t>
      </w:r>
      <w:proofErr w:type="gramStart"/>
      <w:r>
        <w:t>a</w:t>
      </w:r>
      <w:proofErr w:type="gramEnd"/>
      <w:r>
        <w:t xml:space="preserve"> </w:t>
      </w:r>
      <w:proofErr w:type="spellStart"/>
      <w:r>
        <w:t>Basileia</w:t>
      </w:r>
      <w:proofErr w:type="spellEnd"/>
      <w:r>
        <w:t>:</w:t>
      </w:r>
      <w:r w:rsidRPr="00CA173B">
        <w:t xml:space="preserve"> o BNDES </w:t>
      </w:r>
      <w:r>
        <w:t xml:space="preserve">foi capaz de </w:t>
      </w:r>
      <w:r w:rsidRPr="00CA173B">
        <w:t xml:space="preserve">exercer suas funções com alguma limitação, mas </w:t>
      </w:r>
      <w:r>
        <w:t>o BNB foi</w:t>
      </w:r>
      <w:r w:rsidRPr="00CA173B">
        <w:t xml:space="preserve"> fortemente </w:t>
      </w:r>
      <w:r>
        <w:t xml:space="preserve">afetado </w:t>
      </w:r>
      <w:r w:rsidRPr="00CA173B">
        <w:t>no exercício de suas funções de banco de desenvolvimento.</w:t>
      </w:r>
    </w:p>
    <w:p w:rsidR="003F1F78" w:rsidRPr="00D54C9D" w:rsidRDefault="003F1F78" w:rsidP="00BC3A59">
      <w:pPr>
        <w:spacing w:after="120"/>
        <w:jc w:val="both"/>
        <w:rPr>
          <w:b/>
        </w:rPr>
      </w:pPr>
      <w:proofErr w:type="spellStart"/>
      <w:r w:rsidRPr="00D54C9D">
        <w:rPr>
          <w:b/>
        </w:rPr>
        <w:t>Palavras-chave</w:t>
      </w:r>
      <w:proofErr w:type="spellEnd"/>
      <w:r w:rsidRPr="00D54C9D">
        <w:rPr>
          <w:b/>
        </w:rPr>
        <w:t xml:space="preserve">: </w:t>
      </w:r>
      <w:r w:rsidRPr="00D54C9D">
        <w:t>Bancos de Desenvolvimento, Acordos de Basiléia, BNDES, Banco do Nordeste do Brasil (BNB), Regulação Prudencial</w:t>
      </w:r>
    </w:p>
    <w:p w:rsidR="003F1F78" w:rsidRPr="00D54C9D" w:rsidRDefault="003F1F78" w:rsidP="00BC3A59">
      <w:pPr>
        <w:spacing w:after="120"/>
        <w:jc w:val="both"/>
        <w:rPr>
          <w:b/>
        </w:rPr>
      </w:pPr>
      <w:r w:rsidRPr="00D54C9D">
        <w:rPr>
          <w:b/>
        </w:rPr>
        <w:t>Classificação JEL: G, G2, G28.</w:t>
      </w:r>
    </w:p>
    <w:p w:rsidR="003F1F78" w:rsidRPr="001A6058" w:rsidRDefault="003F1F78" w:rsidP="00BC3A59">
      <w:pPr>
        <w:spacing w:after="120"/>
        <w:jc w:val="both"/>
        <w:rPr>
          <w:b/>
        </w:rPr>
      </w:pPr>
    </w:p>
    <w:p w:rsidR="003F1F78" w:rsidRPr="00CA173B" w:rsidRDefault="003F1F78" w:rsidP="00BC3A59">
      <w:pPr>
        <w:spacing w:after="120"/>
        <w:jc w:val="both"/>
        <w:rPr>
          <w:lang w:val="en-US"/>
        </w:rPr>
      </w:pPr>
      <w:r w:rsidRPr="00CA173B">
        <w:rPr>
          <w:b/>
          <w:lang w:val="en-US"/>
        </w:rPr>
        <w:t xml:space="preserve">Abstract: </w:t>
      </w:r>
      <w:r w:rsidRPr="00CA173B">
        <w:rPr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CA173B">
            <w:rPr>
              <w:lang w:val="en-US"/>
            </w:rPr>
            <w:t>Brazil</w:t>
          </w:r>
        </w:smartTag>
      </w:smartTag>
      <w:r w:rsidRPr="00CA173B">
        <w:rPr>
          <w:lang w:val="en-US"/>
        </w:rPr>
        <w:t xml:space="preserve">, development banks were subject to the regulatory requirements of Basel Accords and treated similarly to other institutions belonging to the Brazilian financial system. </w:t>
      </w:r>
      <w:r>
        <w:rPr>
          <w:lang w:val="en-US"/>
        </w:rPr>
        <w:t>G</w:t>
      </w:r>
      <w:r w:rsidRPr="00CA173B">
        <w:rPr>
          <w:lang w:val="en-US"/>
        </w:rPr>
        <w:t xml:space="preserve">iven the idiosyncratic nature of development banks it is often argued that the implementation of </w:t>
      </w:r>
      <w:r>
        <w:rPr>
          <w:lang w:val="en-US"/>
        </w:rPr>
        <w:t xml:space="preserve">Basel-type </w:t>
      </w:r>
      <w:r w:rsidRPr="00CA173B">
        <w:rPr>
          <w:lang w:val="en-US"/>
        </w:rPr>
        <w:t xml:space="preserve">agreements </w:t>
      </w:r>
      <w:r>
        <w:rPr>
          <w:lang w:val="en-US"/>
        </w:rPr>
        <w:t xml:space="preserve">is not appropriate to these institutions since, at the end, they </w:t>
      </w:r>
      <w:r w:rsidRPr="00CA173B">
        <w:rPr>
          <w:lang w:val="en-US"/>
        </w:rPr>
        <w:t>could prevent them from fulfilling their mission effectively.</w:t>
      </w:r>
      <w:r>
        <w:rPr>
          <w:lang w:val="en-US"/>
        </w:rPr>
        <w:t xml:space="preserve"> T</w:t>
      </w:r>
      <w:r w:rsidRPr="00CA173B">
        <w:rPr>
          <w:lang w:val="en-US"/>
        </w:rPr>
        <w:t xml:space="preserve">his article aims to assess whether the submission of BNDES and BNB to the </w:t>
      </w:r>
      <w:smartTag w:uri="urn:schemas-microsoft-com:office:smarttags" w:element="City">
        <w:smartTag w:uri="urn:schemas-microsoft-com:office:smarttags" w:element="place">
          <w:r w:rsidRPr="00CA173B">
            <w:rPr>
              <w:lang w:val="en-US"/>
            </w:rPr>
            <w:t>Basel</w:t>
          </w:r>
        </w:smartTag>
      </w:smartTag>
      <w:r w:rsidRPr="00CA173B">
        <w:rPr>
          <w:lang w:val="en-US"/>
        </w:rPr>
        <w:t xml:space="preserve"> regulatory framework caused a loss of dynamism of these institutions in order to prevent full or partial compliance with its functions. We conclude that </w:t>
      </w:r>
      <w:r>
        <w:rPr>
          <w:lang w:val="en-US"/>
        </w:rPr>
        <w:t>both</w:t>
      </w:r>
      <w:r w:rsidRPr="00CA173B">
        <w:rPr>
          <w:lang w:val="en-US"/>
        </w:rPr>
        <w:t xml:space="preserve"> institutions mentioned were affected</w:t>
      </w:r>
      <w:r>
        <w:rPr>
          <w:lang w:val="en-US"/>
        </w:rPr>
        <w:t>, although</w:t>
      </w:r>
      <w:r w:rsidRPr="00CA173B">
        <w:rPr>
          <w:lang w:val="en-US"/>
        </w:rPr>
        <w:t xml:space="preserve"> asymmetrically</w:t>
      </w:r>
      <w:r>
        <w:rPr>
          <w:lang w:val="en-US"/>
        </w:rPr>
        <w:t>,</w:t>
      </w:r>
      <w:r w:rsidRPr="00CA173B">
        <w:rPr>
          <w:lang w:val="en-US"/>
        </w:rPr>
        <w:t xml:space="preserve"> by the regulatory requirements</w:t>
      </w:r>
      <w:r>
        <w:rPr>
          <w:lang w:val="en-US"/>
        </w:rPr>
        <w:t xml:space="preserve">: </w:t>
      </w:r>
      <w:r w:rsidRPr="00CA173B">
        <w:rPr>
          <w:lang w:val="en-US"/>
        </w:rPr>
        <w:t xml:space="preserve">BNDES </w:t>
      </w:r>
      <w:r>
        <w:rPr>
          <w:lang w:val="en-US"/>
        </w:rPr>
        <w:t>had more room to exercise</w:t>
      </w:r>
      <w:r w:rsidRPr="00CA173B">
        <w:rPr>
          <w:lang w:val="en-US"/>
        </w:rPr>
        <w:t xml:space="preserve"> its functions </w:t>
      </w:r>
      <w:r>
        <w:rPr>
          <w:lang w:val="en-US"/>
        </w:rPr>
        <w:t>while</w:t>
      </w:r>
      <w:r w:rsidRPr="00CA173B">
        <w:rPr>
          <w:lang w:val="en-US"/>
        </w:rPr>
        <w:t xml:space="preserve"> BNB </w:t>
      </w:r>
      <w:r>
        <w:rPr>
          <w:lang w:val="en-US"/>
        </w:rPr>
        <w:t xml:space="preserve">was </w:t>
      </w:r>
      <w:r w:rsidRPr="00CA173B">
        <w:rPr>
          <w:lang w:val="en-US"/>
        </w:rPr>
        <w:t>heavily damag</w:t>
      </w:r>
      <w:r>
        <w:rPr>
          <w:lang w:val="en-US"/>
        </w:rPr>
        <w:t>ed</w:t>
      </w:r>
      <w:r w:rsidRPr="00CA173B">
        <w:rPr>
          <w:lang w:val="en-US"/>
        </w:rPr>
        <w:t xml:space="preserve"> in the exercise of its functions as a development bank.</w:t>
      </w:r>
    </w:p>
    <w:p w:rsidR="003F1F78" w:rsidRDefault="003F1F78" w:rsidP="00BC3A59">
      <w:pPr>
        <w:spacing w:after="120"/>
        <w:jc w:val="both"/>
        <w:rPr>
          <w:b/>
          <w:lang w:val="en-US"/>
        </w:rPr>
      </w:pPr>
    </w:p>
    <w:p w:rsidR="003F1F78" w:rsidRPr="00CA173B" w:rsidRDefault="003F1F78" w:rsidP="00BC3A59">
      <w:pPr>
        <w:spacing w:after="120"/>
        <w:jc w:val="both"/>
        <w:rPr>
          <w:lang w:val="en-US"/>
        </w:rPr>
      </w:pPr>
      <w:r>
        <w:rPr>
          <w:b/>
          <w:lang w:val="en-US"/>
        </w:rPr>
        <w:t xml:space="preserve">Keywords: </w:t>
      </w:r>
      <w:r w:rsidRPr="00CA173B">
        <w:rPr>
          <w:lang w:val="en-US"/>
        </w:rPr>
        <w:t xml:space="preserve">Development banks; </w:t>
      </w:r>
      <w:smartTag w:uri="urn:schemas-microsoft-com:office:smarttags" w:element="City">
        <w:smartTag w:uri="urn:schemas-microsoft-com:office:smarttags" w:element="place">
          <w:r w:rsidRPr="00CA173B">
            <w:rPr>
              <w:lang w:val="en-US"/>
            </w:rPr>
            <w:t>Basel</w:t>
          </w:r>
        </w:smartTag>
      </w:smartTag>
      <w:r w:rsidRPr="00CA173B">
        <w:rPr>
          <w:lang w:val="en-US"/>
        </w:rPr>
        <w:t xml:space="preserve"> agreements; Brazilian Development Bank</w:t>
      </w:r>
      <w:r>
        <w:rPr>
          <w:lang w:val="en-US"/>
        </w:rPr>
        <w:t>; Brazilian Northeastern Bank; P</w:t>
      </w:r>
      <w:r w:rsidRPr="00CA173B">
        <w:rPr>
          <w:lang w:val="en-US"/>
        </w:rPr>
        <w:t>rudential regulation.</w:t>
      </w:r>
    </w:p>
    <w:p w:rsidR="003F1F78" w:rsidRPr="00DA3B17" w:rsidRDefault="003F1F78" w:rsidP="00BC3A59">
      <w:pPr>
        <w:spacing w:after="120"/>
        <w:jc w:val="both"/>
        <w:rPr>
          <w:b/>
          <w:lang w:val="en-US"/>
        </w:rPr>
      </w:pPr>
      <w:r w:rsidRPr="00DA3B17">
        <w:rPr>
          <w:b/>
          <w:lang w:val="en-US"/>
        </w:rPr>
        <w:t>JEL Classification: G, G2, G28.</w:t>
      </w:r>
    </w:p>
    <w:p w:rsidR="00887932" w:rsidRDefault="00887932" w:rsidP="00BC3A59">
      <w:pPr>
        <w:spacing w:after="200"/>
        <w:rPr>
          <w:b/>
        </w:rPr>
      </w:pPr>
    </w:p>
    <w:p w:rsidR="003F1F78" w:rsidRDefault="00273ECC" w:rsidP="00BC3A59">
      <w:pPr>
        <w:spacing w:after="200"/>
      </w:pPr>
      <w:r w:rsidRPr="00273ECC">
        <w:rPr>
          <w:b/>
        </w:rPr>
        <w:t xml:space="preserve">Área </w:t>
      </w:r>
      <w:proofErr w:type="spellStart"/>
      <w:r w:rsidRPr="00273ECC">
        <w:rPr>
          <w:b/>
        </w:rPr>
        <w:t>Anpec</w:t>
      </w:r>
      <w:proofErr w:type="spellEnd"/>
      <w:r w:rsidRPr="00273ECC">
        <w:rPr>
          <w:b/>
        </w:rPr>
        <w:t xml:space="preserve">: </w:t>
      </w:r>
      <w:r w:rsidRPr="00273ECC">
        <w:t>Área 3 – Macroeconomia, Economia Monet</w:t>
      </w:r>
      <w:r>
        <w:t>ária e Finanças</w:t>
      </w:r>
    </w:p>
    <w:p w:rsidR="009E0CA0" w:rsidRPr="00273ECC" w:rsidRDefault="009E0CA0" w:rsidP="00BC3A59">
      <w:pPr>
        <w:spacing w:after="200"/>
      </w:pPr>
    </w:p>
    <w:p w:rsidR="00B507E7" w:rsidRDefault="00887932" w:rsidP="00B507E7">
      <w:pPr>
        <w:spacing w:after="200"/>
        <w:jc w:val="center"/>
        <w:rPr>
          <w:b/>
        </w:rPr>
      </w:pPr>
      <w:r>
        <w:rPr>
          <w:b/>
        </w:rPr>
        <w:lastRenderedPageBreak/>
        <w:t xml:space="preserve">Os </w:t>
      </w:r>
      <w:r w:rsidR="00B507E7" w:rsidRPr="00275552">
        <w:rPr>
          <w:b/>
        </w:rPr>
        <w:t>Acordos de Basiléia no Brasil e seus impactos sobre o BNDES e o BNB</w:t>
      </w:r>
    </w:p>
    <w:p w:rsidR="003F1F78" w:rsidRPr="00D54C9D" w:rsidRDefault="003F1F78" w:rsidP="00BC3A59">
      <w:pPr>
        <w:spacing w:after="200"/>
        <w:rPr>
          <w:b/>
        </w:rPr>
      </w:pPr>
      <w:r w:rsidRPr="00D54C9D">
        <w:rPr>
          <w:b/>
        </w:rPr>
        <w:t>1. Introdução</w:t>
      </w:r>
    </w:p>
    <w:p w:rsidR="003F1F78" w:rsidRPr="00D54C9D" w:rsidRDefault="003F1F78" w:rsidP="00BC3A59">
      <w:pPr>
        <w:spacing w:after="120"/>
        <w:ind w:firstLine="708"/>
        <w:jc w:val="both"/>
      </w:pPr>
      <w:r w:rsidRPr="00937F27">
        <w:t>A despeito das discussões internacionais contemporâneas sobre regulação financeira terem seu foco</w:t>
      </w:r>
      <w:r w:rsidRPr="00D54C9D">
        <w:t xml:space="preserve"> situado sobre o </w:t>
      </w:r>
      <w:r>
        <w:t>Terceiro</w:t>
      </w:r>
      <w:r w:rsidRPr="00D54C9D">
        <w:t xml:space="preserve"> </w:t>
      </w:r>
      <w:proofErr w:type="gramStart"/>
      <w:r w:rsidRPr="00D54C9D">
        <w:t>Acordo</w:t>
      </w:r>
      <w:proofErr w:type="gramEnd"/>
      <w:r w:rsidRPr="00D54C9D">
        <w:t xml:space="preserve"> de Basiléia (BCBS, </w:t>
      </w:r>
      <w:r>
        <w:t>2010a e 2010b), é ainda escassa</w:t>
      </w:r>
      <w:r w:rsidRPr="00D54C9D">
        <w:t xml:space="preserve"> a literatura acerca de dois temas: a adequação da aplicação dos Acordos da Basiléia a bancos de desenvolvimento</w:t>
      </w:r>
      <w:r>
        <w:rPr>
          <w:rStyle w:val="Refdenotaderodap"/>
        </w:rPr>
        <w:footnoteReference w:id="2"/>
      </w:r>
      <w:r w:rsidRPr="00D54C9D">
        <w:t xml:space="preserve"> e os impactos que a adoção dos A</w:t>
      </w:r>
      <w:r>
        <w:t>cordos tiveram</w:t>
      </w:r>
      <w:r w:rsidRPr="00D54C9D">
        <w:t xml:space="preserve"> sobre estas instituições. O presente artigo se insere </w:t>
      </w:r>
      <w:r>
        <w:t>n</w:t>
      </w:r>
      <w:r w:rsidRPr="00D54C9D">
        <w:t>este segundo tema, tendo como foco o caso brasileiro</w:t>
      </w:r>
      <w:r>
        <w:t>, analisando especificamente o caso do Banco Nacional de Desenvolvimento Econômico e Social – BNDES e do Banco do Nordeste do Brasil – BNB</w:t>
      </w:r>
      <w:r w:rsidRPr="00D54C9D">
        <w:t>.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Como no Brasil o </w:t>
      </w:r>
      <w:r>
        <w:t>Segundo</w:t>
      </w:r>
      <w:r w:rsidRPr="00D54C9D">
        <w:t xml:space="preserve"> Acordo de Basiléia foi formalmente adotado em 2004 (Comunicado 12.746/2004 do </w:t>
      </w:r>
      <w:r>
        <w:t>Banco Central do Brasil</w:t>
      </w:r>
      <w:r w:rsidRPr="00D54C9D">
        <w:t xml:space="preserve">), mas editado e aplicado somente em 2007 (Comunicado 16.137/2007) – tendo seu cronograma de </w:t>
      </w:r>
      <w:proofErr w:type="gramStart"/>
      <w:r w:rsidRPr="00D54C9D">
        <w:t>implementação</w:t>
      </w:r>
      <w:proofErr w:type="gramEnd"/>
      <w:r w:rsidRPr="00D54C9D">
        <w:t xml:space="preserve"> se estendido até 2012 – </w:t>
      </w:r>
      <w:r>
        <w:t>ainda não é possível</w:t>
      </w:r>
      <w:r w:rsidRPr="00D54C9D">
        <w:t xml:space="preserve"> avaliar satisfatoriamente os impactos </w:t>
      </w:r>
      <w:r>
        <w:t>deste</w:t>
      </w:r>
      <w:r w:rsidRPr="00D54C9D">
        <w:t xml:space="preserve"> novo Acordo sobre os bancos de desenvolvimento brasileiros (</w:t>
      </w:r>
      <w:r>
        <w:t xml:space="preserve">BCB, 2010; Castro, </w:t>
      </w:r>
      <w:r w:rsidRPr="00D54C9D">
        <w:t>2009</w:t>
      </w:r>
      <w:r>
        <w:t>,</w:t>
      </w:r>
      <w:r w:rsidRPr="00D54C9D">
        <w:t xml:space="preserve"> Cap. 4). </w:t>
      </w:r>
      <w:r>
        <w:t>Desta forma, o artigo discute especificamente os</w:t>
      </w:r>
      <w:r w:rsidRPr="00D54C9D">
        <w:t xml:space="preserve"> impactos </w:t>
      </w:r>
      <w:r>
        <w:t>d</w:t>
      </w:r>
      <w:r w:rsidRPr="00D54C9D">
        <w:t xml:space="preserve">o </w:t>
      </w:r>
      <w:r>
        <w:t>P</w:t>
      </w:r>
      <w:r w:rsidRPr="00D54C9D">
        <w:t>rimeiro Acordo</w:t>
      </w:r>
      <w:r>
        <w:t xml:space="preserve"> sobre estas instituições</w:t>
      </w:r>
      <w:r w:rsidRPr="00D54C9D">
        <w:t>.</w:t>
      </w:r>
    </w:p>
    <w:p w:rsidR="003F1F78" w:rsidRPr="00D54C9D" w:rsidRDefault="003F1F78" w:rsidP="00BC3A59">
      <w:pPr>
        <w:spacing w:after="120"/>
        <w:ind w:firstLine="708"/>
        <w:jc w:val="both"/>
      </w:pPr>
      <w:proofErr w:type="gramStart"/>
      <w:r w:rsidRPr="00D54C9D">
        <w:t xml:space="preserve">O </w:t>
      </w:r>
      <w:r>
        <w:t>P</w:t>
      </w:r>
      <w:r w:rsidRPr="00D54C9D">
        <w:t>rimeiro Acordo</w:t>
      </w:r>
      <w:proofErr w:type="gramEnd"/>
      <w:r w:rsidRPr="00D54C9D">
        <w:t xml:space="preserve"> de Basiléia marcou o início da reorientação das estratégias de regulação financeira aplicadas ao redor do mundo até então, cujo foco situava-se sobre a liquidez das instituições financeiras. O Acordo visava</w:t>
      </w:r>
      <w:r>
        <w:t>,</w:t>
      </w:r>
      <w:r w:rsidRPr="00D54C9D">
        <w:t xml:space="preserve"> em princípio</w:t>
      </w:r>
      <w:r>
        <w:t>,</w:t>
      </w:r>
      <w:r w:rsidRPr="00D54C9D">
        <w:t xml:space="preserve"> à equalização das condições de competição bancária </w:t>
      </w:r>
      <w:r>
        <w:t>em</w:t>
      </w:r>
      <w:r w:rsidRPr="00D54C9D">
        <w:t xml:space="preserve"> nível internacional, permitindo aos bancos americanos internacionalmente ativos competir em </w:t>
      </w:r>
      <w:r>
        <w:t>condições</w:t>
      </w:r>
      <w:r w:rsidRPr="00D54C9D">
        <w:t xml:space="preserve"> de igualdade com os bancos europ</w:t>
      </w:r>
      <w:r>
        <w:t>eus e japoneses (Carvalho, 2005, pp.</w:t>
      </w:r>
      <w:r w:rsidRPr="00D54C9D">
        <w:t xml:space="preserve"> 16-18). Neste sentido, estendeu-se a exigência de que os bancos mantivessem coeficientes de capital próprio já em prática nos Estados Unidos para os demais bancos internacionalmente ativos.</w:t>
      </w:r>
    </w:p>
    <w:p w:rsidR="003F1F78" w:rsidRPr="00D54C9D" w:rsidRDefault="003F1F78" w:rsidP="00BC3A59">
      <w:pPr>
        <w:spacing w:after="120"/>
        <w:ind w:firstLine="708"/>
        <w:jc w:val="both"/>
      </w:pPr>
      <w:r>
        <w:t xml:space="preserve">Em que pese o fato do primeiro Acordo está essencialmente voltado para a equalização das condições de competitividade entre os bancos internacionalmente ativos e não para o estabelecimento de um arcabouço de regulação prudencial com vistas a moderar os efeitos da </w:t>
      </w:r>
      <w:proofErr w:type="gramStart"/>
      <w:r>
        <w:t>alavancagem</w:t>
      </w:r>
      <w:proofErr w:type="gramEnd"/>
      <w:r>
        <w:t xml:space="preserve"> dos bancos</w:t>
      </w:r>
      <w:r w:rsidRPr="00D54C9D">
        <w:t xml:space="preserve">, o </w:t>
      </w:r>
      <w:r>
        <w:t>mesmo</w:t>
      </w:r>
      <w:r w:rsidRPr="00D54C9D">
        <w:t xml:space="preserve"> contribuiu para que se ampliasse a percepção acerca da inadequação da estratégia regulatória tradicional </w:t>
      </w:r>
      <w:r>
        <w:t xml:space="preserve">(controle de liquidez) </w:t>
      </w:r>
      <w:r w:rsidRPr="00D54C9D">
        <w:t xml:space="preserve">ante um contexto de </w:t>
      </w:r>
      <w:r>
        <w:t>emergência</w:t>
      </w:r>
      <w:r w:rsidRPr="00D54C9D">
        <w:t xml:space="preserve"> de inúmeras inovações financeiras (</w:t>
      </w:r>
      <w:r>
        <w:t xml:space="preserve">e.g. </w:t>
      </w:r>
      <w:r w:rsidRPr="00D54C9D">
        <w:t xml:space="preserve">securitização) e de aprofundamento dos sistemas financeiros. Nesse contexto, o foco regulatório passou da </w:t>
      </w:r>
      <w:r w:rsidRPr="00D54C9D">
        <w:rPr>
          <w:u w:val="single"/>
        </w:rPr>
        <w:t>liquidez</w:t>
      </w:r>
      <w:r w:rsidRPr="00D54C9D">
        <w:t xml:space="preserve"> para a </w:t>
      </w:r>
      <w:r w:rsidRPr="00D54C9D">
        <w:rPr>
          <w:u w:val="single"/>
        </w:rPr>
        <w:t>solvência</w:t>
      </w:r>
      <w:r w:rsidRPr="00D54C9D">
        <w:t xml:space="preserve"> das instituições financeiras. O objetivo essencial desta forma de regulação prudencial é que, ao longo do tempo, as trajetórias de expansão do ativo ponderado pelo risco e do capital próprio </w:t>
      </w:r>
      <w:proofErr w:type="spellStart"/>
      <w:r w:rsidRPr="00D54C9D">
        <w:t>cointegrem</w:t>
      </w:r>
      <w:proofErr w:type="spellEnd"/>
      <w:r w:rsidRPr="00D54C9D">
        <w:t xml:space="preserve">, isto é, evoluam na mesma direção e na mesma magnitude. Em outras palavras, as instituições financeiras deviriam provisionar com capital próprio as expansões </w:t>
      </w:r>
      <w:r>
        <w:t>(</w:t>
      </w:r>
      <w:proofErr w:type="gramStart"/>
      <w:r>
        <w:t>alavancagem</w:t>
      </w:r>
      <w:proofErr w:type="gramEnd"/>
      <w:r>
        <w:t>) dos seus ativos (em especial</w:t>
      </w:r>
      <w:r w:rsidRPr="00D54C9D">
        <w:t xml:space="preserve"> dos mais arriscados), reduzindo, </w:t>
      </w:r>
      <w:r>
        <w:t>assim, a possibilidade de ocorrência de crises sistêmicas</w:t>
      </w:r>
      <w:r w:rsidRPr="00D54C9D">
        <w:t xml:space="preserve"> (De </w:t>
      </w:r>
      <w:proofErr w:type="spellStart"/>
      <w:r w:rsidRPr="00D54C9D">
        <w:t>Bandt</w:t>
      </w:r>
      <w:proofErr w:type="spellEnd"/>
      <w:r w:rsidRPr="00D54C9D">
        <w:t xml:space="preserve"> </w:t>
      </w:r>
      <w:r>
        <w:t>e</w:t>
      </w:r>
      <w:r w:rsidRPr="00D54C9D">
        <w:t xml:space="preserve"> </w:t>
      </w:r>
      <w:proofErr w:type="spellStart"/>
      <w:r w:rsidRPr="00D54C9D">
        <w:t>Hartman</w:t>
      </w:r>
      <w:proofErr w:type="spellEnd"/>
      <w:r w:rsidRPr="00D54C9D">
        <w:t xml:space="preserve">, 2000). </w:t>
      </w:r>
    </w:p>
    <w:p w:rsidR="003F1F78" w:rsidRPr="00D54C9D" w:rsidRDefault="003F1F78" w:rsidP="00BC3A59">
      <w:pPr>
        <w:spacing w:after="120"/>
        <w:ind w:firstLine="708"/>
        <w:jc w:val="both"/>
      </w:pPr>
      <w:r>
        <w:t>O Acordo</w:t>
      </w:r>
      <w:r w:rsidRPr="00D54C9D">
        <w:t xml:space="preserve"> foi amplamente adotado e aplicado não só para os bancos internacionalmente ativos, mas também para a </w:t>
      </w:r>
      <w:r w:rsidRPr="00D54C9D">
        <w:rPr>
          <w:i/>
        </w:rPr>
        <w:t>totalidade</w:t>
      </w:r>
      <w:r w:rsidRPr="00D54C9D">
        <w:t xml:space="preserve"> do sistema bancário, incluindo aí os bancos de desenvolvimento</w:t>
      </w:r>
      <w:r>
        <w:rPr>
          <w:rStyle w:val="Refdenotaderodap"/>
        </w:rPr>
        <w:footnoteReference w:id="3"/>
      </w:r>
      <w:r w:rsidRPr="00D54C9D">
        <w:t xml:space="preserve">. </w:t>
      </w:r>
      <w:r>
        <w:t>É importante observar que</w:t>
      </w:r>
      <w:r w:rsidRPr="00D54C9D">
        <w:t xml:space="preserve"> este processo foi estimulado pelo Fundo Monetário Internacional (FMI) e pelo Banco Mundial, os quais passaram a </w:t>
      </w:r>
      <w:r>
        <w:t>requerer o A</w:t>
      </w:r>
      <w:r w:rsidRPr="00D54C9D">
        <w:t>cordo como critério par</w:t>
      </w:r>
      <w:r>
        <w:t>a aprovação de empréstimos (</w:t>
      </w:r>
      <w:r w:rsidRPr="00D54C9D">
        <w:t>Carvalho, 2005</w:t>
      </w:r>
      <w:r>
        <w:t>, p.</w:t>
      </w:r>
      <w:r w:rsidRPr="00D54C9D">
        <w:t xml:space="preserve"> 18).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Bancos de desenvolvimento, contudo, se distinguem das instituições financeiras </w:t>
      </w:r>
      <w:r>
        <w:t xml:space="preserve">típicas em grande medida por contarem com uma ampla participação de recursos do Tesouro na estrutura de seus passivos – e, em alguns casos, sequer serem autorizados a receber depósitos à vista ou a prazo </w:t>
      </w:r>
      <w:r>
        <w:lastRenderedPageBreak/>
        <w:t>– bem como por não se encontrarem no centro da operação dos sistemas de pagamento das economias e, como tal, não estarem associados à emergência de crises sistêmicas (</w:t>
      </w:r>
      <w:proofErr w:type="spellStart"/>
      <w:r>
        <w:t>Esty</w:t>
      </w:r>
      <w:proofErr w:type="spellEnd"/>
      <w:r>
        <w:t xml:space="preserve"> </w:t>
      </w:r>
      <w:proofErr w:type="spellStart"/>
      <w:proofErr w:type="gramStart"/>
      <w:r>
        <w:t>et</w:t>
      </w:r>
      <w:proofErr w:type="spellEnd"/>
      <w:proofErr w:type="gramEnd"/>
      <w:r>
        <w:t xml:space="preserve"> al., 2003; </w:t>
      </w:r>
      <w:proofErr w:type="spellStart"/>
      <w:r>
        <w:t>Long</w:t>
      </w:r>
      <w:proofErr w:type="spellEnd"/>
      <w:r>
        <w:t xml:space="preserve">, 1992, Sobreira e </w:t>
      </w:r>
      <w:proofErr w:type="spellStart"/>
      <w:r>
        <w:t>Zendron</w:t>
      </w:r>
      <w:proofErr w:type="spellEnd"/>
      <w:r>
        <w:t xml:space="preserve">, 2011). </w:t>
      </w:r>
    </w:p>
    <w:p w:rsidR="003F1F78" w:rsidRPr="007F47B8" w:rsidRDefault="003F1F78" w:rsidP="00BC3A59">
      <w:pPr>
        <w:spacing w:after="120"/>
        <w:ind w:firstLine="708"/>
        <w:jc w:val="both"/>
      </w:pPr>
      <w:r>
        <w:t xml:space="preserve">Estas características típicas dos bancos de desenvolvimento – especialmente os bancos de países emergentes – sinalizam para uma inadequação da aplicação do Acordo de Basiléia para tais instituições e, mais especificamente, para o BNDES e o BNB </w:t>
      </w:r>
      <w:r w:rsidRPr="00D54C9D">
        <w:t>(BNDES, 2007; Castro, 2009</w:t>
      </w:r>
      <w:r>
        <w:t xml:space="preserve">; Sobreira e </w:t>
      </w:r>
      <w:proofErr w:type="spellStart"/>
      <w:r>
        <w:t>Zendron</w:t>
      </w:r>
      <w:proofErr w:type="spellEnd"/>
      <w:r>
        <w:t>, idem</w:t>
      </w:r>
      <w:r w:rsidRPr="00D54C9D">
        <w:t xml:space="preserve">). </w:t>
      </w:r>
      <w:r>
        <w:t>Ao serem obrigadas a provisionar capital próprio ajustado em função do risco das suas operações – o qual seria, por definição, mais amplo do que os riscos tipicamente associados às operações dos bancos comerciais e/ou múltiplos, visto que estes últimos não atuam intensamente na oferta de crédito de longo prazo e/ou na oferta de crédito para operações com maior grau de incerteza (e.g. financiamento da inovação), porém extremamente relevantes para o desenvolvimento econômico – os bancos de desenvolvimento vêem reduzida sua capacidade de ofertar crédito nos termos adequados para a execução de sua missão e, como tal, perderiam funcionalidade nos</w:t>
      </w:r>
      <w:r w:rsidRPr="00D54C9D">
        <w:t xml:space="preserve"> processos de desenvolvimento</w:t>
      </w:r>
      <w:r>
        <w:t xml:space="preserve"> (cf. Prado e Monteiro Filha, 2005, p.1</w:t>
      </w:r>
      <w:r w:rsidRPr="00B95459">
        <w:rPr>
          <w:i/>
        </w:rPr>
        <w:t>.</w:t>
      </w:r>
      <w:r>
        <w:t>)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No Brasil, as práticas regulamentares sugeridas no primeiro Acordo da Basiléia foram adotadas </w:t>
      </w:r>
      <w:r>
        <w:t>somente</w:t>
      </w:r>
      <w:r w:rsidRPr="00D54C9D">
        <w:t xml:space="preserve"> em 1994. O Acordo submeteu os bancos de desenvolvimento às exigências </w:t>
      </w:r>
      <w:r>
        <w:t>de Basiléia,</w:t>
      </w:r>
      <w:r w:rsidRPr="00D54C9D">
        <w:t xml:space="preserve"> tratando-os de modo</w:t>
      </w:r>
      <w:r>
        <w:t xml:space="preserve"> idêntico aos bancos comerciais e</w:t>
      </w:r>
      <w:r w:rsidRPr="00D54C9D">
        <w:t xml:space="preserve"> universais. </w:t>
      </w:r>
      <w:r>
        <w:t xml:space="preserve">Com a </w:t>
      </w:r>
      <w:proofErr w:type="gramStart"/>
      <w:r>
        <w:t>implementação</w:t>
      </w:r>
      <w:proofErr w:type="gramEnd"/>
      <w:r>
        <w:t xml:space="preserve"> do novo regulamento</w:t>
      </w:r>
      <w:r w:rsidRPr="00D54C9D">
        <w:t xml:space="preserve">, esperava-se que a solidez do sistema financeiro brasileiro fosse ampliada, o que exigiria, em alguns casos, profundas alterações nos modelos de gestão e nas práticas operacionais das instituições financeiras. Neste processo </w:t>
      </w:r>
      <w:r>
        <w:t>estavam</w:t>
      </w:r>
      <w:r w:rsidRPr="00D54C9D">
        <w:t xml:space="preserve"> inseridos o Banco Nacional de Desenvolvimento Econômico e Social (BNDES) e o Banco do Nordeste do Brasil (BNB), os dois maiores bancos de desenvolvimento brasileiros (ao final de 2010, os ativos destas instituições representavam 12% dos ativos de todo o Sistema Financeiro Brasileiro).</w:t>
      </w:r>
    </w:p>
    <w:p w:rsidR="003F1F78" w:rsidRDefault="003F1F78" w:rsidP="00BC3A59">
      <w:pPr>
        <w:spacing w:after="120"/>
        <w:ind w:firstLine="708"/>
        <w:jc w:val="both"/>
      </w:pPr>
      <w:r w:rsidRPr="00D54C9D">
        <w:t xml:space="preserve">O presente artigo está organizado como segue. Após esta introdução, a seção 2 apresenta como se deu a </w:t>
      </w:r>
      <w:proofErr w:type="gramStart"/>
      <w:r w:rsidRPr="00D54C9D">
        <w:t>implementação</w:t>
      </w:r>
      <w:proofErr w:type="gramEnd"/>
      <w:r w:rsidRPr="00D54C9D">
        <w:t xml:space="preserve"> do Acordo de Basiléia no Brasil. A seção 3 busca avaliar como (ou se) a submissão dos bancos de desenvolvimento brasileiros aqui estudados – o BNDES e o BNB – às regras de Basiléia I, tais como definidas pelo Banco Central do Brasil (BCB), impactou seu comportamento de modo a interferir no cumprimento da sua missão. Por fim, a seção 4 apresenta as principais conclusões do trabalho.</w:t>
      </w:r>
    </w:p>
    <w:p w:rsidR="003F1F78" w:rsidRPr="00D54C9D" w:rsidRDefault="003F1F78" w:rsidP="00BC3A59">
      <w:pPr>
        <w:spacing w:after="120"/>
        <w:ind w:firstLine="708"/>
        <w:jc w:val="both"/>
      </w:pPr>
    </w:p>
    <w:p w:rsidR="003F1F78" w:rsidRPr="00D54C9D" w:rsidRDefault="003F1F78" w:rsidP="00BC3A59">
      <w:pPr>
        <w:spacing w:after="120"/>
        <w:rPr>
          <w:b/>
        </w:rPr>
      </w:pPr>
      <w:r w:rsidRPr="00D54C9D">
        <w:rPr>
          <w:b/>
        </w:rPr>
        <w:t>2. Os Acordos de Basiléia no Brasil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As proposições do Acordo de Basiléia de 1988 </w:t>
      </w:r>
      <w:r>
        <w:t>foram</w:t>
      </w:r>
      <w:r w:rsidRPr="00D54C9D">
        <w:t xml:space="preserve"> introduzidas no Brasil por meio da Resolução 2.099/1994 do </w:t>
      </w:r>
      <w:r>
        <w:t>Conselho Monetário Nacional (CMN)</w:t>
      </w:r>
      <w:r w:rsidRPr="00D54C9D">
        <w:t>. Esta resolução estabeleceu os limites mínimos de capital realizado e patrimônio líquido a serem observados pelas instituições financeiras autorizadas a funcionar pelo BCB, incluindo os bancos de desenvolvimento (Anexo II, Art. 1º, inciso II), e que as mesmas deveriam “</w:t>
      </w:r>
      <w:r w:rsidRPr="009F4B7C">
        <w:t>manter valor de patrimônio líquido ajustado compatível com o grau de risco da estrutura de seus ativos</w:t>
      </w:r>
      <w:r w:rsidRPr="00D54C9D">
        <w:t xml:space="preserve">” (Anexo IV, Art. 1º), dentre outras disposições. 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Ainda no Anexo IV à Resolução, </w:t>
      </w:r>
      <w:r>
        <w:t>foi estabelecido</w:t>
      </w:r>
      <w:r w:rsidRPr="00D54C9D">
        <w:t xml:space="preserve"> o patamar de 8% para o patrimônio líquido exigido – valor posteriormente alterado para 11% (Circular 2.784/1997) em consonância com a recomendação do Comitê da Basiléia de que países em desenvolvimento, “</w:t>
      </w:r>
      <w:r w:rsidRPr="00442B07">
        <w:t>onde operam sistemas bancários menos desenvolvidos e sujeitos a choques de maior intensidade</w:t>
      </w:r>
      <w:r w:rsidRPr="00D54C9D">
        <w:t>” (BNDES, 2007</w:t>
      </w:r>
      <w:r>
        <w:t>, p.</w:t>
      </w:r>
      <w:r w:rsidRPr="00D54C9D">
        <w:t xml:space="preserve"> 30) adotassem coeficientes mais elevados – e os fatores de ponderação de risco para as diferentes classes de ativos</w:t>
      </w:r>
      <w:r>
        <w:rPr>
          <w:rStyle w:val="Refdenotaderodap"/>
        </w:rPr>
        <w:footnoteReference w:id="4"/>
      </w:r>
      <w:r w:rsidRPr="00D54C9D">
        <w:t xml:space="preserve">. Esta Resolução estabeleceu 30 de abril de </w:t>
      </w:r>
      <w:proofErr w:type="gramStart"/>
      <w:r w:rsidRPr="00D54C9D">
        <w:t>1995 como data</w:t>
      </w:r>
      <w:proofErr w:type="gramEnd"/>
      <w:r w:rsidRPr="00D54C9D">
        <w:t xml:space="preserve"> limite para adaptação das instituições financeiras existentes </w:t>
      </w:r>
      <w:r>
        <w:t>às exigências</w:t>
      </w:r>
      <w:r w:rsidRPr="00D54C9D">
        <w:t xml:space="preserve"> de patrimônio líquido definidos na mesma. No caso</w:t>
      </w:r>
      <w:r>
        <w:t xml:space="preserve"> de</w:t>
      </w:r>
      <w:r w:rsidRPr="00D54C9D">
        <w:t xml:space="preserve"> instituições criadas após a publicação da Resolução 2.099, o cronograma de </w:t>
      </w:r>
      <w:r w:rsidRPr="00D54C9D">
        <w:lastRenderedPageBreak/>
        <w:t xml:space="preserve">implantação </w:t>
      </w:r>
      <w:r>
        <w:t xml:space="preserve">conferiu um prazo até o </w:t>
      </w:r>
      <w:r w:rsidRPr="00D54C9D">
        <w:t xml:space="preserve">ano </w:t>
      </w:r>
      <w:r>
        <w:t xml:space="preserve">de </w:t>
      </w:r>
      <w:r w:rsidRPr="00D54C9D">
        <w:t xml:space="preserve">2001 para </w:t>
      </w:r>
      <w:r>
        <w:t xml:space="preserve">as mesmas </w:t>
      </w:r>
      <w:r w:rsidRPr="00D54C9D">
        <w:t xml:space="preserve">se </w:t>
      </w:r>
      <w:r>
        <w:t>adaptassem</w:t>
      </w:r>
      <w:r w:rsidRPr="00D54C9D">
        <w:t xml:space="preserve"> plenamente às novas exigências.</w:t>
      </w:r>
    </w:p>
    <w:p w:rsidR="003F1F78" w:rsidRDefault="003F1F78" w:rsidP="00BC3A59">
      <w:pPr>
        <w:spacing w:after="120"/>
        <w:jc w:val="both"/>
      </w:pPr>
      <w:r w:rsidRPr="00D54C9D">
        <w:tab/>
        <w:t xml:space="preserve">Cabe ressaltar que o procedimento de cálculo do patrimônio líquido exigido (PLE) foi </w:t>
      </w:r>
      <w:r>
        <w:t xml:space="preserve">sendo </w:t>
      </w:r>
      <w:r w:rsidRPr="00D54C9D">
        <w:t xml:space="preserve">alterado de modo a incluir outras classes de operações/ativos que implicariam em exposição da instituição financeira, tais como operações com </w:t>
      </w:r>
      <w:r w:rsidRPr="004C2190">
        <w:rPr>
          <w:i/>
        </w:rPr>
        <w:t>swap</w:t>
      </w:r>
      <w:r w:rsidRPr="00D54C9D">
        <w:t xml:space="preserve"> e ouro</w:t>
      </w:r>
      <w:r>
        <w:t>, em linha com as mudanças de recomendação do BIS</w:t>
      </w:r>
      <w:r w:rsidRPr="00D54C9D">
        <w:t xml:space="preserve">. </w:t>
      </w:r>
      <w:r>
        <w:t xml:space="preserve">Contudo, até 1998, o BCB não havia </w:t>
      </w:r>
      <w:r w:rsidRPr="00D54C9D">
        <w:t xml:space="preserve">definido precisamente o conceito de patrimônio líquido que seria aceito </w:t>
      </w:r>
      <w:r>
        <w:t>de modo a permitir uma avaliação adequada do</w:t>
      </w:r>
      <w:r w:rsidRPr="00D54C9D">
        <w:t xml:space="preserve"> enquadramento </w:t>
      </w:r>
      <w:r>
        <w:t xml:space="preserve">da instituição financeira </w:t>
      </w:r>
      <w:r w:rsidRPr="00D54C9D">
        <w:t xml:space="preserve">às regras de Basiléia. </w:t>
      </w:r>
      <w:r>
        <w:t>C</w:t>
      </w:r>
      <w:r w:rsidRPr="00D54C9D">
        <w:t xml:space="preserve">om a edição da Resolução 2.543, </w:t>
      </w:r>
      <w:r>
        <w:t>em 26 de agosto de 1998, o Conselho Monetário Nacional</w:t>
      </w:r>
      <w:r w:rsidRPr="00D54C9D">
        <w:t xml:space="preserve"> </w:t>
      </w:r>
      <w:r>
        <w:t>passa a definir</w:t>
      </w:r>
      <w:r w:rsidRPr="00D54C9D">
        <w:t xml:space="preserve"> o patrimônio líquido ajustado (PLA) </w:t>
      </w:r>
      <w:r>
        <w:t xml:space="preserve">para fins de enquadramento às </w:t>
      </w:r>
      <w:proofErr w:type="gramStart"/>
      <w:r>
        <w:t>regras de Basiléia como</w:t>
      </w:r>
      <w:r w:rsidRPr="00D54C9D">
        <w:t xml:space="preserve"> composto pela soma dos capitais de nível I e nível II</w:t>
      </w:r>
      <w:proofErr w:type="gramEnd"/>
      <w:r w:rsidRPr="00D54C9D">
        <w:t>. O capital de nível I seria representado</w:t>
      </w:r>
      <w:r>
        <w:t xml:space="preserve"> </w:t>
      </w:r>
      <w:r w:rsidRPr="00D54C9D">
        <w:t>“</w:t>
      </w:r>
      <w:r w:rsidRPr="00447C82">
        <w:t>pelo capital social, reservas de lucros (excluídas as reservas para contingências e as reservas especiais de lucros relativas a dividendos obrigatórios não distribuídos) e lucros ou prejuízos acumulados ajustados pelo valor líquido entre receitas e despesas, deduzidos os valores referentes a ações em tesouraria, ações preferenciais cumulativas e ações preferenciais resgatáveis</w:t>
      </w:r>
      <w:r w:rsidRPr="00D54C9D">
        <w:t>” (</w:t>
      </w:r>
      <w:r>
        <w:t>CMN</w:t>
      </w:r>
      <w:r w:rsidRPr="00D54C9D">
        <w:t xml:space="preserve">, 1998). </w:t>
      </w:r>
    </w:p>
    <w:p w:rsidR="003F1F78" w:rsidRDefault="003F1F78" w:rsidP="00BC3A59">
      <w:pPr>
        <w:spacing w:after="120"/>
        <w:ind w:firstLine="708"/>
        <w:jc w:val="both"/>
      </w:pPr>
      <w:r w:rsidRPr="00D54C9D">
        <w:t>O capital de nível II, po</w:t>
      </w:r>
      <w:r>
        <w:t xml:space="preserve">r seu turno, seria representado </w:t>
      </w:r>
      <w:r w:rsidRPr="00D54C9D">
        <w:t>“</w:t>
      </w:r>
      <w:r w:rsidRPr="0049215E">
        <w:t>pelas reservas de reavaliação, reservas para contingências, reservas especiais de lucros relativas a dividendos obrigatórios não distribuídos, ações preferenciais cumulativas, ações preferenciais resgatáveis, dívidas subordinadas e instrumentos híbridos de capital e dívida.</w:t>
      </w:r>
      <w:r w:rsidRPr="00D54C9D">
        <w:t>” (</w:t>
      </w:r>
      <w:r w:rsidRPr="00D54C9D">
        <w:rPr>
          <w:i/>
        </w:rPr>
        <w:t>idem</w:t>
      </w:r>
      <w:r>
        <w:t>).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Adicionalmente, o </w:t>
      </w:r>
      <w:r>
        <w:t>CMN</w:t>
      </w:r>
      <w:r w:rsidRPr="00D54C9D">
        <w:t xml:space="preserve"> </w:t>
      </w:r>
      <w:r>
        <w:t>definiu</w:t>
      </w:r>
      <w:r w:rsidRPr="00D54C9D">
        <w:t xml:space="preserve"> limites relativos à integralização do capital nível II para composição do PLA, quais sejam: (a) o montante do capital nível II fica limitado ao valor do nível I; (b) o montante das reservas de reavaliação fica limitado a 25% do PLA; e (c) o montante das dívidas subordinadas fica limitado a 50% do capital nível I.</w:t>
      </w:r>
    </w:p>
    <w:p w:rsidR="003F1F78" w:rsidRDefault="003F1F78" w:rsidP="00BC3A59">
      <w:pPr>
        <w:spacing w:after="120"/>
        <w:ind w:firstLine="708"/>
        <w:jc w:val="both"/>
      </w:pPr>
      <w:r w:rsidRPr="00D54C9D">
        <w:t>Esta definição de PLA é alterada em dezembro de 2000 com a edição da Resolução 2.802</w:t>
      </w:r>
      <w:r>
        <w:t>,</w:t>
      </w:r>
      <w:r w:rsidRPr="00D54C9D">
        <w:t xml:space="preserve"> que substitui a definição de PLA por Patrimônio de Referência (PR) para fins de análise de enquadramento da instituição financeira às regras de Basiléia. Com esta Resolução, o capital de n</w:t>
      </w:r>
      <w:r>
        <w:t xml:space="preserve">ível I passa a ser representado </w:t>
      </w:r>
      <w:r w:rsidRPr="00D54C9D">
        <w:t>“</w:t>
      </w:r>
      <w:r w:rsidRPr="00CD5A94">
        <w:t>pelo patrimônio líquido, acrescido do saldo das contas de resultado credoras e deduzido do saldo das contas de resultado devedoras, excluídas as reservas de reavaliação, as reservas para contingências e as reservas especiais de lucros relativas a dividendos obrigatórios não distribuídos e deduzidos os valores referentes a ações preferenciais cumulativas e a ações preferenciais resgatáveis</w:t>
      </w:r>
      <w:r w:rsidRPr="00D54C9D">
        <w:t>.” (</w:t>
      </w:r>
      <w:r>
        <w:t>CMN</w:t>
      </w:r>
      <w:r w:rsidRPr="00D54C9D">
        <w:t xml:space="preserve">, 2000). O capital de nível II, por </w:t>
      </w:r>
      <w:r>
        <w:t>sua vez</w:t>
      </w:r>
      <w:r w:rsidRPr="00D54C9D">
        <w:t>, passa a ser representado “</w:t>
      </w:r>
      <w:r w:rsidRPr="00CD5A94">
        <w:t>pelas reservas de reavaliação, reservas para contingências, reservas especiais de lucros relativas a dividendos obrigatórios não distribuídos, ações preferenciais cumulativas, ações preferenciais resgatáveis, dívidas subordinadas e instrumentos híbridos de capital e dívida</w:t>
      </w:r>
      <w:r w:rsidRPr="00D54C9D">
        <w:rPr>
          <w:i/>
        </w:rPr>
        <w:t>.</w:t>
      </w:r>
      <w:r w:rsidRPr="00D54C9D">
        <w:t>” (</w:t>
      </w:r>
      <w:r w:rsidRPr="00D54C9D">
        <w:rPr>
          <w:i/>
        </w:rPr>
        <w:t>idem</w:t>
      </w:r>
      <w:r w:rsidRPr="00D54C9D">
        <w:t xml:space="preserve">). 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A integralização de capital nível II continua limitada ao valor do capital </w:t>
      </w:r>
      <w:r w:rsidRPr="002E2A27">
        <w:t>nível I,</w:t>
      </w:r>
      <w:r w:rsidRPr="00D54C9D">
        <w:t xml:space="preserve"> observando-se que (a) o montante das reservas de reavaliação fica limitado a 25% do PR; (b) o montante das dívidas subordinadas, somado ao valor das ações preferenciais resgatáveis de prazo de vencimento inferior a 10 anos fica limitado a 50% do capital nível I; e (c) sobre o valor das dívidas subordinadas é aplicado um redutor de 20% a cada ano nos últimos </w:t>
      </w:r>
      <w:proofErr w:type="gramStart"/>
      <w:r w:rsidRPr="00D54C9D">
        <w:t>5</w:t>
      </w:r>
      <w:proofErr w:type="gramEnd"/>
      <w:r w:rsidRPr="00D54C9D">
        <w:t xml:space="preserve"> anos anteriores ao respectivo vencimento da dívida. Em 2001, com a publicação da Resolução 2.837, a definição de Patrimônio de Referência (PR) foi mais uma vez modificada, embora de modo pontual</w:t>
      </w:r>
      <w:r w:rsidRPr="00D54C9D">
        <w:rPr>
          <w:rStyle w:val="Refdenotaderodap"/>
        </w:rPr>
        <w:footnoteReference w:id="5"/>
      </w:r>
      <w:r w:rsidRPr="00D54C9D">
        <w:t>.</w:t>
      </w:r>
    </w:p>
    <w:p w:rsidR="003F1F78" w:rsidRDefault="003F1F78" w:rsidP="00BC3A59">
      <w:pPr>
        <w:spacing w:after="120"/>
        <w:ind w:firstLine="708"/>
        <w:jc w:val="both"/>
      </w:pPr>
      <w:r>
        <w:t>Por fim</w:t>
      </w:r>
      <w:r w:rsidRPr="0091360A">
        <w:t>, a Resolução 2.682/99 obrig</w:t>
      </w:r>
      <w:r>
        <w:t>ou</w:t>
      </w:r>
      <w:r w:rsidRPr="0091360A">
        <w:t xml:space="preserve"> as instituições financeiras a classificar as operações de crédito para fins de constituição de provisão para créditos de liquidação duvidosa. Como resultado, as instituições financeiras se viram obrigadas não só a elevar a referida provisão quando fosse o caso, mas também a constituir um volume de capital próprio eventualmente superior àquele constituído antes da edição </w:t>
      </w:r>
      <w:r>
        <w:t>deste normativo</w:t>
      </w:r>
      <w:r w:rsidRPr="0091360A">
        <w:t>.</w:t>
      </w:r>
      <w:r w:rsidRPr="00D54C9D">
        <w:t xml:space="preserve"> 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lastRenderedPageBreak/>
        <w:t xml:space="preserve">As mudanças </w:t>
      </w:r>
      <w:r>
        <w:t>definidas na</w:t>
      </w:r>
      <w:r w:rsidRPr="00D54C9D">
        <w:t xml:space="preserve"> Resolução 2.099/94 e</w:t>
      </w:r>
      <w:r>
        <w:t xml:space="preserve"> nas subseqüentes resoluções e</w:t>
      </w:r>
      <w:r w:rsidRPr="00D54C9D">
        <w:t xml:space="preserve"> a conseqüente necessidade de reestruturação patrimonial dos bancos, levaram o governo a </w:t>
      </w:r>
      <w:proofErr w:type="gramStart"/>
      <w:r w:rsidRPr="00D54C9D">
        <w:t>implementar</w:t>
      </w:r>
      <w:proofErr w:type="gramEnd"/>
      <w:r w:rsidRPr="00D54C9D">
        <w:t xml:space="preserve"> um programa de fortalecimento das instituições financeiras federais. No que se refere especificamente aos bancos públicos federais, em uma Inspeção Global Consolidada (IGC</w:t>
      </w:r>
      <w:proofErr w:type="gramStart"/>
      <w:r w:rsidRPr="00D54C9D">
        <w:t>)</w:t>
      </w:r>
      <w:proofErr w:type="gramEnd"/>
      <w:r w:rsidRPr="00D54C9D">
        <w:rPr>
          <w:rStyle w:val="Refdenotaderodap"/>
        </w:rPr>
        <w:footnoteReference w:id="6"/>
      </w:r>
      <w:r w:rsidRPr="00D54C9D">
        <w:t xml:space="preserve"> feita em 1997 pelo Banco Central em cada um dos quatro bancos federais – Caixa Econômica Federal, Banco do Brasil, Banco do Nordeste e Banco da Amazônica – foi constatada a necessidade de reestruturação patrimonial destas instituições</w:t>
      </w:r>
      <w:r w:rsidRPr="00D54C9D">
        <w:rPr>
          <w:rStyle w:val="Refdenotaderodap"/>
        </w:rPr>
        <w:footnoteReference w:id="7"/>
      </w:r>
      <w:r w:rsidRPr="00D54C9D">
        <w:rPr>
          <w:vertAlign w:val="superscript"/>
        </w:rPr>
        <w:t>,</w:t>
      </w:r>
      <w:r w:rsidRPr="00D54C9D">
        <w:rPr>
          <w:rStyle w:val="Refdenotaderodap"/>
        </w:rPr>
        <w:footnoteReference w:id="8"/>
      </w:r>
      <w:r w:rsidRPr="00D54C9D">
        <w:t>.</w:t>
      </w:r>
    </w:p>
    <w:p w:rsidR="003F1F78" w:rsidRPr="00174A30" w:rsidRDefault="003F1F78" w:rsidP="00BC3A59">
      <w:pPr>
        <w:spacing w:after="120"/>
        <w:ind w:firstLine="708"/>
        <w:jc w:val="both"/>
      </w:pPr>
      <w:r w:rsidRPr="00174A30">
        <w:t xml:space="preserve">Em função do resultado desta Inspeção e das provisões exigidas a partir da edição da Resolução 2.682/99, o governo percebeu a necessidade de </w:t>
      </w:r>
      <w:proofErr w:type="gramStart"/>
      <w:r>
        <w:t>implementar</w:t>
      </w:r>
      <w:proofErr w:type="gramEnd"/>
      <w:r w:rsidRPr="00174A30">
        <w:t xml:space="preserve"> um programa de ajuste patrimonial destas instituições, o que foi feito com a edição da Medida Provisória (MP) 2.196, de 28 de junho de 2001, que instituiu o Programa de Fortalecimento das Instituições Financeiras Federais (PROEF). O PROEF consistiu, basicamente, (a) da transferência do risco dos créditos de liquidação duvidosa e com baixa remuneração para o Tesouro Nacional e/ou para a Empresa Gestora de Ativos (EMGEA), cuja responsabilidade seria administrar os créditos cedidos pelos bancos públicos federais objeto do programa; (b) da troca de ativos de pouca liquidez e baixa remuneração por ativos líquidos remunerados à taxa de mercado; e (c) do aumento de capital de três dessas instituições</w:t>
      </w:r>
      <w:r w:rsidRPr="00174A30">
        <w:rPr>
          <w:rStyle w:val="Refdenotaderodap"/>
        </w:rPr>
        <w:footnoteReference w:id="9"/>
      </w:r>
      <w:r w:rsidRPr="00174A30">
        <w:t>.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Especificamente no que diz respeito ao Banco do Nordeste, as medidas contidas na MP e seus impactos sobre a necessidade de capital do banco implicaram no </w:t>
      </w:r>
      <w:proofErr w:type="spellStart"/>
      <w:r w:rsidRPr="00D54C9D">
        <w:t>provisionamento</w:t>
      </w:r>
      <w:proofErr w:type="spellEnd"/>
      <w:r w:rsidRPr="00D54C9D">
        <w:t xml:space="preserve"> (</w:t>
      </w:r>
      <w:r w:rsidRPr="00174A30">
        <w:rPr>
          <w:i/>
        </w:rPr>
        <w:t>cf</w:t>
      </w:r>
      <w:r w:rsidRPr="00D54C9D">
        <w:t xml:space="preserve">. Fazenda, 2001b): </w:t>
      </w:r>
      <w:r>
        <w:t xml:space="preserve">de </w:t>
      </w:r>
      <w:r w:rsidRPr="00D54C9D">
        <w:t xml:space="preserve">(a) R$ </w:t>
      </w:r>
      <w:proofErr w:type="gramStart"/>
      <w:r w:rsidRPr="00D54C9D">
        <w:t>1,</w:t>
      </w:r>
      <w:proofErr w:type="gramEnd"/>
      <w:r w:rsidRPr="00D54C9D">
        <w:t xml:space="preserve">375 bilhão em função da reclassificação de operações de carteira própria pré-1995; (b) R$ 395 milhões para cobrir valores compensados do Imposto de Renda e Contribuição Social pagos em decorrência do expurgo inflacionário; (c) R$ 30 milhões para fazer frente a ajustes e reavaliações dos níveis de </w:t>
      </w:r>
      <w:proofErr w:type="spellStart"/>
      <w:r w:rsidRPr="00D54C9D">
        <w:t>provisionamento</w:t>
      </w:r>
      <w:proofErr w:type="spellEnd"/>
      <w:r w:rsidRPr="00D54C9D">
        <w:t xml:space="preserve"> para contingências fiscais cíveis e trabalhistas e efetivação das despesas diferidas provenientes de processo de reestruturação organizacional; </w:t>
      </w:r>
      <w:r>
        <w:t xml:space="preserve">e </w:t>
      </w:r>
      <w:r w:rsidRPr="00D54C9D">
        <w:t xml:space="preserve">(d) cerca de R$ 300 milhões decorrente do </w:t>
      </w:r>
      <w:proofErr w:type="spellStart"/>
      <w:r w:rsidRPr="00D54C9D">
        <w:t>reenquadramento</w:t>
      </w:r>
      <w:proofErr w:type="spellEnd"/>
      <w:r w:rsidRPr="00D54C9D">
        <w:t xml:space="preserve"> do Fundo Constitucional de Financiamento do Nordeste (FNE) a partir de dezembro de 1998, como de risco 50% nos moldes da classificação instituída pela Resolução 2.682/99. Adicionalmente, o Banco foi chamado a elevar sua base de capital pela incorporação de parcela dos recursos do FNE como capital de nível II, respeitados os limites fixados pelas autoridades reguladoras</w:t>
      </w:r>
      <w:r>
        <w:t>,</w:t>
      </w:r>
      <w:r>
        <w:rPr>
          <w:rStyle w:val="Refdenotaderodap"/>
        </w:rPr>
        <w:footnoteReference w:id="10"/>
      </w:r>
      <w:r w:rsidRPr="00D54C9D">
        <w:t xml:space="preserve"> bem como promoveu </w:t>
      </w:r>
      <w:r>
        <w:t>à</w:t>
      </w:r>
      <w:r w:rsidRPr="00D54C9D">
        <w:t xml:space="preserve"> uniformização de procedimentos contábeis de reconhecimento de riscos e enquadramento às novas regras prudenciais que, embora com uma repercussão limitada sobre a estrutura de capital da instituição, levou a mesma a promover ajustes na carteira de clientes.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>O BNDES, por sua vez, não foi enquadrado no grupo de instituições federais sujeitas a IGC e ao PROEF</w:t>
      </w:r>
      <w:r w:rsidRPr="00BC6398">
        <w:rPr>
          <w:color w:val="FF0000"/>
        </w:rPr>
        <w:t xml:space="preserve">. </w:t>
      </w:r>
      <w:r w:rsidRPr="00853BCE">
        <w:t xml:space="preserve">Tal </w:t>
      </w:r>
      <w:r>
        <w:t>situação aparentemente decorreu do fato</w:t>
      </w:r>
      <w:r w:rsidRPr="00055D35">
        <w:t xml:space="preserve"> </w:t>
      </w:r>
      <w:r>
        <w:t>d</w:t>
      </w:r>
      <w:r w:rsidRPr="00853BCE">
        <w:t xml:space="preserve">o BNDES: </w:t>
      </w:r>
      <w:r>
        <w:t>(i)</w:t>
      </w:r>
      <w:r w:rsidRPr="00853BCE">
        <w:t xml:space="preserve"> não </w:t>
      </w:r>
      <w:r>
        <w:t xml:space="preserve">estava (e não está) autorizado a </w:t>
      </w:r>
      <w:r w:rsidRPr="00853BCE">
        <w:t xml:space="preserve">receber depósitos </w:t>
      </w:r>
      <w:r>
        <w:t>à vista ou a prazo do público; (ii)</w:t>
      </w:r>
      <w:r w:rsidRPr="00853BCE">
        <w:t xml:space="preserve"> </w:t>
      </w:r>
      <w:r>
        <w:t xml:space="preserve">ter sua carteira de crédito </w:t>
      </w:r>
      <w:r w:rsidRPr="00853BCE">
        <w:t>hegemonicamente classificada como AA</w:t>
      </w:r>
      <w:r>
        <w:t>; e (iii)</w:t>
      </w:r>
      <w:r w:rsidRPr="00853BCE">
        <w:t xml:space="preserve"> </w:t>
      </w:r>
      <w:r>
        <w:t>possuir</w:t>
      </w:r>
      <w:r w:rsidRPr="00853BCE">
        <w:t xml:space="preserve"> uma política de </w:t>
      </w:r>
      <w:proofErr w:type="spellStart"/>
      <w:r w:rsidRPr="00853BCE">
        <w:t>provisoniamento</w:t>
      </w:r>
      <w:proofErr w:type="spellEnd"/>
      <w:r w:rsidRPr="00853BCE">
        <w:t xml:space="preserve"> já conservadora, </w:t>
      </w:r>
      <w:r>
        <w:t xml:space="preserve">superior às </w:t>
      </w:r>
      <w:r w:rsidRPr="00853BCE">
        <w:t xml:space="preserve">exigências </w:t>
      </w:r>
      <w:r>
        <w:t>de Basiléia definidas pela</w:t>
      </w:r>
      <w:r w:rsidRPr="00853BCE">
        <w:t xml:space="preserve"> Resolução 2.682/99</w:t>
      </w:r>
      <w:r>
        <w:t xml:space="preserve"> (BNDES, 2000, </w:t>
      </w:r>
      <w:r>
        <w:lastRenderedPageBreak/>
        <w:t>p.</w:t>
      </w:r>
      <w:r w:rsidRPr="00853BCE">
        <w:t xml:space="preserve"> 39-40</w:t>
      </w:r>
      <w:proofErr w:type="gramStart"/>
      <w:r w:rsidRPr="00853BCE">
        <w:t>)</w:t>
      </w:r>
      <w:proofErr w:type="gramEnd"/>
      <w:r w:rsidRPr="00853BCE">
        <w:rPr>
          <w:rStyle w:val="Refdenotaderodap"/>
        </w:rPr>
        <w:footnoteReference w:id="11"/>
      </w:r>
      <w:r w:rsidRPr="00853BCE">
        <w:t xml:space="preserve"> .</w:t>
      </w:r>
      <w:r w:rsidRPr="00BC6398">
        <w:rPr>
          <w:color w:val="FF0000"/>
        </w:rPr>
        <w:t xml:space="preserve"> </w:t>
      </w:r>
      <w:r w:rsidRPr="00D54C9D">
        <w:t xml:space="preserve">Contudo, o capital do banco foi alterado por duas vezes entre os anos de 2001 e 2002, ainda que não tenha se mencionado explicitamente que o objetivo destas medidas estivesse relacionado </w:t>
      </w:r>
      <w:r>
        <w:t>à</w:t>
      </w:r>
      <w:r w:rsidRPr="00D54C9D">
        <w:t xml:space="preserve"> submissão do BNDES a Basiléia</w:t>
      </w:r>
      <w:r>
        <w:t xml:space="preserve"> (BNDES, 2001, p. 46; BNDES, 2002, p. 67). </w:t>
      </w:r>
      <w:r w:rsidRPr="00D54C9D">
        <w:t xml:space="preserve">Em contrapartida, os recursos do FAT com </w:t>
      </w:r>
      <w:r w:rsidRPr="003073E0">
        <w:t>status</w:t>
      </w:r>
      <w:r w:rsidRPr="00D54C9D">
        <w:t xml:space="preserve"> de perpetuidade (Santos, 2006) passaram a constituir o PR do banco como dívida subordinada</w:t>
      </w:r>
      <w:r>
        <w:t xml:space="preserve"> ainda em 2001</w:t>
      </w:r>
      <w:r>
        <w:rPr>
          <w:rStyle w:val="Refdenotaderodap"/>
        </w:rPr>
        <w:footnoteReference w:id="12"/>
      </w:r>
      <w:r w:rsidRPr="00D54C9D">
        <w:t>.</w:t>
      </w:r>
    </w:p>
    <w:p w:rsidR="003F1F78" w:rsidRDefault="003F1F78" w:rsidP="00BC3A59">
      <w:pPr>
        <w:spacing w:after="120"/>
        <w:ind w:firstLine="708"/>
        <w:jc w:val="both"/>
      </w:pPr>
      <w:r w:rsidRPr="00D54C9D">
        <w:t xml:space="preserve">Anteriormente, ante a indefinição do enquadramento dos recursos do FAT </w:t>
      </w:r>
      <w:r>
        <w:t>pelo Conselho Monetário Nacional,</w:t>
      </w:r>
      <w:r w:rsidRPr="00D54C9D">
        <w:t xml:space="preserve"> </w:t>
      </w:r>
      <w:r>
        <w:t>os mesmos poderiam constituir o patrimônio de referência respeitando o limite de 100% d</w:t>
      </w:r>
      <w:r w:rsidRPr="00D54C9D">
        <w:t xml:space="preserve">o valor do capital de nível I. </w:t>
      </w:r>
      <w:r w:rsidRPr="00C11A28">
        <w:t xml:space="preserve">A nova Resolução implicou, assim, uma substancial redução do PR do banco a despeito da </w:t>
      </w:r>
      <w:r>
        <w:t xml:space="preserve">observada </w:t>
      </w:r>
      <w:r w:rsidRPr="00C11A28">
        <w:t xml:space="preserve">elevação do </w:t>
      </w:r>
      <w:r>
        <w:t xml:space="preserve">seu </w:t>
      </w:r>
      <w:r w:rsidRPr="00C11A28">
        <w:t>capital social</w:t>
      </w:r>
      <w:r>
        <w:rPr>
          <w:rStyle w:val="Refdenotaderodap"/>
        </w:rPr>
        <w:footnoteReference w:id="13"/>
      </w:r>
      <w:r>
        <w:t>. E</w:t>
      </w:r>
      <w:r w:rsidRPr="00C11A28">
        <w:t xml:space="preserve">m termos líquidos, </w:t>
      </w:r>
      <w:r>
        <w:t>a nova Resolução implicou em uma</w:t>
      </w:r>
      <w:r w:rsidRPr="00C11A28">
        <w:t xml:space="preserve"> redução do PR de </w:t>
      </w:r>
      <w:r>
        <w:t>R$ 3,4 bilhões no mesmo período,</w:t>
      </w:r>
      <w:r w:rsidRPr="00C11A28">
        <w:t xml:space="preserve"> o que poderia exigir uma reformulação da estratégia de gestão de ativo adotada pelo </w:t>
      </w:r>
      <w:r>
        <w:t>Banco caso tal redução não estivesse amparada pela nova regulamentação</w:t>
      </w:r>
      <w:r w:rsidRPr="00C11A28">
        <w:t>.</w:t>
      </w:r>
    </w:p>
    <w:p w:rsidR="003F1F78" w:rsidRDefault="003F1F78" w:rsidP="00BC3A59">
      <w:pPr>
        <w:spacing w:after="120"/>
        <w:ind w:firstLine="708"/>
        <w:jc w:val="both"/>
      </w:pPr>
    </w:p>
    <w:p w:rsidR="003F1F78" w:rsidRPr="00D54C9D" w:rsidRDefault="003F1F78" w:rsidP="00BC3A59">
      <w:pPr>
        <w:spacing w:after="120"/>
        <w:rPr>
          <w:b/>
        </w:rPr>
      </w:pPr>
      <w:r w:rsidRPr="00D54C9D">
        <w:rPr>
          <w:b/>
        </w:rPr>
        <w:t>3. Uma Avaliação do BNDES e do BNB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>O BNDES tem por missão, definida em seu estatuto social, “</w:t>
      </w:r>
      <w:r w:rsidRPr="0070357D">
        <w:rPr>
          <w:u w:val="single"/>
        </w:rPr>
        <w:t>promover o desenvolvimento</w:t>
      </w:r>
      <w:r w:rsidRPr="0070357D">
        <w:t xml:space="preserve"> sustentável e competitivo da economia brasileira, com geração de emprego e redução das desigualdades sociais e regionais</w:t>
      </w:r>
      <w:r w:rsidRPr="00D54C9D">
        <w:t>” (BNDES, 2010</w:t>
      </w:r>
      <w:r>
        <w:t>a</w:t>
      </w:r>
      <w:r w:rsidRPr="00D54C9D">
        <w:t>, grifos nossos). Já o BNB tem por missão “</w:t>
      </w:r>
      <w:r w:rsidRPr="0070357D">
        <w:t xml:space="preserve">atuar, na capacidade de instituição financeira pública, como </w:t>
      </w:r>
      <w:r w:rsidRPr="0070357D">
        <w:rPr>
          <w:u w:val="single"/>
        </w:rPr>
        <w:t>agente catalisador do desenvolvimento</w:t>
      </w:r>
      <w:r w:rsidRPr="0070357D">
        <w:t xml:space="preserve"> sustentável do Nordeste, integrando-o na dinâmica da economia nacional</w:t>
      </w:r>
      <w:r w:rsidRPr="00D54C9D">
        <w:t>” (BNB, 2009</w:t>
      </w:r>
      <w:r>
        <w:t>b</w:t>
      </w:r>
      <w:r w:rsidRPr="00D54C9D">
        <w:t xml:space="preserve">, grifos nossos). Em </w:t>
      </w:r>
      <w:r>
        <w:t>outras</w:t>
      </w:r>
      <w:r w:rsidRPr="00D54C9D">
        <w:t xml:space="preserve"> palavras, o papel dos dois bancos é promover o desenvolvimento econômico, </w:t>
      </w:r>
      <w:r>
        <w:t>em</w:t>
      </w:r>
      <w:r w:rsidRPr="00D54C9D">
        <w:t xml:space="preserve"> nível nacional, no caso do BNDES, e regional, no caso do BNB.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Vale destacar que ambos os bancos </w:t>
      </w:r>
      <w:r>
        <w:t>estão sob</w:t>
      </w:r>
      <w:r w:rsidRPr="00D54C9D">
        <w:t xml:space="preserve"> controle majoritário da União, sendo a mesma proprietária de 100% das ações do BNDES e 94,2% das ações do BNB e que a principal fonte estável de </w:t>
      </w:r>
      <w:proofErr w:type="spellStart"/>
      <w:r w:rsidRPr="00D54C9D">
        <w:rPr>
          <w:i/>
        </w:rPr>
        <w:t>funding</w:t>
      </w:r>
      <w:proofErr w:type="spellEnd"/>
      <w:r w:rsidRPr="00D54C9D">
        <w:t xml:space="preserve"> destas instituições </w:t>
      </w:r>
      <w:r>
        <w:t>advém de</w:t>
      </w:r>
      <w:r w:rsidRPr="00D54C9D">
        <w:t xml:space="preserve"> recursos públicos, </w:t>
      </w:r>
      <w:r>
        <w:t>notadamente</w:t>
      </w:r>
      <w:r w:rsidRPr="00D54C9D">
        <w:t xml:space="preserve"> fundos para-fiscais</w:t>
      </w:r>
      <w:r>
        <w:t xml:space="preserve"> (</w:t>
      </w:r>
      <w:proofErr w:type="spellStart"/>
      <w:r>
        <w:t>Giambiagi</w:t>
      </w:r>
      <w:proofErr w:type="spellEnd"/>
      <w:r>
        <w:t xml:space="preserve"> </w:t>
      </w:r>
      <w:proofErr w:type="spellStart"/>
      <w:proofErr w:type="gramStart"/>
      <w:r w:rsidRPr="008E1AEA">
        <w:rPr>
          <w:i/>
        </w:rPr>
        <w:t>et</w:t>
      </w:r>
      <w:proofErr w:type="spellEnd"/>
      <w:proofErr w:type="gramEnd"/>
      <w:r w:rsidRPr="008E1AEA">
        <w:rPr>
          <w:i/>
        </w:rPr>
        <w:t xml:space="preserve"> al</w:t>
      </w:r>
      <w:r>
        <w:rPr>
          <w:i/>
        </w:rPr>
        <w:t>.</w:t>
      </w:r>
      <w:r>
        <w:t xml:space="preserve">, </w:t>
      </w:r>
      <w:r w:rsidRPr="008E1AEA">
        <w:t>2009</w:t>
      </w:r>
      <w:r>
        <w:t>; BNDES, 2007; BNB, 2009b</w:t>
      </w:r>
      <w:r w:rsidRPr="008E1AEA">
        <w:t>)</w:t>
      </w:r>
      <w:r w:rsidRPr="00D54C9D">
        <w:t xml:space="preserve">. </w:t>
      </w:r>
    </w:p>
    <w:p w:rsidR="003F1F78" w:rsidRPr="00D54C9D" w:rsidRDefault="003F1F78" w:rsidP="00BC3A59">
      <w:pPr>
        <w:spacing w:after="120"/>
        <w:ind w:firstLine="708"/>
        <w:jc w:val="both"/>
      </w:pPr>
      <w:r>
        <w:t>O BNDES e o BNB</w:t>
      </w:r>
      <w:r w:rsidRPr="00D54C9D">
        <w:t xml:space="preserve"> têm por função essencial atuar no segmento de longo prazo do mercado de crédito brasileiro, a despeito do fato d</w:t>
      </w:r>
      <w:r>
        <w:t>o</w:t>
      </w:r>
      <w:r w:rsidRPr="00D54C9D">
        <w:t>s mesm</w:t>
      </w:r>
      <w:r>
        <w:t>o</w:t>
      </w:r>
      <w:r w:rsidRPr="00D54C9D">
        <w:t xml:space="preserve">s terem expandido </w:t>
      </w:r>
      <w:r>
        <w:t>substantivamente</w:t>
      </w:r>
      <w:r w:rsidRPr="00D54C9D">
        <w:t xml:space="preserve"> seus </w:t>
      </w:r>
      <w:r>
        <w:t>leques</w:t>
      </w:r>
      <w:r w:rsidRPr="00D54C9D">
        <w:t xml:space="preserve"> de atuação nos últimos anos</w:t>
      </w:r>
      <w:r>
        <w:t>, passando a</w:t>
      </w:r>
      <w:r w:rsidRPr="00D54C9D">
        <w:t xml:space="preserve"> atuar de forma mais ativa no merca</w:t>
      </w:r>
      <w:r>
        <w:t>do de títulos de dívida (pública e privada) e ações</w:t>
      </w:r>
      <w:r w:rsidRPr="00D54C9D">
        <w:t xml:space="preserve">. </w:t>
      </w:r>
      <w:r>
        <w:t>Dado que o</w:t>
      </w:r>
      <w:r w:rsidRPr="00D54C9D">
        <w:t xml:space="preserve"> sistema financeiro privado brasileiro ainda possui pouco interesse por este segmento do mercado de crédito, a quase totalidade dos financiamentos de longo prazo no Brasil fica a cargo destas instituições</w:t>
      </w:r>
      <w:r>
        <w:t xml:space="preserve"> (BNDES, 2008-9)</w:t>
      </w:r>
      <w:r w:rsidRPr="00D54C9D">
        <w:t xml:space="preserve">. 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Essa situação vai de encontro </w:t>
      </w:r>
      <w:r>
        <w:t>à</w:t>
      </w:r>
      <w:r w:rsidRPr="00D54C9D">
        <w:t xml:space="preserve"> estratégia regulatória derivada do Acordo</w:t>
      </w:r>
      <w:r>
        <w:t xml:space="preserve">, a qual indica que </w:t>
      </w:r>
      <w:r w:rsidRPr="00D54C9D">
        <w:t xml:space="preserve">as trajetórias de expansão do ativo ponderado pelo risco e do patrimônio de referência devem </w:t>
      </w:r>
      <w:proofErr w:type="spellStart"/>
      <w:r w:rsidRPr="00D54C9D">
        <w:t>cointegrar</w:t>
      </w:r>
      <w:proofErr w:type="spellEnd"/>
      <w:r w:rsidRPr="00D54C9D">
        <w:t xml:space="preserve">, de modo que determinada instituição seja capaz de honrar suas obrigações </w:t>
      </w:r>
      <w:r>
        <w:t>em situações de estresse, reduzindo substantivamente sua probabilidade de falência e, como tal, evitar impactos sistêmicos no mercado financeiro</w:t>
      </w:r>
      <w:r w:rsidRPr="00D54C9D">
        <w:t xml:space="preserve">. </w:t>
      </w:r>
      <w:r>
        <w:t>Em princípio, o</w:t>
      </w:r>
      <w:r w:rsidRPr="00D54C9D">
        <w:t xml:space="preserve">s efeitos esperados da submissão dos bancos aqui estudados ao Acordo se fariam sentir essencialmente em duas frentes: (i) maior concentração </w:t>
      </w:r>
      <w:r>
        <w:t>do ativo</w:t>
      </w:r>
      <w:r w:rsidRPr="00D54C9D">
        <w:t xml:space="preserve"> em </w:t>
      </w:r>
      <w:r>
        <w:t>títulos e operações</w:t>
      </w:r>
      <w:r w:rsidRPr="00D54C9D">
        <w:t xml:space="preserve"> de baixo risco e maior liquidez – criando-se, neste sentido, uma tendência a uma menor disposição a ofertar crédito de longo prazo </w:t>
      </w:r>
      <w:r>
        <w:t xml:space="preserve">e </w:t>
      </w:r>
      <w:r w:rsidRPr="00D54C9D">
        <w:t xml:space="preserve">em prol da aquisição de títulos </w:t>
      </w:r>
      <w:r w:rsidRPr="00D54C9D">
        <w:lastRenderedPageBreak/>
        <w:t xml:space="preserve">públicos – de modo a reduzir a </w:t>
      </w:r>
      <w:r>
        <w:t>magnitude</w:t>
      </w:r>
      <w:r w:rsidRPr="00D54C9D">
        <w:t xml:space="preserve"> do ativo ponderado pelo risco e, portanto, o patrimônio de referência exigido; e (</w:t>
      </w:r>
      <w:proofErr w:type="gramStart"/>
      <w:r w:rsidRPr="00D54C9D">
        <w:t>ii</w:t>
      </w:r>
      <w:proofErr w:type="gramEnd"/>
      <w:r w:rsidRPr="00D54C9D">
        <w:t>) elevação do capital próprio e redução do grau de alavancagem, de modo a elevar o patrimônio de referência a ser comparado com o patrimônio exigido.</w:t>
      </w:r>
    </w:p>
    <w:p w:rsidR="003F1F78" w:rsidRDefault="003F1F78" w:rsidP="00BC3A59">
      <w:pPr>
        <w:spacing w:after="120"/>
        <w:ind w:firstLine="708"/>
        <w:jc w:val="both"/>
      </w:pPr>
      <w:r w:rsidRPr="00D54C9D">
        <w:t xml:space="preserve">De modo a avaliar adequadamente os impactos da </w:t>
      </w:r>
      <w:proofErr w:type="gramStart"/>
      <w:r w:rsidRPr="00D54C9D">
        <w:t>implementação</w:t>
      </w:r>
      <w:proofErr w:type="gramEnd"/>
      <w:r w:rsidRPr="00D54C9D">
        <w:t xml:space="preserve"> do Acordo da Basiléia no BNDES e no BNB, tomamos como período de análise o intervalo que vai do ano de 1998 ao </w:t>
      </w:r>
      <w:r>
        <w:t>ano</w:t>
      </w:r>
      <w:r w:rsidRPr="00D54C9D">
        <w:t xml:space="preserve"> de 2010. Tal escolha nos permite evitar a fase </w:t>
      </w:r>
      <w:r>
        <w:t xml:space="preserve">imediatamente posterior à estabilização de preços, </w:t>
      </w:r>
      <w:r w:rsidRPr="00D54C9D">
        <w:t>a qual poderia levar a distorções na análise aqui executada, notadamente pelo fato das incertezas associadas a esse período impactarem negativamente a capacidade e disposição dos empreendedores em realizar investimentos de mais longo prazo</w:t>
      </w:r>
      <w:r>
        <w:t xml:space="preserve">, bem como ao fato da </w:t>
      </w:r>
      <w:proofErr w:type="gramStart"/>
      <w:r>
        <w:t xml:space="preserve">mesma </w:t>
      </w:r>
      <w:r w:rsidRPr="00D54C9D">
        <w:t>ser um período de transição no que se refere à a</w:t>
      </w:r>
      <w:r>
        <w:t>daptação às regras de Basiléia</w:t>
      </w:r>
      <w:r>
        <w:rPr>
          <w:rStyle w:val="Refdenotaderodap"/>
        </w:rPr>
        <w:footnoteReference w:id="14"/>
      </w:r>
      <w:proofErr w:type="gramEnd"/>
      <w:r>
        <w:t>. Adicionalmente, este é um período no qual parte das informações necessárias à análise aqui realizada estava disponível</w:t>
      </w:r>
      <w:r w:rsidRPr="00D54C9D">
        <w:t>.</w:t>
      </w:r>
    </w:p>
    <w:p w:rsidR="003F1F78" w:rsidRPr="00D54C9D" w:rsidRDefault="003F1F78" w:rsidP="00BC3A59">
      <w:pPr>
        <w:spacing w:after="120"/>
        <w:ind w:firstLine="708"/>
        <w:jc w:val="both"/>
      </w:pPr>
    </w:p>
    <w:p w:rsidR="003F1F78" w:rsidRPr="00403791" w:rsidRDefault="003F1F78" w:rsidP="00BC3A59">
      <w:pPr>
        <w:spacing w:after="120"/>
        <w:jc w:val="both"/>
        <w:rPr>
          <w:b/>
          <w:i/>
        </w:rPr>
      </w:pPr>
      <w:r w:rsidRPr="00403791">
        <w:rPr>
          <w:b/>
          <w:i/>
        </w:rPr>
        <w:t>3.1. Banco Nacional de Desenvolvimento Econômico e Social (BNDES)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O BNDES apresentou índices de Basiléia que superaram com folga o valor exigido pelo Banco Central (11%) ao longo de todo o período 2001-2010 (Gráfico </w:t>
      </w:r>
      <w:proofErr w:type="gramStart"/>
      <w:r w:rsidRPr="00D54C9D">
        <w:t>1</w:t>
      </w:r>
      <w:proofErr w:type="gramEnd"/>
      <w:r w:rsidRPr="00D54C9D">
        <w:t>)</w:t>
      </w:r>
      <w:r>
        <w:t>, quando este índice passa a ser reportado</w:t>
      </w:r>
      <w:r w:rsidRPr="00D54C9D">
        <w:t xml:space="preserve">. Duas reduções substanciais neste indicador foram constatadas, no entanto. A primeira, entre os anos de 2001 e 2002, em função da redução do patrimônio de referência </w:t>
      </w:r>
      <w:r>
        <w:t xml:space="preserve">já </w:t>
      </w:r>
      <w:r w:rsidRPr="00D54C9D">
        <w:t xml:space="preserve">indicada na Seção 2. </w:t>
      </w:r>
      <w:r w:rsidRPr="00DF3532">
        <w:t>A segunda, ocorrida em 2008, pode ser atribuída ao comprometimento do banco com o financiamento do Programa de Aceleração do Crescimento (PAC), bem como ao início da adoção de medidas anticíclicas pelo governo para fazer frente aos efeitos da crise financeira internacional</w:t>
      </w:r>
      <w:r>
        <w:rPr>
          <w:rStyle w:val="Refdenotaderodap"/>
        </w:rPr>
        <w:footnoteReference w:id="15"/>
      </w:r>
      <w:r w:rsidRPr="00DF3532">
        <w:t>.</w:t>
      </w:r>
      <w:r w:rsidRPr="00D54C9D">
        <w:t xml:space="preserve"> </w:t>
      </w:r>
      <w:r>
        <w:t xml:space="preserve">Neste sentido, deve-se observar que </w:t>
      </w:r>
      <w:r w:rsidRPr="00D54C9D">
        <w:t>houve forte expansão dos empréstimos do banco</w:t>
      </w:r>
      <w:r>
        <w:t xml:space="preserve"> no biênio 2008-09</w:t>
      </w:r>
      <w:r>
        <w:rPr>
          <w:rStyle w:val="Refdenotaderodap"/>
        </w:rPr>
        <w:footnoteReference w:id="16"/>
      </w:r>
      <w:r w:rsidRPr="00D54C9D">
        <w:t xml:space="preserve"> sem que, contudo, houvesse uma elevação do capital </w:t>
      </w:r>
      <w:r>
        <w:t xml:space="preserve">(PR) </w:t>
      </w:r>
      <w:r w:rsidRPr="00D54C9D">
        <w:t>do banco</w:t>
      </w:r>
      <w:r>
        <w:t xml:space="preserve"> correspondente</w:t>
      </w:r>
      <w:r>
        <w:rPr>
          <w:rStyle w:val="Refdenotaderodap"/>
        </w:rPr>
        <w:footnoteReference w:id="17"/>
      </w:r>
      <w:r>
        <w:t>.</w:t>
      </w:r>
      <w:r w:rsidRPr="00D54C9D">
        <w:t xml:space="preserve"> </w:t>
      </w:r>
    </w:p>
    <w:p w:rsidR="003F1F78" w:rsidRPr="002F7C22" w:rsidRDefault="003F1F78" w:rsidP="00BC3A59">
      <w:pPr>
        <w:jc w:val="center"/>
        <w:rPr>
          <w:b/>
          <w:sz w:val="20"/>
          <w:szCs w:val="20"/>
        </w:rPr>
      </w:pPr>
      <w:r w:rsidRPr="002F7C22">
        <w:rPr>
          <w:b/>
          <w:sz w:val="20"/>
          <w:szCs w:val="20"/>
        </w:rPr>
        <w:t>Gráfico 1 – BNDES: Índice de Basiléia 2001-2010</w:t>
      </w:r>
    </w:p>
    <w:p w:rsidR="003F1F78" w:rsidRPr="002F7C22" w:rsidRDefault="003F1F78" w:rsidP="00BC3A59">
      <w:pPr>
        <w:jc w:val="center"/>
        <w:rPr>
          <w:sz w:val="20"/>
          <w:szCs w:val="20"/>
        </w:rPr>
      </w:pPr>
      <w:r w:rsidRPr="002F7C22">
        <w:rPr>
          <w:sz w:val="20"/>
          <w:szCs w:val="20"/>
        </w:rPr>
        <w:t>Patrimônio de Referência/Ativos Ponderados pelo Risco (%)</w:t>
      </w:r>
    </w:p>
    <w:p w:rsidR="003F1F78" w:rsidRPr="004B2A91" w:rsidRDefault="000375CD" w:rsidP="00BC3A59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4667250" cy="2390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Pr="002F7C22" w:rsidRDefault="003F1F78" w:rsidP="00BC3A59">
      <w:pPr>
        <w:spacing w:after="120"/>
        <w:ind w:firstLine="709"/>
        <w:rPr>
          <w:sz w:val="20"/>
          <w:szCs w:val="20"/>
        </w:rPr>
      </w:pPr>
      <w:r w:rsidRPr="002F7C22">
        <w:rPr>
          <w:sz w:val="20"/>
          <w:szCs w:val="20"/>
        </w:rPr>
        <w:t>Fonte: BCB, Relatório 50 maiores bancos e BNDES.</w:t>
      </w:r>
    </w:p>
    <w:p w:rsidR="003F1F78" w:rsidRDefault="003F1F78" w:rsidP="00BC3A59">
      <w:pPr>
        <w:spacing w:after="120"/>
        <w:ind w:firstLine="708"/>
        <w:jc w:val="both"/>
      </w:pPr>
      <w:r w:rsidRPr="00D54C9D">
        <w:t>A despeito destas reduções</w:t>
      </w:r>
      <w:r>
        <w:t xml:space="preserve"> observadas no índice de Basiléia, as mesmas não foram suficientes para indicar que o banco tenha sido </w:t>
      </w:r>
      <w:r w:rsidRPr="00D54C9D">
        <w:t xml:space="preserve">profundamente afetado na execução da sua missão. </w:t>
      </w:r>
      <w:r w:rsidRPr="00D54C9D">
        <w:lastRenderedPageBreak/>
        <w:t xml:space="preserve">Sem embargo, no período 1998-2007 houve uma contínua elevação da parcela de operações de crédito (e repasses) (Gráfico </w:t>
      </w:r>
      <w:proofErr w:type="gramStart"/>
      <w:r w:rsidRPr="00D54C9D">
        <w:t>2</w:t>
      </w:r>
      <w:proofErr w:type="gramEnd"/>
      <w:r w:rsidRPr="00D54C9D">
        <w:t>), diferentemente do esperado a partir da implementação do Acordo. Em outras palavras, a elevação do índice de Basiléia do Banco foi acompanhada de uma expansão do crédito</w:t>
      </w:r>
      <w:r>
        <w:t xml:space="preserve"> de longo prazo</w:t>
      </w:r>
      <w:r w:rsidRPr="00D54C9D">
        <w:t xml:space="preserve">, o que </w:t>
      </w:r>
      <w:r>
        <w:t>indica</w:t>
      </w:r>
      <w:r w:rsidRPr="00D54C9D">
        <w:t xml:space="preserve"> que a política </w:t>
      </w:r>
      <w:r>
        <w:t>creditícia</w:t>
      </w:r>
      <w:r w:rsidRPr="00D54C9D">
        <w:t xml:space="preserve"> do banco </w:t>
      </w:r>
      <w:r>
        <w:t>neste período foi</w:t>
      </w:r>
      <w:r w:rsidRPr="00D54C9D">
        <w:t xml:space="preserve"> estruturada de modo a comportar uma ampliação dos empréstimos sem que, como contrapartida, houvesse pressões sobre o </w:t>
      </w:r>
      <w:r>
        <w:t>P</w:t>
      </w:r>
      <w:r w:rsidRPr="00D54C9D">
        <w:t xml:space="preserve">atrimônio de </w:t>
      </w:r>
      <w:r>
        <w:t>R</w:t>
      </w:r>
      <w:r w:rsidRPr="00D54C9D">
        <w:t>eferência exigido pelo regulador</w:t>
      </w:r>
      <w:r>
        <w:rPr>
          <w:rStyle w:val="Refdenotaderodap"/>
        </w:rPr>
        <w:footnoteReference w:id="18"/>
      </w:r>
      <w:r>
        <w:t>. A fim de obter tal resultado, o banco optou por uma política baseada na expansão do</w:t>
      </w:r>
      <w:r w:rsidRPr="00D54C9D">
        <w:t xml:space="preserve"> </w:t>
      </w:r>
      <w:proofErr w:type="gramStart"/>
      <w:r w:rsidRPr="00D54C9D">
        <w:t xml:space="preserve">binômio </w:t>
      </w:r>
      <w:r>
        <w:t>operações</w:t>
      </w:r>
      <w:proofErr w:type="gramEnd"/>
      <w:r>
        <w:t xml:space="preserve"> indiretas/</w:t>
      </w:r>
      <w:r w:rsidRPr="00D54C9D">
        <w:t>elevação da parcela de tomadores de boa qualidade (</w:t>
      </w:r>
      <w:proofErr w:type="spellStart"/>
      <w:r w:rsidRPr="00D54C9D">
        <w:rPr>
          <w:i/>
        </w:rPr>
        <w:t>investment</w:t>
      </w:r>
      <w:proofErr w:type="spellEnd"/>
      <w:r w:rsidRPr="00D54C9D">
        <w:rPr>
          <w:i/>
        </w:rPr>
        <w:t xml:space="preserve"> grade</w:t>
      </w:r>
      <w:r w:rsidRPr="00D54C9D">
        <w:t xml:space="preserve">). Esta estratégia vigorou </w:t>
      </w:r>
      <w:r>
        <w:t>notadamente</w:t>
      </w:r>
      <w:r w:rsidRPr="00D54C9D">
        <w:t xml:space="preserve"> entre </w:t>
      </w:r>
      <w:r>
        <w:t xml:space="preserve">os anos de </w:t>
      </w:r>
      <w:r w:rsidRPr="00D54C9D">
        <w:t>2001 e 2007.</w:t>
      </w:r>
    </w:p>
    <w:p w:rsidR="003F1F78" w:rsidRDefault="003F1F78" w:rsidP="00BC3A59">
      <w:pPr>
        <w:spacing w:after="120"/>
        <w:ind w:firstLine="708"/>
        <w:jc w:val="both"/>
      </w:pPr>
      <w:r w:rsidRPr="00D54C9D">
        <w:t>Neste sentido, percebe-se que, ao longo do referido período, as operações de crédito indiretas, intermediadas por instituições financeiras credenciadas junto ao BNDES, se elevaram</w:t>
      </w:r>
      <w:r>
        <w:t>,</w:t>
      </w:r>
      <w:r w:rsidRPr="00D54C9D">
        <w:t xml:space="preserve"> </w:t>
      </w:r>
      <w:r>
        <w:t>chegando a atingir</w:t>
      </w:r>
      <w:r w:rsidRPr="00D54C9D">
        <w:t xml:space="preserve"> 48,9% do total de empréstimos em 2007 (Gráfico </w:t>
      </w:r>
      <w:proofErr w:type="gramStart"/>
      <w:r w:rsidRPr="00D54C9D">
        <w:t>3</w:t>
      </w:r>
      <w:proofErr w:type="gramEnd"/>
      <w:r w:rsidRPr="00D54C9D">
        <w:t xml:space="preserve">). </w:t>
      </w:r>
      <w:r>
        <w:t>Neste sentido, fundamentar</w:t>
      </w:r>
      <w:r w:rsidRPr="00D54C9D">
        <w:t xml:space="preserve"> a estratégia de expansão dos empréstimos em operações indiretas faz com que o risco de crédito seja substituído pelo risco de contraparte, ao qual está associado um menor fator de ponderação para o cálculo do Ativo Ponderado pelo Risco (</w:t>
      </w:r>
      <w:proofErr w:type="spellStart"/>
      <w:r w:rsidRPr="00D54C9D">
        <w:t>Apr</w:t>
      </w:r>
      <w:proofErr w:type="spellEnd"/>
      <w:proofErr w:type="gramStart"/>
      <w:r w:rsidRPr="00D54C9D">
        <w:t>)</w:t>
      </w:r>
      <w:proofErr w:type="gramEnd"/>
      <w:r w:rsidRPr="00D54C9D">
        <w:rPr>
          <w:rStyle w:val="Refdenotaderodap"/>
        </w:rPr>
        <w:footnoteReference w:id="19"/>
      </w:r>
      <w:r w:rsidRPr="00D54C9D">
        <w:t xml:space="preserve">. Ademais, ao utilizar mais intensamente a rede de intermediários financeiros, o BNDES acaba ampliando o universo potencial de tomadores de empréstimos, os quais por serem de montantes inferiores àqueles observados para as operações diretas (até R$ 10 milhões) acabam por reduzir a concentração da carteira total de empréstimos do banco e, em última instância, diminui </w:t>
      </w:r>
      <w:r>
        <w:t>o</w:t>
      </w:r>
      <w:r w:rsidRPr="00D54C9D">
        <w:t xml:space="preserve"> risco</w:t>
      </w:r>
      <w:r>
        <w:t xml:space="preserve"> da mesma</w:t>
      </w:r>
      <w:r w:rsidRPr="00D54C9D">
        <w:t>, colaborando assim para uma não elevação do patrimônio de referência exigido v</w:t>
      </w:r>
      <w:r>
        <w:t>is-à-vis a expansão do crédito.</w:t>
      </w:r>
    </w:p>
    <w:p w:rsidR="003F1F78" w:rsidRPr="00E10381" w:rsidRDefault="003F1F78" w:rsidP="00BC3A59">
      <w:pPr>
        <w:jc w:val="center"/>
        <w:rPr>
          <w:b/>
          <w:sz w:val="20"/>
          <w:szCs w:val="20"/>
        </w:rPr>
      </w:pPr>
      <w:r w:rsidRPr="00E10381">
        <w:rPr>
          <w:b/>
          <w:sz w:val="20"/>
          <w:szCs w:val="20"/>
        </w:rPr>
        <w:t xml:space="preserve">Gráfico 2 – BNDES Consolidado: </w:t>
      </w:r>
      <w:proofErr w:type="gramStart"/>
      <w:r w:rsidRPr="00E10381">
        <w:rPr>
          <w:b/>
          <w:sz w:val="20"/>
          <w:szCs w:val="20"/>
        </w:rPr>
        <w:t xml:space="preserve">Ativo </w:t>
      </w:r>
      <w:r>
        <w:rPr>
          <w:b/>
          <w:sz w:val="20"/>
          <w:szCs w:val="20"/>
        </w:rPr>
        <w:t>– Contas</w:t>
      </w:r>
      <w:proofErr w:type="gramEnd"/>
      <w:r>
        <w:rPr>
          <w:b/>
          <w:sz w:val="20"/>
          <w:szCs w:val="20"/>
        </w:rPr>
        <w:t xml:space="preserve"> Selecionadas 1998-2010</w:t>
      </w:r>
    </w:p>
    <w:p w:rsidR="003F1F78" w:rsidRPr="00E10381" w:rsidRDefault="003F1F78" w:rsidP="00BC3A59">
      <w:pPr>
        <w:jc w:val="center"/>
        <w:rPr>
          <w:sz w:val="20"/>
          <w:szCs w:val="20"/>
        </w:rPr>
      </w:pPr>
      <w:r w:rsidRPr="00E10381">
        <w:rPr>
          <w:sz w:val="20"/>
          <w:szCs w:val="20"/>
        </w:rPr>
        <w:t>Participação em Relação ao Total do Ativo (%)</w:t>
      </w:r>
    </w:p>
    <w:p w:rsidR="003F1F78" w:rsidRPr="001070B8" w:rsidRDefault="000375CD" w:rsidP="00BC3A59">
      <w:pPr>
        <w:jc w:val="center"/>
        <w:rPr>
          <w:b/>
          <w:color w:val="FF0000"/>
          <w:sz w:val="20"/>
          <w:szCs w:val="20"/>
        </w:rPr>
      </w:pPr>
      <w:r>
        <w:rPr>
          <w:noProof/>
          <w:color w:val="FF0000"/>
        </w:rPr>
        <w:drawing>
          <wp:inline distT="0" distB="0" distL="0" distR="0">
            <wp:extent cx="4124325" cy="2476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Default="003F1F78" w:rsidP="00BC3A59">
      <w:pPr>
        <w:spacing w:after="120"/>
        <w:ind w:firstLine="709"/>
        <w:rPr>
          <w:sz w:val="20"/>
          <w:szCs w:val="20"/>
        </w:rPr>
      </w:pPr>
      <w:r w:rsidRPr="00E10381">
        <w:rPr>
          <w:sz w:val="20"/>
          <w:szCs w:val="20"/>
        </w:rPr>
        <w:t>Fonte: Elaboração Própria a partir de dados do BNDES.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 xml:space="preserve">Este movimento é reforçado pela tendência à concentração da carteira total de crédito em ativos de menor risco e maior liquidez ao longo do período 1998-2007, os quais exigem menores provisões para risco de crédito (o que reduz o valor do </w:t>
      </w:r>
      <w:proofErr w:type="spellStart"/>
      <w:r w:rsidRPr="00D54C9D">
        <w:t>Apr</w:t>
      </w:r>
      <w:proofErr w:type="spellEnd"/>
      <w:r w:rsidRPr="00D54C9D">
        <w:t xml:space="preserve">). Tal fato é evidenciado pela elevada parcela dos créditos </w:t>
      </w:r>
      <w:proofErr w:type="spellStart"/>
      <w:r w:rsidRPr="00D54C9D">
        <w:rPr>
          <w:i/>
        </w:rPr>
        <w:t>investment</w:t>
      </w:r>
      <w:proofErr w:type="spellEnd"/>
      <w:r w:rsidRPr="00D54C9D">
        <w:rPr>
          <w:i/>
        </w:rPr>
        <w:t xml:space="preserve"> grade</w:t>
      </w:r>
      <w:r w:rsidRPr="00D54C9D">
        <w:t xml:space="preserve"> (AA, A e B) no total da carteira do banco, chegando mesmo a representar mais de 92% do crédito total ao final de 2007 (Gráfico </w:t>
      </w:r>
      <w:proofErr w:type="gramStart"/>
      <w:r w:rsidRPr="00D54C9D">
        <w:t>4</w:t>
      </w:r>
      <w:proofErr w:type="gramEnd"/>
      <w:r w:rsidRPr="00D54C9D">
        <w:t xml:space="preserve">). </w:t>
      </w:r>
    </w:p>
    <w:p w:rsidR="003F1F78" w:rsidRPr="00CC0077" w:rsidRDefault="003F1F78" w:rsidP="00BC3A59">
      <w:pPr>
        <w:jc w:val="center"/>
        <w:rPr>
          <w:b/>
          <w:sz w:val="20"/>
          <w:szCs w:val="20"/>
        </w:rPr>
      </w:pPr>
      <w:r w:rsidRPr="00CC0077">
        <w:rPr>
          <w:b/>
          <w:sz w:val="20"/>
          <w:szCs w:val="20"/>
        </w:rPr>
        <w:t>Gráfico 3 – BNDES: Repasses e Operações de Crédito 2002-2010</w:t>
      </w:r>
    </w:p>
    <w:p w:rsidR="003F1F78" w:rsidRPr="00CC0077" w:rsidRDefault="003F1F78" w:rsidP="00BC3A59">
      <w:pPr>
        <w:jc w:val="center"/>
        <w:rPr>
          <w:sz w:val="20"/>
          <w:szCs w:val="20"/>
        </w:rPr>
      </w:pPr>
      <w:r w:rsidRPr="00CC0077">
        <w:rPr>
          <w:sz w:val="20"/>
          <w:szCs w:val="20"/>
        </w:rPr>
        <w:t>Participação dos Repasses em Relação ao Total de Empréstimos (%)</w:t>
      </w:r>
    </w:p>
    <w:p w:rsidR="003F1F78" w:rsidRPr="001070B8" w:rsidRDefault="000375CD" w:rsidP="00BC3A59">
      <w:pPr>
        <w:jc w:val="center"/>
        <w:rPr>
          <w:noProof/>
          <w:color w:val="FF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981450" cy="2419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Default="003F1F78" w:rsidP="00BC3A59">
      <w:pPr>
        <w:spacing w:after="120"/>
        <w:ind w:firstLine="708"/>
        <w:rPr>
          <w:sz w:val="20"/>
          <w:szCs w:val="20"/>
        </w:rPr>
      </w:pPr>
      <w:r w:rsidRPr="00CF5E09">
        <w:rPr>
          <w:sz w:val="20"/>
          <w:szCs w:val="20"/>
        </w:rPr>
        <w:t>Fonte: Elaboração Própria a partir de dados do BNDES.</w:t>
      </w:r>
    </w:p>
    <w:p w:rsidR="003F1F78" w:rsidRPr="00D54C9D" w:rsidRDefault="003F1F78" w:rsidP="00BC3A59">
      <w:pPr>
        <w:spacing w:after="120"/>
        <w:ind w:firstLine="709"/>
        <w:jc w:val="both"/>
      </w:pPr>
      <w:r w:rsidRPr="00D54C9D">
        <w:t xml:space="preserve">Esta </w:t>
      </w:r>
      <w:r>
        <w:t>política</w:t>
      </w:r>
      <w:r w:rsidRPr="00D54C9D">
        <w:t xml:space="preserve"> implicou também </w:t>
      </w:r>
      <w:r>
        <w:t>em uma</w:t>
      </w:r>
      <w:r w:rsidRPr="00D54C9D">
        <w:t xml:space="preserve"> elevação</w:t>
      </w:r>
      <w:r>
        <w:t>, ainda que pequena,</w:t>
      </w:r>
      <w:r w:rsidRPr="00D54C9D">
        <w:t xml:space="preserve"> da parcela de empréstimos de </w:t>
      </w:r>
      <w:r w:rsidRPr="008F6302">
        <w:t>curto prazo</w:t>
      </w:r>
      <w:r w:rsidRPr="008F6302">
        <w:rPr>
          <w:rStyle w:val="Refdenotaderodap"/>
        </w:rPr>
        <w:footnoteReference w:id="20"/>
      </w:r>
      <w:r w:rsidRPr="00D54C9D">
        <w:t xml:space="preserve"> (4,7 pontos percentuais entre 2001 e 2006), </w:t>
      </w:r>
      <w:r w:rsidRPr="00877A70">
        <w:t>sem, contudo,</w:t>
      </w:r>
      <w:r w:rsidRPr="001070B8">
        <w:rPr>
          <w:color w:val="FF0000"/>
        </w:rPr>
        <w:t xml:space="preserve"> </w:t>
      </w:r>
      <w:r w:rsidRPr="00D54C9D">
        <w:t xml:space="preserve">comprometer a </w:t>
      </w:r>
      <w:r w:rsidRPr="00F309DA">
        <w:t>hegemonia do BNDES no mercado de crédito de longo prazo no Brasil (76,5% dos empréstimos de longo prazo eram provenientes do banco em 2006).</w:t>
      </w:r>
    </w:p>
    <w:p w:rsidR="003F1F78" w:rsidRPr="001070B8" w:rsidRDefault="003F1F78" w:rsidP="00BC3A59">
      <w:pPr>
        <w:jc w:val="center"/>
        <w:rPr>
          <w:b/>
          <w:sz w:val="20"/>
          <w:szCs w:val="20"/>
        </w:rPr>
      </w:pPr>
      <w:r w:rsidRPr="001070B8">
        <w:rPr>
          <w:b/>
          <w:sz w:val="20"/>
          <w:szCs w:val="20"/>
        </w:rPr>
        <w:t>Gráfico 4 – BNDES: Repasses e Operações de Crédito 2001-</w:t>
      </w:r>
      <w:r>
        <w:rPr>
          <w:b/>
          <w:sz w:val="20"/>
          <w:szCs w:val="20"/>
        </w:rPr>
        <w:t>2010</w:t>
      </w:r>
    </w:p>
    <w:p w:rsidR="003F1F78" w:rsidRPr="001070B8" w:rsidRDefault="003F1F78" w:rsidP="00BC3A59">
      <w:pPr>
        <w:jc w:val="center"/>
        <w:rPr>
          <w:sz w:val="20"/>
          <w:szCs w:val="20"/>
        </w:rPr>
      </w:pPr>
      <w:r w:rsidRPr="001070B8">
        <w:rPr>
          <w:sz w:val="20"/>
          <w:szCs w:val="20"/>
        </w:rPr>
        <w:t xml:space="preserve">Operações </w:t>
      </w:r>
      <w:proofErr w:type="spellStart"/>
      <w:r w:rsidRPr="001070B8">
        <w:rPr>
          <w:i/>
          <w:sz w:val="20"/>
          <w:szCs w:val="20"/>
        </w:rPr>
        <w:t>Investment</w:t>
      </w:r>
      <w:proofErr w:type="spellEnd"/>
      <w:r w:rsidRPr="001070B8">
        <w:rPr>
          <w:sz w:val="20"/>
          <w:szCs w:val="20"/>
        </w:rPr>
        <w:t xml:space="preserve"> </w:t>
      </w:r>
      <w:r w:rsidRPr="001070B8">
        <w:rPr>
          <w:i/>
          <w:sz w:val="20"/>
          <w:szCs w:val="20"/>
        </w:rPr>
        <w:t>Grade</w:t>
      </w:r>
      <w:r w:rsidRPr="001070B8">
        <w:rPr>
          <w:sz w:val="20"/>
          <w:szCs w:val="20"/>
        </w:rPr>
        <w:t xml:space="preserve"> (AA, A e/ou B) em relação ao total da carteira (%)</w:t>
      </w:r>
    </w:p>
    <w:p w:rsidR="003F1F78" w:rsidRPr="004B2A91" w:rsidRDefault="000375CD" w:rsidP="00BC3A59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676775" cy="24479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Default="003F1F78" w:rsidP="00BC3A59">
      <w:pPr>
        <w:spacing w:after="120"/>
        <w:ind w:firstLine="708"/>
        <w:rPr>
          <w:sz w:val="20"/>
          <w:szCs w:val="20"/>
        </w:rPr>
      </w:pPr>
      <w:r w:rsidRPr="001070B8">
        <w:rPr>
          <w:sz w:val="20"/>
          <w:szCs w:val="20"/>
        </w:rPr>
        <w:t>Fonte: Elaboração Própria a partir de dados do BNDES.</w:t>
      </w:r>
    </w:p>
    <w:p w:rsidR="003F1F78" w:rsidRPr="00D54C9D" w:rsidRDefault="003F1F78" w:rsidP="00BC3A59">
      <w:pPr>
        <w:spacing w:after="120"/>
        <w:ind w:firstLine="709"/>
        <w:jc w:val="both"/>
      </w:pPr>
      <w:r>
        <w:t xml:space="preserve">A partir de 2008, o BNDES promove alterações na sua política de concessão de crédito, na qual as operações diretas crescem de participação, mantendo-se, no entanto, o foco em tomadores </w:t>
      </w:r>
      <w:proofErr w:type="spellStart"/>
      <w:r w:rsidRPr="00D54C9D">
        <w:rPr>
          <w:i/>
        </w:rPr>
        <w:t>investment</w:t>
      </w:r>
      <w:proofErr w:type="spellEnd"/>
      <w:r w:rsidRPr="00D54C9D">
        <w:rPr>
          <w:i/>
        </w:rPr>
        <w:t xml:space="preserve"> </w:t>
      </w:r>
      <w:r w:rsidRPr="00F309DA">
        <w:rPr>
          <w:i/>
        </w:rPr>
        <w:t>grade</w:t>
      </w:r>
      <w:r w:rsidRPr="00F309DA">
        <w:t xml:space="preserve">. O BNDES assume neste ano a função de agente do governo para o financiamento do Programa de Aceleração do Crescimento (PAC) e dos investimentos ligados à exploração do pré-Sal – e, no período mais recente, para financiar obras ligadas à Copa Mundo – tendo sua política de crédito se reorientado para atender às demandas do setor de infra-estrutura e, como tal, privilegiando tomadores de maior porte, os quais possuem, </w:t>
      </w:r>
      <w:proofErr w:type="gramStart"/>
      <w:r w:rsidRPr="00F309DA">
        <w:t>via de regra</w:t>
      </w:r>
      <w:proofErr w:type="gramEnd"/>
      <w:r w:rsidRPr="00F309DA">
        <w:t xml:space="preserve">, uma classificação de risco mais favorável (BRASIL, </w:t>
      </w:r>
      <w:r>
        <w:t xml:space="preserve">2007-2011 e </w:t>
      </w:r>
      <w:r w:rsidRPr="00F309DA">
        <w:t>2011</w:t>
      </w:r>
      <w:r>
        <w:t>)</w:t>
      </w:r>
      <w:r w:rsidRPr="00F309DA">
        <w:t>. Adicionalmente, o BNDES passou a financiar mais fortemente o setor exportador em função da contração do crédito decorrente da crise de 2008</w:t>
      </w:r>
      <w:r w:rsidRPr="00F309DA">
        <w:rPr>
          <w:rStyle w:val="Refdenotaderodap"/>
        </w:rPr>
        <w:footnoteReference w:id="21"/>
      </w:r>
      <w:r>
        <w:t xml:space="preserve"> (BNDES, 2009 e 2010b)</w:t>
      </w:r>
      <w:r w:rsidRPr="00F309DA">
        <w:t>.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lastRenderedPageBreak/>
        <w:t xml:space="preserve">Em que pese o crescimento das operações diretas – e a expansão absoluta do crédito em decorrência da expansão do </w:t>
      </w:r>
      <w:proofErr w:type="spellStart"/>
      <w:r w:rsidRPr="00D54C9D">
        <w:rPr>
          <w:i/>
        </w:rPr>
        <w:t>funding</w:t>
      </w:r>
      <w:proofErr w:type="spellEnd"/>
      <w:r w:rsidRPr="00D54C9D">
        <w:t xml:space="preserve"> do Banco – a participação do crédito no total do ativo do Banco se reduziu neste período. Em contrapartida, observou-se uma expansão significativa na participação de títulos públicos no total do ativo, a qual sai de 0,5</w:t>
      </w:r>
      <w:r>
        <w:t>% em 2007 para nada menos que 9</w:t>
      </w:r>
      <w:r w:rsidRPr="00D54C9D">
        <w:t>,</w:t>
      </w:r>
      <w:r>
        <w:t>3</w:t>
      </w:r>
      <w:r w:rsidRPr="00D54C9D">
        <w:t xml:space="preserve">% </w:t>
      </w:r>
      <w:r>
        <w:t>em 2009</w:t>
      </w:r>
      <w:r w:rsidRPr="00D54C9D">
        <w:t xml:space="preserve"> (Gráfico </w:t>
      </w:r>
      <w:proofErr w:type="gramStart"/>
      <w:r w:rsidRPr="00D54C9D">
        <w:t>5</w:t>
      </w:r>
      <w:proofErr w:type="gramEnd"/>
      <w:r w:rsidRPr="00D54C9D">
        <w:t>). Tal fato parece estar relacionado à estratégia do Banco de combinar uma expansão absoluta do crédito com um índice de Basiléia algo estável após a substantiva queda observada a partir de 2008.</w:t>
      </w:r>
    </w:p>
    <w:p w:rsidR="003F1F78" w:rsidRPr="00D54C9D" w:rsidRDefault="003F1F78" w:rsidP="00BC3A59">
      <w:pPr>
        <w:jc w:val="center"/>
        <w:rPr>
          <w:b/>
          <w:sz w:val="20"/>
          <w:szCs w:val="20"/>
        </w:rPr>
      </w:pPr>
      <w:r w:rsidRPr="00D54C9D">
        <w:rPr>
          <w:b/>
          <w:sz w:val="20"/>
          <w:szCs w:val="20"/>
        </w:rPr>
        <w:t xml:space="preserve">Gráfico 5 – BNDES: </w:t>
      </w:r>
      <w:proofErr w:type="gramStart"/>
      <w:r w:rsidRPr="00D54C9D">
        <w:rPr>
          <w:b/>
          <w:sz w:val="20"/>
          <w:szCs w:val="20"/>
        </w:rPr>
        <w:t xml:space="preserve">Ativo </w:t>
      </w:r>
      <w:r>
        <w:rPr>
          <w:b/>
          <w:sz w:val="20"/>
          <w:szCs w:val="20"/>
        </w:rPr>
        <w:t>– Contas</w:t>
      </w:r>
      <w:proofErr w:type="gramEnd"/>
      <w:r>
        <w:rPr>
          <w:b/>
          <w:sz w:val="20"/>
          <w:szCs w:val="20"/>
        </w:rPr>
        <w:t xml:space="preserve"> Selecionadas 1998-2010</w:t>
      </w:r>
    </w:p>
    <w:p w:rsidR="003F1F78" w:rsidRPr="00D54C9D" w:rsidRDefault="003F1F78" w:rsidP="00BC3A59">
      <w:pPr>
        <w:jc w:val="center"/>
        <w:rPr>
          <w:noProof/>
          <w:szCs w:val="20"/>
        </w:rPr>
      </w:pPr>
      <w:r w:rsidRPr="00D54C9D">
        <w:rPr>
          <w:sz w:val="20"/>
          <w:szCs w:val="20"/>
        </w:rPr>
        <w:t>Participação dos Títulos Públicos em Relação ao Total do Ativo (%)</w:t>
      </w:r>
    </w:p>
    <w:p w:rsidR="003F1F78" w:rsidRPr="00940474" w:rsidRDefault="000375CD" w:rsidP="00BC3A59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219575" cy="25622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Default="003F1F78" w:rsidP="00BC3A59">
      <w:pPr>
        <w:spacing w:after="120"/>
        <w:ind w:firstLine="708"/>
        <w:rPr>
          <w:sz w:val="20"/>
          <w:szCs w:val="20"/>
        </w:rPr>
      </w:pPr>
      <w:r w:rsidRPr="00D54C9D">
        <w:rPr>
          <w:sz w:val="20"/>
          <w:szCs w:val="20"/>
        </w:rPr>
        <w:t xml:space="preserve">Fonte: Elaboração Própria a partir de dados do BNDES. </w:t>
      </w:r>
    </w:p>
    <w:p w:rsidR="003F1F78" w:rsidRDefault="003F1F78" w:rsidP="00BC3A59">
      <w:pPr>
        <w:spacing w:after="120"/>
        <w:ind w:firstLine="708"/>
        <w:jc w:val="both"/>
      </w:pPr>
      <w:r w:rsidRPr="00D54C9D">
        <w:t xml:space="preserve">Sem embargo, a maior participação relativa de títulos públicos no total do ativo indica que os mesmos se expandiram mais intensamente que a elevação observada no </w:t>
      </w:r>
      <w:proofErr w:type="spellStart"/>
      <w:r w:rsidRPr="00D54C9D">
        <w:rPr>
          <w:i/>
        </w:rPr>
        <w:t>funding</w:t>
      </w:r>
      <w:proofErr w:type="spellEnd"/>
      <w:r>
        <w:t>, fato que permitiu</w:t>
      </w:r>
      <w:r w:rsidRPr="00D54C9D">
        <w:t xml:space="preserve"> ao BNDES compensar a elevação do ativo ponderado pelo risco derivada da expansão do crédito direto. Assim, </w:t>
      </w:r>
      <w:r>
        <w:t>a partir de 2008</w:t>
      </w:r>
      <w:r w:rsidRPr="00D54C9D">
        <w:t xml:space="preserve">, parecem existir evidências de que a submissão do BNDES aos Acordos de Basiléia imprimiu algum tipo de limitação à política operacional do banco, já que a elevação das operações de crédito permitida pela substantiva elevação do seu </w:t>
      </w:r>
      <w:proofErr w:type="spellStart"/>
      <w:r w:rsidRPr="00D54C9D">
        <w:rPr>
          <w:i/>
        </w:rPr>
        <w:t>funding</w:t>
      </w:r>
      <w:proofErr w:type="spellEnd"/>
      <w:r w:rsidRPr="00D54C9D">
        <w:t xml:space="preserve"> </w:t>
      </w:r>
      <w:r>
        <w:t>(</w:t>
      </w:r>
      <w:r w:rsidRPr="0091360A">
        <w:t>notadamente, o passivo de longo prazo) necessitou ser acompanhada de uma elevação compensatória da parcela de títulos públicos no total do ativo.</w:t>
      </w:r>
      <w:r w:rsidRPr="00D54C9D">
        <w:t xml:space="preserve"> </w:t>
      </w:r>
    </w:p>
    <w:p w:rsidR="003F1F78" w:rsidRDefault="003F1F78" w:rsidP="00BC3A59">
      <w:pPr>
        <w:spacing w:after="120"/>
        <w:ind w:firstLine="709"/>
        <w:jc w:val="both"/>
      </w:pPr>
      <w:r w:rsidRPr="00D54C9D">
        <w:t xml:space="preserve">No que diz respeito às operações </w:t>
      </w:r>
      <w:r>
        <w:t>passivas</w:t>
      </w:r>
      <w:r w:rsidRPr="00D54C9D">
        <w:t xml:space="preserve">, a política operacional do BNDES parece ter apresentado maior autonomia em relação à Basiléia relativamente ao constatado </w:t>
      </w:r>
      <w:r>
        <w:t>no</w:t>
      </w:r>
      <w:r w:rsidRPr="00D54C9D">
        <w:t xml:space="preserve"> ativo, </w:t>
      </w:r>
      <w:r>
        <w:t>notadamente no</w:t>
      </w:r>
      <w:r w:rsidRPr="00D54C9D">
        <w:t xml:space="preserve"> período recente (2008-2010). Mesmo levando em conta a já referida redução da rubrica do patrimônio de referência relativa ao capital nível </w:t>
      </w:r>
      <w:r w:rsidRPr="008F4337">
        <w:t xml:space="preserve">II, as informações não apontam para uma política de elevação da parcela de capital próprio em relação ao total do passivo ou uma trajetória de expansão do patrimônio de referência </w:t>
      </w:r>
      <w:proofErr w:type="spellStart"/>
      <w:r w:rsidRPr="008F4337">
        <w:rPr>
          <w:i/>
        </w:rPr>
        <w:t>pari-passu</w:t>
      </w:r>
      <w:proofErr w:type="spellEnd"/>
      <w:r w:rsidRPr="008F4337">
        <w:t xml:space="preserve"> à elevação do ativo ponderado pelo risco. Tal fato fica evidente quando se percebe que, na maior parte do período, o ativo </w:t>
      </w:r>
      <w:r>
        <w:t xml:space="preserve">(e o passivo, seu equivalente) </w:t>
      </w:r>
      <w:r w:rsidRPr="008F4337">
        <w:t xml:space="preserve">se expandiu a taxas mais elevadas </w:t>
      </w:r>
      <w:r>
        <w:t xml:space="preserve">do </w:t>
      </w:r>
      <w:r w:rsidRPr="008F4337">
        <w:t>que o patrimônio de referência. Entre os anos de 2005 a 2007, contudo</w:t>
      </w:r>
      <w:r w:rsidRPr="00D54C9D">
        <w:t>, ocorreu o oposto, tendo o patrimônio de referência se elevado a taxas mais elevadas que o ativo, notadamente em função da expansão dos lucros acumulados no período (</w:t>
      </w:r>
      <w:r>
        <w:t xml:space="preserve">Tabela 1 e Gráfico </w:t>
      </w:r>
      <w:proofErr w:type="gramStart"/>
      <w:r>
        <w:t>6</w:t>
      </w:r>
      <w:proofErr w:type="gramEnd"/>
      <w:r w:rsidRPr="00D54C9D">
        <w:t>)</w:t>
      </w:r>
      <w:r w:rsidRPr="00D54C9D">
        <w:rPr>
          <w:rStyle w:val="Refdenotaderodap"/>
        </w:rPr>
        <w:footnoteReference w:id="22"/>
      </w:r>
      <w:r w:rsidRPr="00D54C9D">
        <w:t>.</w:t>
      </w:r>
    </w:p>
    <w:p w:rsidR="003F1F78" w:rsidRPr="006045CF" w:rsidRDefault="003F1F78" w:rsidP="00BC3A59">
      <w:pPr>
        <w:jc w:val="center"/>
        <w:rPr>
          <w:b/>
          <w:sz w:val="20"/>
          <w:szCs w:val="20"/>
        </w:rPr>
      </w:pPr>
      <w:r w:rsidRPr="006045CF">
        <w:rPr>
          <w:b/>
          <w:sz w:val="20"/>
          <w:szCs w:val="20"/>
        </w:rPr>
        <w:lastRenderedPageBreak/>
        <w:t xml:space="preserve">Tabela 1 – BNDES Consolidado: </w:t>
      </w:r>
      <w:proofErr w:type="gramStart"/>
      <w:r w:rsidRPr="006045CF">
        <w:rPr>
          <w:b/>
          <w:sz w:val="20"/>
          <w:szCs w:val="20"/>
        </w:rPr>
        <w:t>Passivo – Contas</w:t>
      </w:r>
      <w:proofErr w:type="gramEnd"/>
      <w:r w:rsidRPr="006045CF">
        <w:rPr>
          <w:b/>
          <w:sz w:val="20"/>
          <w:szCs w:val="20"/>
        </w:rPr>
        <w:t xml:space="preserve"> Selecionadas 2000-2010</w:t>
      </w:r>
    </w:p>
    <w:p w:rsidR="003F1F78" w:rsidRDefault="003F1F78" w:rsidP="00BC3A59">
      <w:pPr>
        <w:jc w:val="center"/>
        <w:rPr>
          <w:sz w:val="20"/>
          <w:szCs w:val="20"/>
        </w:rPr>
      </w:pPr>
      <w:r w:rsidRPr="006045CF">
        <w:rPr>
          <w:sz w:val="20"/>
          <w:szCs w:val="20"/>
        </w:rPr>
        <w:t>(R$ Bilhões de dezembro de 2010*)</w:t>
      </w: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96"/>
        <w:gridCol w:w="2116"/>
        <w:gridCol w:w="596"/>
        <w:gridCol w:w="596"/>
        <w:gridCol w:w="596"/>
        <w:gridCol w:w="596"/>
        <w:gridCol w:w="596"/>
        <w:gridCol w:w="596"/>
        <w:gridCol w:w="596"/>
        <w:gridCol w:w="596"/>
        <w:gridCol w:w="591"/>
        <w:gridCol w:w="687"/>
        <w:gridCol w:w="591"/>
      </w:tblGrid>
      <w:tr w:rsidR="003F1F78" w:rsidRPr="006045CF" w:rsidTr="006045CF">
        <w:trPr>
          <w:trHeight w:val="240"/>
        </w:trPr>
        <w:tc>
          <w:tcPr>
            <w:tcW w:w="2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5CF">
              <w:rPr>
                <w:rFonts w:ascii="Arial" w:hAnsi="Arial" w:cs="Arial"/>
                <w:b/>
                <w:bCs/>
                <w:sz w:val="18"/>
                <w:szCs w:val="18"/>
              </w:rPr>
              <w:t>2010</w:t>
            </w:r>
          </w:p>
        </w:tc>
      </w:tr>
      <w:tr w:rsidR="003F1F78" w:rsidRPr="006045CF" w:rsidTr="006045CF">
        <w:trPr>
          <w:trHeight w:val="240"/>
        </w:trPr>
        <w:tc>
          <w:tcPr>
            <w:tcW w:w="241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Passivo Total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180,4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186,8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223,3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205,9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206,2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208,2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216,3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223,9</w:t>
            </w: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289,3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386,6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537,9</w:t>
            </w:r>
          </w:p>
        </w:tc>
      </w:tr>
      <w:tr w:rsidR="003F1F78" w:rsidRPr="006045CF" w:rsidTr="006045CF">
        <w:trPr>
          <w:trHeight w:val="240"/>
        </w:trPr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 xml:space="preserve">       Variação 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3,6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19,5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-7,8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0,2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3,9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3,5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29,2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33,7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sz w:val="18"/>
                <w:szCs w:val="18"/>
              </w:rPr>
              <w:t>39,1</w:t>
            </w:r>
          </w:p>
        </w:tc>
      </w:tr>
      <w:tr w:rsidR="003F1F78" w:rsidRPr="006045CF" w:rsidTr="006045CF">
        <w:trPr>
          <w:trHeight w:val="240"/>
        </w:trPr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Patrimônio de Referência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22,4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21,1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32,9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45,6</w:t>
            </w:r>
          </w:p>
        </w:tc>
      </w:tr>
      <w:tr w:rsidR="003F1F78" w:rsidRPr="006045CF" w:rsidTr="006045CF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Capital Social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16,3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16,2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16,8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15,4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14,3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15,4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16,0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15,3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14,5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20,3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29,0</w:t>
            </w:r>
          </w:p>
        </w:tc>
      </w:tr>
      <w:tr w:rsidR="003F1F78" w:rsidRPr="006045CF" w:rsidTr="006045CF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Lucros Acumulados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5,2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10,8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6,5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</w:tr>
      <w:tr w:rsidR="003F1F78" w:rsidRPr="006045CF" w:rsidTr="006045CF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Dívida Subordinada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10,6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5,1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4,3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4,5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4,7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5,5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6,8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6,5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8,1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9,3</w:t>
            </w:r>
          </w:p>
        </w:tc>
      </w:tr>
      <w:tr w:rsidR="003F1F78" w:rsidRPr="006045CF" w:rsidTr="006045CF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Instr</w:t>
            </w:r>
            <w:proofErr w:type="spellEnd"/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. Híbridos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6,2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8,1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7,4</w:t>
            </w:r>
          </w:p>
        </w:tc>
      </w:tr>
      <w:tr w:rsidR="003F1F78" w:rsidRPr="006045CF" w:rsidTr="006045CF">
        <w:trPr>
          <w:trHeight w:val="240"/>
        </w:trPr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Capital de Terceiros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150,4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164,5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200,9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184,8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186,1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189,6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492,3</w:t>
            </w:r>
          </w:p>
        </w:tc>
      </w:tr>
      <w:tr w:rsidR="003F1F78" w:rsidRPr="006045CF" w:rsidTr="006045CF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Repasses do Tesouro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12,7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9,4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22,7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24,4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25,9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23,4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11,1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9,1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38,8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131,8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235,0</w:t>
            </w:r>
          </w:p>
        </w:tc>
      </w:tr>
      <w:tr w:rsidR="003F1F78" w:rsidRPr="006045CF" w:rsidTr="006045CF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Inst. Multilaterais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9,7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12,3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19,2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14,6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11,5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10,9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11,3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10,3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14,5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12,3</w:t>
            </w:r>
          </w:p>
        </w:tc>
      </w:tr>
      <w:tr w:rsidR="003F1F78" w:rsidRPr="006045CF" w:rsidTr="006045CF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FAT Não Elegível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41,3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58,3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68,9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66,5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70,4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71,3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75,9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74,9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82,6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83,4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89,9</w:t>
            </w:r>
          </w:p>
        </w:tc>
      </w:tr>
      <w:tr w:rsidR="003F1F78" w:rsidRPr="006045CF" w:rsidTr="006045CF">
        <w:trPr>
          <w:trHeight w:val="2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Captações no Mercado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0,6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2,2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18,5</w:t>
            </w:r>
          </w:p>
        </w:tc>
      </w:tr>
      <w:tr w:rsidR="003F1F78" w:rsidRPr="006045CF" w:rsidTr="006045CF">
        <w:trPr>
          <w:trHeight w:val="255"/>
        </w:trPr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sz w:val="18"/>
                <w:szCs w:val="18"/>
              </w:rPr>
            </w:pPr>
            <w:r w:rsidRPr="006045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3F1F78" w:rsidRPr="006045CF" w:rsidRDefault="003F1F78" w:rsidP="00BC3A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Outros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86,7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84,5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90,2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79,3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78,3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79,8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91,3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96,6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119,1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120,7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F1F78" w:rsidRPr="006045CF" w:rsidRDefault="003F1F78" w:rsidP="00BC3A5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45CF">
              <w:rPr>
                <w:rFonts w:ascii="Arial" w:hAnsi="Arial" w:cs="Arial"/>
                <w:i/>
                <w:iCs/>
                <w:sz w:val="18"/>
                <w:szCs w:val="18"/>
              </w:rPr>
              <w:t>136,6</w:t>
            </w:r>
          </w:p>
        </w:tc>
      </w:tr>
    </w:tbl>
    <w:p w:rsidR="003F1F78" w:rsidRDefault="003F1F78" w:rsidP="00BC3A59">
      <w:pPr>
        <w:jc w:val="center"/>
        <w:rPr>
          <w:sz w:val="20"/>
          <w:szCs w:val="20"/>
        </w:rPr>
      </w:pPr>
    </w:p>
    <w:p w:rsidR="003F1F78" w:rsidRPr="00D54C9D" w:rsidRDefault="003F1F78" w:rsidP="00BC3A59">
      <w:pPr>
        <w:spacing w:after="120"/>
        <w:rPr>
          <w:sz w:val="20"/>
          <w:szCs w:val="20"/>
        </w:rPr>
      </w:pPr>
      <w:r w:rsidRPr="006045CF">
        <w:rPr>
          <w:sz w:val="20"/>
          <w:szCs w:val="20"/>
        </w:rPr>
        <w:t>Fonte: Elaboração própria a partir de dados do BNDES. *</w:t>
      </w:r>
      <w:r>
        <w:rPr>
          <w:sz w:val="20"/>
          <w:szCs w:val="20"/>
        </w:rPr>
        <w:t xml:space="preserve"> Dados inflacionados pelo IPCA.</w:t>
      </w:r>
    </w:p>
    <w:p w:rsidR="003F1F78" w:rsidRPr="00D54C9D" w:rsidRDefault="003F1F78" w:rsidP="00BC3A59">
      <w:pPr>
        <w:jc w:val="center"/>
        <w:rPr>
          <w:b/>
          <w:sz w:val="20"/>
          <w:szCs w:val="20"/>
        </w:rPr>
      </w:pPr>
      <w:r w:rsidRPr="00D54C9D">
        <w:rPr>
          <w:b/>
          <w:sz w:val="20"/>
          <w:szCs w:val="20"/>
        </w:rPr>
        <w:t xml:space="preserve">Gráfico 6 – BNDES: </w:t>
      </w:r>
      <w:proofErr w:type="gramStart"/>
      <w:r w:rsidRPr="00D54C9D">
        <w:rPr>
          <w:b/>
          <w:sz w:val="20"/>
          <w:szCs w:val="20"/>
        </w:rPr>
        <w:t xml:space="preserve">Passivo </w:t>
      </w:r>
      <w:r>
        <w:rPr>
          <w:b/>
          <w:sz w:val="20"/>
          <w:szCs w:val="20"/>
        </w:rPr>
        <w:t>– Contas</w:t>
      </w:r>
      <w:proofErr w:type="gramEnd"/>
      <w:r>
        <w:rPr>
          <w:b/>
          <w:sz w:val="20"/>
          <w:szCs w:val="20"/>
        </w:rPr>
        <w:t xml:space="preserve"> Selecionadas 1998-2010</w:t>
      </w:r>
    </w:p>
    <w:p w:rsidR="003F1F78" w:rsidRPr="00D54C9D" w:rsidRDefault="003F1F78" w:rsidP="00BC3A59">
      <w:pPr>
        <w:jc w:val="center"/>
      </w:pPr>
      <w:r w:rsidRPr="00D54C9D">
        <w:rPr>
          <w:sz w:val="20"/>
          <w:szCs w:val="20"/>
        </w:rPr>
        <w:t>Variação Real (IPCA) no ano (%)</w:t>
      </w:r>
    </w:p>
    <w:p w:rsidR="003F1F78" w:rsidRPr="006045CF" w:rsidRDefault="000375CD" w:rsidP="00BC3A59">
      <w:pPr>
        <w:ind w:firstLine="709"/>
        <w:jc w:val="center"/>
      </w:pPr>
      <w:r>
        <w:rPr>
          <w:noProof/>
        </w:rPr>
        <w:drawing>
          <wp:inline distT="0" distB="0" distL="0" distR="0">
            <wp:extent cx="4219575" cy="25336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Pr="00D54C9D" w:rsidRDefault="003F1F78" w:rsidP="00BC3A59">
      <w:pPr>
        <w:spacing w:after="120"/>
        <w:ind w:firstLine="708"/>
        <w:rPr>
          <w:sz w:val="20"/>
          <w:szCs w:val="20"/>
        </w:rPr>
      </w:pPr>
      <w:r w:rsidRPr="00D54C9D">
        <w:rPr>
          <w:sz w:val="20"/>
          <w:szCs w:val="20"/>
        </w:rPr>
        <w:t>Fonte: Elaboração Próp</w:t>
      </w:r>
      <w:r>
        <w:rPr>
          <w:sz w:val="20"/>
          <w:szCs w:val="20"/>
        </w:rPr>
        <w:t>ria a partir de dados do BNDES.</w:t>
      </w:r>
    </w:p>
    <w:p w:rsidR="003F1F78" w:rsidRDefault="003F1F78" w:rsidP="00BC3A59">
      <w:pPr>
        <w:spacing w:after="120"/>
        <w:ind w:firstLine="709"/>
        <w:jc w:val="both"/>
      </w:pPr>
      <w:r w:rsidRPr="00D54C9D">
        <w:t xml:space="preserve">A partir de 2008, em decorrência da crise financeira internacional, a taxa de crescimento da parcela referente ao capital de terceiros se amplia substantivamente em </w:t>
      </w:r>
      <w:r>
        <w:t>por conta</w:t>
      </w:r>
      <w:r w:rsidRPr="00D54C9D">
        <w:t xml:space="preserve"> da elevação dos repasses do Tesouro Nacional ao BNDES com vistas à atuação anticíclica diante da crise e, como já citado, ao financiamento de projetos definidos como prioritários pelo governo. Entre 2008 e 2010, o BNDES também passa a recorrer de modo mais </w:t>
      </w:r>
      <w:r w:rsidRPr="0027594F">
        <w:t xml:space="preserve">intenso às captações em mercado, como pode ser observado no Gráfico </w:t>
      </w:r>
      <w:proofErr w:type="gramStart"/>
      <w:r w:rsidRPr="0027594F">
        <w:t>7</w:t>
      </w:r>
      <w:proofErr w:type="gramEnd"/>
      <w:r w:rsidRPr="0027594F">
        <w:t xml:space="preserve">. Neste período, a </w:t>
      </w:r>
      <w:r>
        <w:t>aproximação</w:t>
      </w:r>
      <w:r w:rsidRPr="0027594F">
        <w:t xml:space="preserve"> do índice de Basiléia </w:t>
      </w:r>
      <w:r>
        <w:t>do</w:t>
      </w:r>
      <w:r w:rsidRPr="0027594F">
        <w:t xml:space="preserve"> limite inferior de 11% poderia ter implicado um ajuste na estrutura do </w:t>
      </w:r>
      <w:r w:rsidRPr="0027594F">
        <w:rPr>
          <w:i/>
        </w:rPr>
        <w:t>passivo</w:t>
      </w:r>
      <w:r w:rsidRPr="0027594F">
        <w:t xml:space="preserve"> do Banco. </w:t>
      </w:r>
      <w:r>
        <w:t xml:space="preserve">No entanto, como o índice de Basiléia da instituição ainda se encontrava em um nível elevado, o banco optou por promover um ajuste nas suas operações ativas de modo </w:t>
      </w:r>
      <w:proofErr w:type="gramStart"/>
      <w:r>
        <w:t>a</w:t>
      </w:r>
      <w:proofErr w:type="gramEnd"/>
      <w:r>
        <w:t xml:space="preserve"> </w:t>
      </w:r>
      <w:proofErr w:type="spellStart"/>
      <w:r>
        <w:t>contrarrestar</w:t>
      </w:r>
      <w:proofErr w:type="spellEnd"/>
      <w:r>
        <w:t xml:space="preserve"> esta tendência de queda do índice.</w:t>
      </w:r>
      <w:r w:rsidRPr="0027594F">
        <w:t xml:space="preserve"> </w:t>
      </w:r>
    </w:p>
    <w:p w:rsidR="003F1F78" w:rsidRPr="00D54C9D" w:rsidRDefault="003F1F78" w:rsidP="00BC3A59">
      <w:pPr>
        <w:jc w:val="center"/>
        <w:rPr>
          <w:b/>
          <w:sz w:val="20"/>
          <w:szCs w:val="20"/>
        </w:rPr>
      </w:pPr>
      <w:r w:rsidRPr="00940474">
        <w:rPr>
          <w:b/>
          <w:sz w:val="20"/>
          <w:szCs w:val="20"/>
        </w:rPr>
        <w:t xml:space="preserve">Gráfico 7 – BNDES: </w:t>
      </w:r>
      <w:proofErr w:type="gramStart"/>
      <w:r w:rsidRPr="00940474">
        <w:rPr>
          <w:b/>
          <w:sz w:val="20"/>
          <w:szCs w:val="20"/>
        </w:rPr>
        <w:t>Passivo – Contas</w:t>
      </w:r>
      <w:proofErr w:type="gramEnd"/>
      <w:r w:rsidRPr="00940474">
        <w:rPr>
          <w:b/>
          <w:sz w:val="20"/>
          <w:szCs w:val="20"/>
        </w:rPr>
        <w:t xml:space="preserve"> Selecionadas 2000-2010</w:t>
      </w:r>
    </w:p>
    <w:p w:rsidR="003F1F78" w:rsidRPr="00D54C9D" w:rsidRDefault="003F1F78" w:rsidP="00BC3A59">
      <w:pPr>
        <w:jc w:val="center"/>
      </w:pPr>
      <w:r w:rsidRPr="00D54C9D">
        <w:rPr>
          <w:sz w:val="20"/>
          <w:szCs w:val="20"/>
        </w:rPr>
        <w:t xml:space="preserve">(R$ Milhões de </w:t>
      </w:r>
      <w:r>
        <w:rPr>
          <w:sz w:val="20"/>
          <w:szCs w:val="20"/>
        </w:rPr>
        <w:t>2010*</w:t>
      </w:r>
      <w:r w:rsidRPr="00D54C9D">
        <w:rPr>
          <w:sz w:val="20"/>
          <w:szCs w:val="20"/>
        </w:rPr>
        <w:t>)</w:t>
      </w:r>
    </w:p>
    <w:p w:rsidR="003F1F78" w:rsidRPr="00746600" w:rsidRDefault="000375CD" w:rsidP="00BC3A59">
      <w:pPr>
        <w:jc w:val="center"/>
      </w:pPr>
      <w:r>
        <w:rPr>
          <w:noProof/>
        </w:rPr>
        <w:lastRenderedPageBreak/>
        <w:drawing>
          <wp:inline distT="0" distB="0" distL="0" distR="0">
            <wp:extent cx="4219575" cy="24098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Pr="00D54C9D" w:rsidRDefault="003F1F78" w:rsidP="00BC3A59">
      <w:pPr>
        <w:spacing w:after="120"/>
        <w:ind w:firstLine="708"/>
        <w:rPr>
          <w:sz w:val="20"/>
          <w:szCs w:val="20"/>
        </w:rPr>
      </w:pPr>
      <w:r w:rsidRPr="00D54C9D">
        <w:rPr>
          <w:sz w:val="20"/>
          <w:szCs w:val="20"/>
        </w:rPr>
        <w:t>Fonte: Elaboração Própria a partir de dados do BNDES</w:t>
      </w:r>
      <w:r>
        <w:rPr>
          <w:sz w:val="20"/>
          <w:szCs w:val="20"/>
        </w:rPr>
        <w:t>. *Valores inflacionados pelo IPCA.</w:t>
      </w:r>
    </w:p>
    <w:p w:rsidR="003F1F78" w:rsidRDefault="003F1F78" w:rsidP="00BC3A59">
      <w:pPr>
        <w:spacing w:after="120"/>
        <w:ind w:firstLine="709"/>
        <w:jc w:val="both"/>
      </w:pPr>
      <w:r w:rsidRPr="00D54C9D">
        <w:t xml:space="preserve">Em síntese, a observância do BNDES aos princípios normativos de Basiléia não impediu o Banco de executar suas funções de modo satisfatório, permitindo que o mesmo mantivesse uma estratégia operacional relativamente autônoma frente às exigências regulamentares, notadamente no que se refere à gestão do seu passivo, embora tenha sido observada a </w:t>
      </w:r>
      <w:r>
        <w:t>ocorrência</w:t>
      </w:r>
      <w:r w:rsidRPr="00D54C9D">
        <w:t xml:space="preserve"> de algumas limitações à estratégia creditícia do Banco, especialmente a partir de 2008. Assim, a tendência à elevação da parcela de tomadores </w:t>
      </w:r>
      <w:proofErr w:type="spellStart"/>
      <w:r w:rsidRPr="00D54C9D">
        <w:rPr>
          <w:i/>
        </w:rPr>
        <w:t>investment</w:t>
      </w:r>
      <w:proofErr w:type="spellEnd"/>
      <w:r w:rsidRPr="00D54C9D">
        <w:rPr>
          <w:i/>
        </w:rPr>
        <w:t xml:space="preserve"> grade</w:t>
      </w:r>
      <w:r w:rsidRPr="00D54C9D">
        <w:t xml:space="preserve"> na carteira do banco parece ter estado ligada à necessidade de manter controlado o ativo ponderado pelo risco de modo a evitar expansões mais substantivas no patrimônio de referência exigido, embora, </w:t>
      </w:r>
      <w:r w:rsidRPr="00D015ED">
        <w:rPr>
          <w:i/>
        </w:rPr>
        <w:t>a priori</w:t>
      </w:r>
      <w:r w:rsidRPr="00D54C9D">
        <w:t xml:space="preserve">, tal fato não tenha se mostrado incompatível com as funções atribuídas ao banco. </w:t>
      </w:r>
      <w:r w:rsidRPr="00D015ED">
        <w:t>A menor expansão das operações de crédito em relação à evolução do seu passivo entre os anos de 2008 e 2010 também parece ter sido um resultado desta tentativa de evitar uma redução substantiva do índice de Basiléia do banco.</w:t>
      </w:r>
    </w:p>
    <w:p w:rsidR="003F1F78" w:rsidRDefault="003F1F78" w:rsidP="00BC3A59">
      <w:pPr>
        <w:spacing w:after="120"/>
        <w:ind w:firstLine="709"/>
        <w:jc w:val="both"/>
      </w:pPr>
    </w:p>
    <w:p w:rsidR="003F1F78" w:rsidRPr="00403791" w:rsidRDefault="003F1F78" w:rsidP="00BC3A59">
      <w:pPr>
        <w:spacing w:after="120"/>
        <w:jc w:val="both"/>
        <w:rPr>
          <w:b/>
          <w:i/>
        </w:rPr>
      </w:pPr>
      <w:r w:rsidRPr="00403791">
        <w:rPr>
          <w:b/>
          <w:i/>
        </w:rPr>
        <w:t>3.2. Banco do Nordeste do Brasil (BNB)</w:t>
      </w:r>
    </w:p>
    <w:p w:rsidR="003F1F78" w:rsidRDefault="003F1F78" w:rsidP="00BC3A59">
      <w:pPr>
        <w:spacing w:after="120"/>
        <w:ind w:firstLine="708"/>
        <w:jc w:val="both"/>
      </w:pPr>
      <w:r w:rsidRPr="00D54C9D">
        <w:t xml:space="preserve">A edição de novas normas regulamentares de Basiléia ao longo dos anos de 1999 e 2000 teve para o BNB uma implicação imediata na forma da segregação do seu patrimônio e aquele do FNE a partir de então, levando o índice de Basiléia do Banco a ficar abaixo do limite estabelecido pelo BCB nestes anos </w:t>
      </w:r>
      <w:r w:rsidRPr="00940474">
        <w:t xml:space="preserve">(Gráfico </w:t>
      </w:r>
      <w:proofErr w:type="gramStart"/>
      <w:r w:rsidRPr="00940474">
        <w:t>8</w:t>
      </w:r>
      <w:proofErr w:type="gramEnd"/>
      <w:r w:rsidRPr="00940474">
        <w:t>). Como</w:t>
      </w:r>
      <w:r w:rsidRPr="00D54C9D">
        <w:t xml:space="preserve"> </w:t>
      </w:r>
      <w:r>
        <w:t>resultado</w:t>
      </w:r>
      <w:r w:rsidRPr="00D54C9D">
        <w:t>, tal situação implicou na inclusão do BNB no PROEF, cujas principais medidas saneadoras contemplaram: (i) um aumento de capital social da ordem de R$ 2,1 bilhões; (</w:t>
      </w:r>
      <w:proofErr w:type="gramStart"/>
      <w:r w:rsidRPr="00D54C9D">
        <w:t>ii</w:t>
      </w:r>
      <w:proofErr w:type="gramEnd"/>
      <w:r w:rsidRPr="00D54C9D">
        <w:t xml:space="preserve">) a assunção do risco das operações de crédito rural (no valor de R$ 49,2 milhões) pela União, por meio da troca de ativos entre o </w:t>
      </w:r>
      <w:r>
        <w:t>BNB</w:t>
      </w:r>
      <w:r w:rsidRPr="00D54C9D">
        <w:t xml:space="preserve"> e o Tesouro Nacional; (iii) o repasse de recursos do FNE para o BNB, </w:t>
      </w:r>
      <w:r>
        <w:t>com vistas a</w:t>
      </w:r>
      <w:r w:rsidRPr="00D54C9D">
        <w:t xml:space="preserve"> constituir capital de nível II nos termos de Basiléia; e (iv) a desobrigação do risco de crédito das operações do FNE contratadas até o final de novembro de 1998 (BNB, 2001, pp. 8-9; MP nº 2.196-3/2001; Ministério da Fazenda, 2001a e 2001b).</w:t>
      </w:r>
    </w:p>
    <w:p w:rsidR="003F1F78" w:rsidRDefault="003F1F78" w:rsidP="00BC3A59">
      <w:pPr>
        <w:spacing w:after="120"/>
        <w:ind w:firstLine="708"/>
        <w:jc w:val="both"/>
      </w:pPr>
      <w:r w:rsidRPr="00D54C9D">
        <w:t xml:space="preserve">Os primeiros impactos da inclusão do BNB no PROEF se fizeram sentir, pelo lado do ativo, na redução de 44,6%, em termos reais, das operações de crédito e repasses interfinanceiros entre 2000 e 2002 (Gráfico </w:t>
      </w:r>
      <w:proofErr w:type="gramStart"/>
      <w:r w:rsidRPr="00D54C9D">
        <w:t>9</w:t>
      </w:r>
      <w:proofErr w:type="gramEnd"/>
      <w:r w:rsidRPr="00D54C9D">
        <w:t xml:space="preserve">). Tal fato representou uma queda de 28,8 pontos percentuais da parcela de empréstimos sobre o ativo (Gráfico 10) e uma ampliação de 347,4%, em termos reais, da parcela de títulos e valores mobiliários (dos quais </w:t>
      </w:r>
      <w:proofErr w:type="gramStart"/>
      <w:r w:rsidRPr="00D54C9D">
        <w:t>cerca de 85</w:t>
      </w:r>
      <w:proofErr w:type="gramEnd"/>
      <w:r w:rsidRPr="00D54C9D">
        <w:t>% dizem respeito a títulos públicos) no total do ativo neste período</w:t>
      </w:r>
      <w:r w:rsidRPr="00D54C9D">
        <w:rPr>
          <w:rStyle w:val="Refdenotaderodap"/>
        </w:rPr>
        <w:footnoteReference w:id="23"/>
      </w:r>
      <w:r>
        <w:t>.</w:t>
      </w:r>
    </w:p>
    <w:p w:rsidR="003F1F78" w:rsidRPr="008766AE" w:rsidRDefault="003F1F78" w:rsidP="00BC3A59">
      <w:pPr>
        <w:jc w:val="center"/>
        <w:rPr>
          <w:b/>
          <w:sz w:val="20"/>
          <w:szCs w:val="20"/>
        </w:rPr>
      </w:pPr>
      <w:r w:rsidRPr="008766AE">
        <w:rPr>
          <w:b/>
          <w:sz w:val="20"/>
          <w:szCs w:val="20"/>
        </w:rPr>
        <w:lastRenderedPageBreak/>
        <w:t>Gráfico 8 – BNB: Índice de Basiléia 2001-2010</w:t>
      </w:r>
    </w:p>
    <w:p w:rsidR="003F1F78" w:rsidRPr="008766AE" w:rsidRDefault="003F1F78" w:rsidP="00BC3A59">
      <w:pPr>
        <w:jc w:val="center"/>
        <w:rPr>
          <w:sz w:val="20"/>
          <w:szCs w:val="20"/>
        </w:rPr>
      </w:pPr>
      <w:r w:rsidRPr="008766AE">
        <w:rPr>
          <w:sz w:val="20"/>
          <w:szCs w:val="20"/>
        </w:rPr>
        <w:t>Patrimônio de Referência/Ativos Ponderados pelo Risco (%)</w:t>
      </w:r>
    </w:p>
    <w:p w:rsidR="003F1F78" w:rsidRPr="00940474" w:rsidRDefault="000375CD" w:rsidP="00BC3A59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4676775" cy="24479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Pr="008766AE" w:rsidRDefault="003F1F78" w:rsidP="00BC3A59">
      <w:pPr>
        <w:spacing w:after="120"/>
        <w:ind w:firstLine="709"/>
        <w:rPr>
          <w:sz w:val="20"/>
          <w:szCs w:val="20"/>
        </w:rPr>
      </w:pPr>
      <w:r w:rsidRPr="008766AE">
        <w:rPr>
          <w:sz w:val="20"/>
          <w:szCs w:val="20"/>
        </w:rPr>
        <w:t>Fonte: BCB, Relatório 50 maiores bancos &amp; BNB.</w:t>
      </w:r>
    </w:p>
    <w:p w:rsidR="003F1F78" w:rsidRPr="00940474" w:rsidRDefault="003F1F78" w:rsidP="00BC3A59">
      <w:pPr>
        <w:jc w:val="center"/>
        <w:rPr>
          <w:b/>
          <w:sz w:val="20"/>
          <w:szCs w:val="20"/>
        </w:rPr>
      </w:pPr>
      <w:r w:rsidRPr="00940474">
        <w:rPr>
          <w:b/>
          <w:sz w:val="20"/>
          <w:szCs w:val="20"/>
        </w:rPr>
        <w:t xml:space="preserve">Gráfico 9 – BNB: </w:t>
      </w:r>
      <w:proofErr w:type="gramStart"/>
      <w:r w:rsidRPr="00940474">
        <w:rPr>
          <w:b/>
          <w:sz w:val="20"/>
          <w:szCs w:val="20"/>
        </w:rPr>
        <w:t>Ativo – Operações</w:t>
      </w:r>
      <w:proofErr w:type="gramEnd"/>
      <w:r w:rsidRPr="00940474">
        <w:rPr>
          <w:b/>
          <w:sz w:val="20"/>
          <w:szCs w:val="20"/>
        </w:rPr>
        <w:t xml:space="preserve"> de Crédito e Repasses 1998-2010</w:t>
      </w:r>
    </w:p>
    <w:p w:rsidR="003F1F78" w:rsidRPr="00940474" w:rsidRDefault="003F1F78" w:rsidP="00BC3A59">
      <w:pPr>
        <w:jc w:val="center"/>
        <w:rPr>
          <w:sz w:val="20"/>
          <w:szCs w:val="20"/>
        </w:rPr>
      </w:pPr>
      <w:r w:rsidRPr="00940474">
        <w:rPr>
          <w:sz w:val="20"/>
          <w:szCs w:val="20"/>
        </w:rPr>
        <w:t>Variação real anual (%)</w:t>
      </w:r>
    </w:p>
    <w:p w:rsidR="003F1F78" w:rsidRPr="00940474" w:rsidRDefault="000375CD" w:rsidP="00BC3A59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286250" cy="265747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Default="003F1F78" w:rsidP="00BC3A59">
      <w:pPr>
        <w:spacing w:after="120"/>
        <w:ind w:firstLine="708"/>
        <w:rPr>
          <w:sz w:val="20"/>
          <w:szCs w:val="20"/>
        </w:rPr>
      </w:pPr>
      <w:r w:rsidRPr="00940474">
        <w:rPr>
          <w:sz w:val="20"/>
          <w:szCs w:val="20"/>
        </w:rPr>
        <w:t xml:space="preserve">Fonte: Elaboração Própria a partir de dados do BNB. </w:t>
      </w:r>
    </w:p>
    <w:p w:rsidR="003F1F78" w:rsidRPr="00D54C9D" w:rsidRDefault="003F1F78" w:rsidP="00BC3A59">
      <w:pPr>
        <w:spacing w:after="120"/>
        <w:ind w:firstLine="708"/>
        <w:jc w:val="both"/>
      </w:pPr>
      <w:r w:rsidRPr="00D54C9D">
        <w:t>O PROEF permitiu ainda que, a partir de 2001, o BNB apresentasse índices de Basiléia que superaram o valor exigido pelo Banco Central (11%), o que foi mantido até o final de 2010</w:t>
      </w:r>
      <w:r>
        <w:t xml:space="preserve"> como, de resto, era o planejado com a reestruturação</w:t>
      </w:r>
      <w:r w:rsidRPr="00D54C9D">
        <w:t>. No período 2001-2010, a única queda substancial do índice se deu entre os anos de 200</w:t>
      </w:r>
      <w:r>
        <w:t>7</w:t>
      </w:r>
      <w:r w:rsidRPr="00D54C9D">
        <w:t xml:space="preserve"> e </w:t>
      </w:r>
      <w:r w:rsidRPr="00940474">
        <w:t>2008, a qual pode, em termos gerais, ser creditada à crise financeira internacional</w:t>
      </w:r>
      <w:r>
        <w:t xml:space="preserve"> (BNB, 2007; 2008 e 2009a)</w:t>
      </w:r>
      <w:r w:rsidRPr="00940474">
        <w:t>, visto</w:t>
      </w:r>
      <w:r w:rsidRPr="00D54C9D">
        <w:t xml:space="preserve"> que o Banco, tal </w:t>
      </w:r>
      <w:r>
        <w:t>como</w:t>
      </w:r>
      <w:r w:rsidRPr="00D54C9D">
        <w:t xml:space="preserve"> o BNDES, </w:t>
      </w:r>
      <w:r>
        <w:t>perseguiu</w:t>
      </w:r>
      <w:r w:rsidRPr="00D54C9D">
        <w:t xml:space="preserve"> uma forte expansão nos seus empréstimos – os mesmos se expandiram a uma taxa real média de 40,4% no biênio 2008-09 – como </w:t>
      </w:r>
      <w:r>
        <w:t xml:space="preserve">uma política de </w:t>
      </w:r>
      <w:r w:rsidRPr="00D54C9D">
        <w:t>resposta aos efeitos mais imediatos da referida crise, sem que fosse observada uma correspondente elevação do patrimônio de referência do Banco.</w:t>
      </w:r>
    </w:p>
    <w:p w:rsidR="003F1F78" w:rsidRPr="00940474" w:rsidRDefault="003F1F78" w:rsidP="00BC3A59">
      <w:pPr>
        <w:jc w:val="center"/>
        <w:rPr>
          <w:b/>
          <w:sz w:val="20"/>
          <w:szCs w:val="20"/>
        </w:rPr>
      </w:pPr>
      <w:r w:rsidRPr="00940474">
        <w:rPr>
          <w:b/>
          <w:sz w:val="20"/>
          <w:szCs w:val="20"/>
        </w:rPr>
        <w:t xml:space="preserve">Gráfico 10 – BNB: </w:t>
      </w:r>
      <w:proofErr w:type="gramStart"/>
      <w:r w:rsidRPr="00940474">
        <w:rPr>
          <w:b/>
          <w:sz w:val="20"/>
          <w:szCs w:val="20"/>
        </w:rPr>
        <w:t>Ativo – Contas</w:t>
      </w:r>
      <w:proofErr w:type="gramEnd"/>
      <w:r w:rsidRPr="00940474">
        <w:rPr>
          <w:b/>
          <w:sz w:val="20"/>
          <w:szCs w:val="20"/>
        </w:rPr>
        <w:t xml:space="preserve"> Selecionadas 1998-2010</w:t>
      </w:r>
    </w:p>
    <w:p w:rsidR="003F1F78" w:rsidRPr="00940474" w:rsidRDefault="003F1F78" w:rsidP="00BC3A59">
      <w:pPr>
        <w:jc w:val="center"/>
        <w:rPr>
          <w:sz w:val="20"/>
          <w:szCs w:val="20"/>
        </w:rPr>
      </w:pPr>
      <w:r w:rsidRPr="00940474">
        <w:rPr>
          <w:sz w:val="20"/>
          <w:szCs w:val="20"/>
        </w:rPr>
        <w:t>Participação em Relação ao Total do Ativo (%)</w:t>
      </w:r>
    </w:p>
    <w:p w:rsidR="003F1F78" w:rsidRPr="00940474" w:rsidRDefault="000375CD" w:rsidP="00BC3A59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4581525" cy="275272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Pr="00D54C9D" w:rsidRDefault="003F1F78" w:rsidP="00BC3A59">
      <w:pPr>
        <w:spacing w:after="120"/>
        <w:ind w:firstLine="708"/>
        <w:rPr>
          <w:sz w:val="20"/>
          <w:szCs w:val="20"/>
        </w:rPr>
      </w:pPr>
      <w:r w:rsidRPr="00940474">
        <w:rPr>
          <w:sz w:val="20"/>
          <w:szCs w:val="20"/>
        </w:rPr>
        <w:t>Fonte: Elaboração Própria a partir de dados do BNB.</w:t>
      </w:r>
    </w:p>
    <w:p w:rsidR="003F1F78" w:rsidRPr="00D54C9D" w:rsidRDefault="003F1F78" w:rsidP="00BC3A59">
      <w:pPr>
        <w:spacing w:after="120"/>
        <w:jc w:val="both"/>
      </w:pPr>
      <w:r w:rsidRPr="00D54C9D">
        <w:rPr>
          <w:i/>
        </w:rPr>
        <w:tab/>
      </w:r>
      <w:r>
        <w:t>Em termos gerai</w:t>
      </w:r>
      <w:r w:rsidRPr="00D54C9D">
        <w:t>s</w:t>
      </w:r>
      <w:r>
        <w:t>, as</w:t>
      </w:r>
      <w:r w:rsidRPr="00D54C9D">
        <w:t xml:space="preserve"> operações de crédito</w:t>
      </w:r>
      <w:r>
        <w:t xml:space="preserve"> do banco</w:t>
      </w:r>
      <w:r w:rsidRPr="00D54C9D">
        <w:t xml:space="preserve"> só iniciaram um efetivo movimento de expansão </w:t>
      </w:r>
      <w:r w:rsidRPr="00940474">
        <w:t>a partir de 2005, o qual se consolida após 2006 e se acentua nos anos de 2008 e 2009. Neste período, quando se</w:t>
      </w:r>
      <w:r w:rsidRPr="00D54C9D">
        <w:t xml:space="preserve"> pode afirmar que o </w:t>
      </w:r>
      <w:r>
        <w:t>b</w:t>
      </w:r>
      <w:r w:rsidRPr="00D54C9D">
        <w:t>anco buscou mais explicitamente uma estratégia de expansão do crédito, o mesmo realizou um substantivo esforço para elevar a parcela de tomadores de boa qualidade na carteira</w:t>
      </w:r>
      <w:r>
        <w:t xml:space="preserve">, como fica evidenciado na participação das </w:t>
      </w:r>
      <w:r w:rsidRPr="00D54C9D">
        <w:t xml:space="preserve">operações de crédito classificadas como </w:t>
      </w:r>
      <w:proofErr w:type="spellStart"/>
      <w:r w:rsidRPr="00D54C9D">
        <w:rPr>
          <w:i/>
        </w:rPr>
        <w:t>investment</w:t>
      </w:r>
      <w:proofErr w:type="spellEnd"/>
      <w:r w:rsidRPr="00D54C9D">
        <w:rPr>
          <w:i/>
        </w:rPr>
        <w:t xml:space="preserve"> grade</w:t>
      </w:r>
      <w:r w:rsidRPr="00D54C9D">
        <w:t xml:space="preserve">, que saem de 58,0% do total das operações em 2001 para cerca de 90% a partir de 2007 (Gráfico 11). </w:t>
      </w:r>
      <w:r>
        <w:t xml:space="preserve">Deve-se notar que, no início desse ciclo de expansão, o banco privilegia os tomadores AA. </w:t>
      </w:r>
      <w:r w:rsidRPr="00D54C9D">
        <w:t xml:space="preserve">Aparentemente, </w:t>
      </w:r>
      <w:r>
        <w:t>uma vez</w:t>
      </w:r>
      <w:r w:rsidRPr="00D54C9D">
        <w:t xml:space="preserve"> estabelecido um patamar satisfatório de créditos </w:t>
      </w:r>
      <w:r w:rsidRPr="001312AB">
        <w:t>AA</w:t>
      </w:r>
      <w:r w:rsidRPr="00D54C9D">
        <w:t xml:space="preserve">, o Banco se permite uma ampliação dos tomadores relativamente mais arriscados dentro </w:t>
      </w:r>
      <w:r>
        <w:t xml:space="preserve">da categoria </w:t>
      </w:r>
      <w:proofErr w:type="spellStart"/>
      <w:r>
        <w:rPr>
          <w:i/>
        </w:rPr>
        <w:t>investment</w:t>
      </w:r>
      <w:proofErr w:type="spellEnd"/>
      <w:r>
        <w:rPr>
          <w:i/>
        </w:rPr>
        <w:t xml:space="preserve"> grade</w:t>
      </w:r>
      <w:r w:rsidRPr="00D54C9D">
        <w:t xml:space="preserve">. </w:t>
      </w:r>
    </w:p>
    <w:p w:rsidR="003F1F78" w:rsidRPr="000E25D1" w:rsidRDefault="003F1F78" w:rsidP="00BC3A59">
      <w:pPr>
        <w:jc w:val="center"/>
        <w:rPr>
          <w:b/>
          <w:sz w:val="20"/>
          <w:szCs w:val="20"/>
        </w:rPr>
      </w:pPr>
      <w:r w:rsidRPr="000E25D1">
        <w:rPr>
          <w:b/>
          <w:sz w:val="20"/>
          <w:szCs w:val="20"/>
        </w:rPr>
        <w:t>Gráfico 11 – BNB: Repasses e Operações de Crédito 2001-2010</w:t>
      </w:r>
    </w:p>
    <w:p w:rsidR="003F1F78" w:rsidRPr="00D54C9D" w:rsidRDefault="003F1F78" w:rsidP="00BC3A59">
      <w:pPr>
        <w:jc w:val="center"/>
        <w:rPr>
          <w:sz w:val="20"/>
          <w:szCs w:val="20"/>
        </w:rPr>
      </w:pPr>
      <w:r w:rsidRPr="000E25D1">
        <w:rPr>
          <w:sz w:val="20"/>
          <w:szCs w:val="20"/>
        </w:rPr>
        <w:t xml:space="preserve">Operações </w:t>
      </w:r>
      <w:proofErr w:type="spellStart"/>
      <w:r w:rsidRPr="000E25D1">
        <w:rPr>
          <w:i/>
          <w:sz w:val="20"/>
          <w:szCs w:val="20"/>
        </w:rPr>
        <w:t>Investment</w:t>
      </w:r>
      <w:proofErr w:type="spellEnd"/>
      <w:r w:rsidRPr="000E25D1">
        <w:rPr>
          <w:sz w:val="20"/>
          <w:szCs w:val="20"/>
        </w:rPr>
        <w:t xml:space="preserve"> </w:t>
      </w:r>
      <w:r w:rsidRPr="000E25D1">
        <w:rPr>
          <w:i/>
          <w:sz w:val="20"/>
          <w:szCs w:val="20"/>
        </w:rPr>
        <w:t>Grade</w:t>
      </w:r>
      <w:r w:rsidRPr="000E25D1">
        <w:rPr>
          <w:sz w:val="20"/>
          <w:szCs w:val="20"/>
        </w:rPr>
        <w:t xml:space="preserve"> (AA, A e/ou B) em relação ao total da carteira</w:t>
      </w:r>
      <w:r w:rsidRPr="00D54C9D">
        <w:rPr>
          <w:sz w:val="20"/>
          <w:szCs w:val="20"/>
        </w:rPr>
        <w:t xml:space="preserve"> (%)</w:t>
      </w:r>
    </w:p>
    <w:p w:rsidR="003F1F78" w:rsidRPr="001C42C2" w:rsidRDefault="000375CD" w:rsidP="00BC3A5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600450" cy="24479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Pr="00D54C9D" w:rsidRDefault="003F1F78" w:rsidP="00BC3A59">
      <w:pPr>
        <w:spacing w:after="120"/>
        <w:ind w:firstLine="708"/>
        <w:rPr>
          <w:sz w:val="20"/>
          <w:szCs w:val="20"/>
        </w:rPr>
      </w:pPr>
      <w:r w:rsidRPr="00D54C9D">
        <w:rPr>
          <w:sz w:val="20"/>
          <w:szCs w:val="20"/>
        </w:rPr>
        <w:t xml:space="preserve">Fonte: Elaboração Própria a partir de dados do BNB. </w:t>
      </w:r>
    </w:p>
    <w:p w:rsidR="003F1F78" w:rsidRPr="001C42C2" w:rsidRDefault="003F1F78" w:rsidP="00BC3A59">
      <w:pPr>
        <w:spacing w:after="120"/>
        <w:ind w:firstLine="708"/>
        <w:jc w:val="both"/>
      </w:pPr>
      <w:r w:rsidRPr="00D54C9D">
        <w:t xml:space="preserve">A recomposição da carteira de crédito do </w:t>
      </w:r>
      <w:r w:rsidRPr="0027594F">
        <w:t>BNB a partir de 2005 permitiu, portanto, que houvesse uma significativa redução das provisões exigidas para risco</w:t>
      </w:r>
      <w:r w:rsidRPr="00D54C9D">
        <w:t xml:space="preserve"> de crédito</w:t>
      </w:r>
      <w:r>
        <w:t xml:space="preserve"> </w:t>
      </w:r>
      <w:r w:rsidRPr="00D54C9D">
        <w:t>– para créditos AA e A, a mesma é zero – reduzindo</w:t>
      </w:r>
      <w:r>
        <w:t>,</w:t>
      </w:r>
      <w:r w:rsidRPr="00D54C9D">
        <w:t xml:space="preserve"> desta forma</w:t>
      </w:r>
      <w:r>
        <w:t>,</w:t>
      </w:r>
      <w:r w:rsidRPr="00D54C9D">
        <w:t xml:space="preserve"> a magnitude do ativo ponderado pelo risco e, por conseguinte, o patrimônio de referência exigido. </w:t>
      </w:r>
      <w:r>
        <w:t xml:space="preserve">Note-se, ademais, que além de privilegiar os tomadores melhor classificados, </w:t>
      </w:r>
      <w:r w:rsidRPr="00D54C9D">
        <w:t xml:space="preserve">as novas operações de empréstimo passaram a se concentrar no curto prazo, fazendo com que o estoque de empréstimos (repasses e operações diretas) de curto </w:t>
      </w:r>
      <w:r>
        <w:lastRenderedPageBreak/>
        <w:t>termo</w:t>
      </w:r>
      <w:r w:rsidRPr="00D54C9D">
        <w:t xml:space="preserve"> </w:t>
      </w:r>
      <w:proofErr w:type="gramStart"/>
      <w:r>
        <w:t>chegassem</w:t>
      </w:r>
      <w:proofErr w:type="gramEnd"/>
      <w:r w:rsidRPr="00D54C9D">
        <w:t xml:space="preserve"> a </w:t>
      </w:r>
      <w:r w:rsidRPr="001C42C2">
        <w:t xml:space="preserve">representar </w:t>
      </w:r>
      <w:r>
        <w:t>quase</w:t>
      </w:r>
      <w:r w:rsidRPr="001C42C2">
        <w:t xml:space="preserve"> 50% do total de crédito do banco em </w:t>
      </w:r>
      <w:r>
        <w:t>2009</w:t>
      </w:r>
      <w:r w:rsidRPr="001C42C2">
        <w:rPr>
          <w:rStyle w:val="Refdenotaderodap"/>
        </w:rPr>
        <w:footnoteReference w:id="24"/>
      </w:r>
      <w:r>
        <w:t>, no que parece ser um claro esforço da instituição para evitar reduções no seu índice de Basiléia</w:t>
      </w:r>
      <w:r w:rsidRPr="001C42C2">
        <w:t>.</w:t>
      </w:r>
    </w:p>
    <w:p w:rsidR="003F1F78" w:rsidRPr="00D54C9D" w:rsidRDefault="003F1F78" w:rsidP="00BC3A59">
      <w:pPr>
        <w:jc w:val="center"/>
        <w:rPr>
          <w:b/>
          <w:sz w:val="20"/>
          <w:szCs w:val="20"/>
        </w:rPr>
      </w:pPr>
      <w:r w:rsidRPr="001C42C2">
        <w:rPr>
          <w:b/>
          <w:sz w:val="20"/>
          <w:szCs w:val="20"/>
        </w:rPr>
        <w:t>Gráfico 12 – BNB: Repasses e Operações de Crédito 2001-2010</w:t>
      </w:r>
    </w:p>
    <w:p w:rsidR="003F1F78" w:rsidRPr="00D54C9D" w:rsidRDefault="003F1F78" w:rsidP="00BC3A59">
      <w:pPr>
        <w:jc w:val="center"/>
      </w:pPr>
      <w:r w:rsidRPr="00D54C9D">
        <w:rPr>
          <w:sz w:val="20"/>
          <w:szCs w:val="20"/>
        </w:rPr>
        <w:t>Operações de curto prazo em relação ao total da carteira (%)</w:t>
      </w:r>
    </w:p>
    <w:p w:rsidR="003F1F78" w:rsidRPr="001C42C2" w:rsidRDefault="000375CD" w:rsidP="00BC3A59">
      <w:pPr>
        <w:ind w:firstLine="709"/>
        <w:jc w:val="both"/>
      </w:pPr>
      <w:r>
        <w:rPr>
          <w:noProof/>
        </w:rPr>
        <w:drawing>
          <wp:inline distT="0" distB="0" distL="0" distR="0">
            <wp:extent cx="4362450" cy="237172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Pr="00D54C9D" w:rsidRDefault="003F1F78" w:rsidP="00BC3A59">
      <w:pPr>
        <w:spacing w:after="120"/>
        <w:ind w:firstLine="708"/>
        <w:rPr>
          <w:sz w:val="20"/>
          <w:szCs w:val="20"/>
        </w:rPr>
      </w:pPr>
      <w:r w:rsidRPr="00D54C9D">
        <w:rPr>
          <w:sz w:val="20"/>
          <w:szCs w:val="20"/>
        </w:rPr>
        <w:t xml:space="preserve">Fonte: Elaboração Própria a partir de dados do BNB. </w:t>
      </w:r>
    </w:p>
    <w:p w:rsidR="003F1F78" w:rsidRPr="00D54C9D" w:rsidRDefault="003F1F78" w:rsidP="00BC3A59">
      <w:pPr>
        <w:spacing w:after="120"/>
        <w:ind w:firstLine="709"/>
        <w:jc w:val="both"/>
      </w:pPr>
      <w:r w:rsidRPr="00D54C9D">
        <w:t xml:space="preserve">Os impactos do PROEF sobre o passivo, por sua vez, foram bem mais limitados do que o sugerido pelo programa. </w:t>
      </w:r>
      <w:r>
        <w:t xml:space="preserve">Relativamente ao capital de nível I, a </w:t>
      </w:r>
      <w:r w:rsidRPr="00D54C9D">
        <w:t xml:space="preserve">elevação </w:t>
      </w:r>
      <w:r w:rsidRPr="008E1AEA">
        <w:t>do capital social da ordem de R$ 2,1 bilhões observada nos anos de 2001 e 2002 foi acompanhada de um forte ajuste na conta lucros/prejuízos acumulados, fazendo com que esta parcela</w:t>
      </w:r>
      <w:r>
        <w:t xml:space="preserve"> do PR se mantivesse relativamente estável. Já em relação ao capital de nível II, </w:t>
      </w:r>
      <w:r w:rsidRPr="00D54C9D">
        <w:t xml:space="preserve">não houve </w:t>
      </w:r>
      <w:r>
        <w:t>a incorporação dos recursos</w:t>
      </w:r>
      <w:r w:rsidRPr="00D54C9D">
        <w:t xml:space="preserve"> do FNE </w:t>
      </w:r>
      <w:r>
        <w:t xml:space="preserve">em instrumentos híbridos ou dívida subordinada </w:t>
      </w:r>
      <w:r w:rsidRPr="00D54C9D">
        <w:t>como previsto</w:t>
      </w:r>
      <w:r>
        <w:t xml:space="preserve"> no PROEF. Assim, quando se toma estas informações em conjunto, percebe-se que </w:t>
      </w:r>
      <w:r w:rsidRPr="00D54C9D">
        <w:t xml:space="preserve">o patrimônio de referência pouco se </w:t>
      </w:r>
      <w:r>
        <w:t>alterou</w:t>
      </w:r>
      <w:r w:rsidRPr="00D54C9D">
        <w:t xml:space="preserve"> no período 2001-2008 (Gráfico 13). </w:t>
      </w:r>
      <w:r>
        <w:t>Apenas</w:t>
      </w:r>
      <w:r w:rsidRPr="00D54C9D">
        <w:t xml:space="preserve"> em 2009, após a forte elevação dos empréstimos indicada acima, o BNB busca elevar o montante do patrimônio de referência, tal como indicado pelo próprio Banco</w:t>
      </w:r>
      <w:r>
        <w:t xml:space="preserve">: </w:t>
      </w:r>
      <w:r w:rsidRPr="00D54C9D">
        <w:rPr>
          <w:i/>
        </w:rPr>
        <w:t>“</w:t>
      </w:r>
      <w:r w:rsidRPr="00323A01">
        <w:t>[E]m julho de 2009, o BNB celebrou contrato de dívida subordinada com o FNE e foi autorizado pelo Banco Central do Brasil a considerar os valores do âmbito desse contrato como capital Nível II, com reflexo positivo no índice de Basiléia da Instituição</w:t>
      </w:r>
      <w:r w:rsidRPr="00D54C9D">
        <w:t>” (BNB, 2009). Como resultado, o índice se expandiu de 12,5% e</w:t>
      </w:r>
      <w:r>
        <w:t>m 2008 para 13,0% em 2009 e 13,2</w:t>
      </w:r>
      <w:r w:rsidRPr="00D54C9D">
        <w:t>% em 2010, mesmo levando-se em conta a expansão dos empréstimos concentrada em créditos de menor qualidade (nível B).</w:t>
      </w:r>
    </w:p>
    <w:p w:rsidR="003F1F78" w:rsidRPr="00D54C9D" w:rsidRDefault="003F1F78" w:rsidP="00BC3A59">
      <w:pPr>
        <w:jc w:val="center"/>
        <w:rPr>
          <w:b/>
          <w:sz w:val="20"/>
          <w:szCs w:val="20"/>
        </w:rPr>
      </w:pPr>
      <w:r w:rsidRPr="001C42C2">
        <w:rPr>
          <w:b/>
          <w:sz w:val="20"/>
          <w:szCs w:val="20"/>
        </w:rPr>
        <w:t>Gráfico 13 – BNB: Patrimônio de Referência 2001-2010</w:t>
      </w:r>
    </w:p>
    <w:p w:rsidR="003F1F78" w:rsidRPr="00D54C9D" w:rsidRDefault="003F1F78" w:rsidP="00BC3A59">
      <w:pPr>
        <w:jc w:val="center"/>
      </w:pPr>
      <w:r w:rsidRPr="00D54C9D">
        <w:rPr>
          <w:sz w:val="20"/>
          <w:szCs w:val="20"/>
        </w:rPr>
        <w:t>(R$ Milhões de 2010</w:t>
      </w:r>
      <w:r>
        <w:rPr>
          <w:sz w:val="20"/>
          <w:szCs w:val="20"/>
        </w:rPr>
        <w:t>*</w:t>
      </w:r>
      <w:r w:rsidRPr="00D54C9D">
        <w:rPr>
          <w:sz w:val="20"/>
          <w:szCs w:val="20"/>
        </w:rPr>
        <w:t>)</w:t>
      </w:r>
    </w:p>
    <w:p w:rsidR="003F1F78" w:rsidRPr="00DE51F1" w:rsidRDefault="000375CD" w:rsidP="00BC3A59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4638675" cy="24765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78" w:rsidRPr="00D54C9D" w:rsidRDefault="003F1F78" w:rsidP="00BC3A59">
      <w:pPr>
        <w:spacing w:after="120"/>
        <w:ind w:firstLine="708"/>
        <w:rPr>
          <w:sz w:val="20"/>
          <w:szCs w:val="20"/>
        </w:rPr>
      </w:pPr>
      <w:r w:rsidRPr="00D54C9D">
        <w:rPr>
          <w:sz w:val="20"/>
          <w:szCs w:val="20"/>
        </w:rPr>
        <w:t>Fonte: Elaboração Pr</w:t>
      </w:r>
      <w:r>
        <w:rPr>
          <w:sz w:val="20"/>
          <w:szCs w:val="20"/>
        </w:rPr>
        <w:t>ópria a partir de dados do BNB. *Valores inflacionados pelo IPCA.</w:t>
      </w:r>
    </w:p>
    <w:p w:rsidR="003F1F78" w:rsidRDefault="003F1F78" w:rsidP="00BC3A59">
      <w:pPr>
        <w:spacing w:after="120"/>
        <w:ind w:firstLine="708"/>
        <w:jc w:val="both"/>
      </w:pPr>
      <w:r w:rsidRPr="00D54C9D">
        <w:t xml:space="preserve">Assim, a observância aos procedimentos regulamentares de Basiléia pelo BNB exigiu uma profunda reestruturação da instituição, iniciada com a sua inclusão no PROEF. Como visto, o PROEF implicou em uma redução da parcela dos empréstimos no total do ativo de nada menos </w:t>
      </w:r>
      <w:r w:rsidRPr="00DE51F1">
        <w:t>que 45 pont</w:t>
      </w:r>
      <w:r>
        <w:t>os percentuais (passando de 71</w:t>
      </w:r>
      <w:r w:rsidRPr="00DE51F1">
        <w:t>% do ativo em 1999 para 25,4% em 2003)</w:t>
      </w:r>
      <w:r>
        <w:t xml:space="preserve"> e</w:t>
      </w:r>
      <w:r w:rsidRPr="00DE51F1">
        <w:t xml:space="preserve"> </w:t>
      </w:r>
      <w:r>
        <w:t>em uma substantiva diminuição d</w:t>
      </w:r>
      <w:r w:rsidRPr="00D54C9D">
        <w:t xml:space="preserve">a capacidade emprestadora </w:t>
      </w:r>
      <w:r>
        <w:t>do banco a partir de então, ainda que, como resposta à crise de 2008, o banco tenha feito um esforço de elevar os empréstimos no total do seu ativo.</w:t>
      </w:r>
      <w:r w:rsidRPr="00D54C9D">
        <w:t xml:space="preserve"> </w:t>
      </w:r>
      <w:r>
        <w:t>Adicionalmente</w:t>
      </w:r>
      <w:r w:rsidRPr="00D54C9D">
        <w:t xml:space="preserve">, o banco passou a </w:t>
      </w:r>
      <w:r>
        <w:t>conceder menos crédito de</w:t>
      </w:r>
      <w:r w:rsidRPr="00D54C9D">
        <w:t xml:space="preserve"> longo prazo, </w:t>
      </w:r>
      <w:r>
        <w:t>precisamente aquele segmento menos atendido pelos bancos comerciais e múltiplos privados.</w:t>
      </w:r>
    </w:p>
    <w:p w:rsidR="003F1F78" w:rsidRDefault="003F1F78" w:rsidP="00BC3A59">
      <w:pPr>
        <w:spacing w:after="120"/>
        <w:ind w:firstLine="708"/>
        <w:jc w:val="both"/>
      </w:pPr>
    </w:p>
    <w:p w:rsidR="003F1F78" w:rsidRPr="00D54C9D" w:rsidRDefault="003F1F78" w:rsidP="00BC3A59">
      <w:pPr>
        <w:spacing w:after="120"/>
        <w:jc w:val="both"/>
        <w:rPr>
          <w:b/>
        </w:rPr>
      </w:pPr>
      <w:r w:rsidRPr="00D54C9D">
        <w:rPr>
          <w:b/>
        </w:rPr>
        <w:t>4. Conclusão</w:t>
      </w:r>
    </w:p>
    <w:p w:rsidR="003F1F78" w:rsidRPr="00D54C9D" w:rsidRDefault="003F1F78" w:rsidP="00BC3A59">
      <w:pPr>
        <w:spacing w:after="120"/>
        <w:ind w:firstLine="709"/>
        <w:jc w:val="both"/>
      </w:pPr>
      <w:r w:rsidRPr="00D54C9D">
        <w:t xml:space="preserve">A despeito das dificuldades empíricas de se avaliar os impactos da implementação dos acordos de Basiléia sobre os bancos de desenvolvimento brasileiros – </w:t>
      </w:r>
      <w:r w:rsidRPr="003D13AE">
        <w:t>são escassas</w:t>
      </w:r>
      <w:r w:rsidRPr="00D54C9D">
        <w:t xml:space="preserve"> </w:t>
      </w:r>
      <w:r>
        <w:t xml:space="preserve">as </w:t>
      </w:r>
      <w:r w:rsidRPr="00D54C9D">
        <w:t xml:space="preserve">informações disponíveis </w:t>
      </w:r>
      <w:r>
        <w:t>relativas às</w:t>
      </w:r>
      <w:r w:rsidRPr="00D54C9D">
        <w:t xml:space="preserve"> mudanças internas de procedimento (e.g. modelos de gestão de risco, reclassificação de operações de crédito etc.) – podemos concluir que as duas instituições analisadas, o BNDES e o BNB, foram </w:t>
      </w:r>
      <w:proofErr w:type="gramStart"/>
      <w:r w:rsidRPr="00D54C9D">
        <w:t>afetadas de modo assimétrico</w:t>
      </w:r>
      <w:proofErr w:type="gramEnd"/>
      <w:r w:rsidRPr="00D54C9D">
        <w:t>.</w:t>
      </w:r>
    </w:p>
    <w:p w:rsidR="003F1F78" w:rsidRPr="00D54C9D" w:rsidRDefault="003F1F78" w:rsidP="00BC3A59">
      <w:pPr>
        <w:spacing w:after="120"/>
        <w:ind w:firstLine="709"/>
        <w:jc w:val="both"/>
      </w:pPr>
      <w:r w:rsidRPr="00D54C9D">
        <w:t xml:space="preserve">No caso do BNDES, a sua obediência aos Acordos não o impediu de executar </w:t>
      </w:r>
      <w:r>
        <w:t>sua missão</w:t>
      </w:r>
      <w:r w:rsidRPr="00D54C9D">
        <w:t xml:space="preserve"> de modo satisfatório: </w:t>
      </w:r>
      <w:r w:rsidRPr="00F54532">
        <w:t xml:space="preserve">o volume de desembolsos ao longo do período 1998-2010 foi crescente, atingindo recordes históricos, e </w:t>
      </w:r>
      <w:r>
        <w:t>sua participação</w:t>
      </w:r>
      <w:r w:rsidRPr="00F54532">
        <w:t xml:space="preserve"> no mercado de crédito aumentou significativamente, </w:t>
      </w:r>
      <w:r>
        <w:t>notadamente</w:t>
      </w:r>
      <w:r w:rsidRPr="00F54532">
        <w:t xml:space="preserve"> após 2007. </w:t>
      </w:r>
      <w:r>
        <w:t xml:space="preserve">A estratégia operacional do banco foi mantida relativamente inalterada, ainda que a busca pela manutenção do índice de Basiléia no período analisado tenha levado a uma concentração das operações de crédito em tomadores </w:t>
      </w:r>
      <w:proofErr w:type="spellStart"/>
      <w:r w:rsidRPr="00D54C9D">
        <w:rPr>
          <w:i/>
        </w:rPr>
        <w:t>investment</w:t>
      </w:r>
      <w:proofErr w:type="spellEnd"/>
      <w:r w:rsidRPr="00D54C9D">
        <w:rPr>
          <w:i/>
        </w:rPr>
        <w:t xml:space="preserve"> grade</w:t>
      </w:r>
      <w:r w:rsidRPr="00D54C9D">
        <w:t xml:space="preserve">, o que parece indicar a necessidade de manter </w:t>
      </w:r>
      <w:r>
        <w:t>sob controle</w:t>
      </w:r>
      <w:r w:rsidRPr="00D54C9D">
        <w:t xml:space="preserve"> o ativo ponderado pelo risco</w:t>
      </w:r>
      <w:r>
        <w:t xml:space="preserve"> da instituição</w:t>
      </w:r>
      <w:r w:rsidRPr="00D54C9D">
        <w:t xml:space="preserve">. </w:t>
      </w:r>
      <w:r>
        <w:t>A busca por tomadores de melhor qualidade de risco com vistas ao atendimento da sua missão sem impactar de modo sobremaneira negativo os índices de Basiléia fez o banco elevar as operações diretas de crédito e, também, a parcela de títulos e valores mobiliários no total do ativo.</w:t>
      </w:r>
    </w:p>
    <w:p w:rsidR="003F1F78" w:rsidRPr="00D54C9D" w:rsidRDefault="003F1F78" w:rsidP="00BC3A59">
      <w:pPr>
        <w:spacing w:after="120"/>
        <w:jc w:val="both"/>
      </w:pPr>
      <w:r w:rsidRPr="00D54C9D">
        <w:tab/>
        <w:t>Já no caso do BNB, sua obediência a Basiléia exigiu uma profunda reestruturação de sua estratégia operacional</w:t>
      </w:r>
      <w:r>
        <w:t xml:space="preserve">, essencialmente em função da não observância do nível mínimo exigido do índice de </w:t>
      </w:r>
      <w:r w:rsidRPr="00DE51F1">
        <w:t>Basiléia nos anos de 1999 e 2000. Como conseqüência, o banco não apenas reduz suas operações</w:t>
      </w:r>
      <w:r>
        <w:t xml:space="preserve"> de crédito em atendimento ao exigido em decorrência de sua inclusão no PROEF, como também eleva sobremaneira a parcela de títulos e valores mobiliários no total do seu ativo. Adicionalmente, o ajuste leva o banco a privilegiar as operações de crédito de curto prazo, bem como tomadores com melhor classificação de risco (</w:t>
      </w:r>
      <w:proofErr w:type="spellStart"/>
      <w:r w:rsidRPr="00CE7399">
        <w:rPr>
          <w:i/>
        </w:rPr>
        <w:t>investment</w:t>
      </w:r>
      <w:proofErr w:type="spellEnd"/>
      <w:r w:rsidRPr="00CE7399">
        <w:rPr>
          <w:i/>
        </w:rPr>
        <w:t xml:space="preserve"> grade</w:t>
      </w:r>
      <w:r>
        <w:t xml:space="preserve">). O banco só passa a gozar de maior autonomia relativamente às exigências regulamentares </w:t>
      </w:r>
      <w:r w:rsidRPr="00D54C9D">
        <w:t xml:space="preserve">somente a partir de 2009, quando </w:t>
      </w:r>
      <w:r w:rsidRPr="00D54C9D">
        <w:lastRenderedPageBreak/>
        <w:t xml:space="preserve">amplia seu patrimônio de referência por meio da inclusão de instrumentos de capital de nível II ligados ao FNE. </w:t>
      </w:r>
    </w:p>
    <w:p w:rsidR="003F1F78" w:rsidRDefault="003F1F78" w:rsidP="00BC3A59">
      <w:pPr>
        <w:spacing w:after="120"/>
        <w:jc w:val="both"/>
      </w:pPr>
      <w:r w:rsidRPr="00D54C9D">
        <w:tab/>
      </w:r>
      <w:r>
        <w:t xml:space="preserve">Os resultados da análise indicam não apenas que os bancos de desenvolvimento, como de resto as demais instituições financeiras, foram afetados pela </w:t>
      </w:r>
      <w:proofErr w:type="gramStart"/>
      <w:r>
        <w:t>implementação</w:t>
      </w:r>
      <w:proofErr w:type="gramEnd"/>
      <w:r>
        <w:t xml:space="preserve"> do Acordo, bem como que tais instituições, por terem por missão ofertar crédito de longo prazo com vistas a apoiar as estratégias de desenvolvimento da nação, na qualidade de instituições públicas, são particularmente afetadas ao aplicar as classificações de risco desenvolvidas (e adequadas) para bancos múltiplos e comerciais. Sem embargo, os bancos de desenvolvimento estão, por definição, expostos a um nível de risco superior àquele que acomete os bancos múltiplos e comerciais, e a tentativa de se adequar às exigências de acordos </w:t>
      </w:r>
      <w:r w:rsidRPr="003D13AE">
        <w:rPr>
          <w:i/>
        </w:rPr>
        <w:t xml:space="preserve">a </w:t>
      </w:r>
      <w:proofErr w:type="spellStart"/>
      <w:proofErr w:type="gramStart"/>
      <w:r w:rsidRPr="003D13AE">
        <w:rPr>
          <w:i/>
        </w:rPr>
        <w:t>la</w:t>
      </w:r>
      <w:proofErr w:type="spellEnd"/>
      <w:proofErr w:type="gramEnd"/>
      <w:r>
        <w:t xml:space="preserve"> Basiléia – quando tais instituições não alavancam operações ativas com capitais de terceiros (depósitos) – acaba por embotar parcialmente sua capacidade</w:t>
      </w:r>
      <w:r w:rsidRPr="00D54C9D">
        <w:t xml:space="preserve"> </w:t>
      </w:r>
      <w:r>
        <w:t xml:space="preserve">de executar sua missão precípua, reduzindo sua funcionalidade no processo de desenvolvimento econômico. </w:t>
      </w:r>
    </w:p>
    <w:p w:rsidR="003F1F78" w:rsidRPr="00D54C9D" w:rsidRDefault="003F1F78" w:rsidP="00BC3A59">
      <w:pPr>
        <w:spacing w:after="120"/>
        <w:rPr>
          <w:b/>
        </w:rPr>
      </w:pPr>
      <w:r w:rsidRPr="00D54C9D">
        <w:rPr>
          <w:b/>
        </w:rPr>
        <w:t>5. Bibliografia</w:t>
      </w:r>
    </w:p>
    <w:p w:rsidR="003F1F78" w:rsidRPr="00D54C9D" w:rsidRDefault="003F1F78" w:rsidP="00BC3A59">
      <w:pPr>
        <w:ind w:left="567" w:hanging="567"/>
        <w:jc w:val="both"/>
      </w:pPr>
      <w:r>
        <w:t>Banco Central do Brasil</w:t>
      </w:r>
      <w:r w:rsidRPr="00D54C9D">
        <w:t xml:space="preserve"> </w:t>
      </w:r>
      <w:r>
        <w:t>(2002-2010)</w:t>
      </w:r>
      <w:r w:rsidR="00A31BFD">
        <w:t>.</w:t>
      </w:r>
      <w:r w:rsidRPr="00D54C9D">
        <w:t xml:space="preserve"> </w:t>
      </w:r>
      <w:r w:rsidRPr="00D54C9D">
        <w:rPr>
          <w:i/>
        </w:rPr>
        <w:t>Relatório de Estabilidade Financeira</w:t>
      </w:r>
      <w:r w:rsidRPr="00D54C9D">
        <w:t>. Vários números.</w:t>
      </w:r>
      <w:r>
        <w:t xml:space="preserve"> Brasília: Banco Central do Brasil.</w:t>
      </w:r>
    </w:p>
    <w:p w:rsidR="003F1F78" w:rsidRDefault="003F1F78" w:rsidP="00BC3A59">
      <w:pPr>
        <w:ind w:left="567" w:hanging="567"/>
        <w:jc w:val="both"/>
      </w:pPr>
      <w:r>
        <w:t>________ (2010)</w:t>
      </w:r>
      <w:r w:rsidR="00A31BFD">
        <w:t>.</w:t>
      </w:r>
      <w:r w:rsidRPr="00D54C9D">
        <w:t xml:space="preserve"> </w:t>
      </w:r>
      <w:r w:rsidRPr="00D54C9D">
        <w:rPr>
          <w:i/>
        </w:rPr>
        <w:t>Basiléia II no Brasil</w:t>
      </w:r>
      <w:r w:rsidRPr="00D54C9D">
        <w:t>. Disponível em «http://www.bcb.gov.br/nor/basileia/BasileiaIInaweb.pdf», acessado em 28 de dezembro de 2010.</w:t>
      </w:r>
    </w:p>
    <w:p w:rsidR="003F1F78" w:rsidRPr="00D54C9D" w:rsidRDefault="003F1F78" w:rsidP="00BC3A59">
      <w:pPr>
        <w:ind w:left="567" w:hanging="567"/>
        <w:jc w:val="both"/>
        <w:rPr>
          <w:lang w:val="en-US"/>
        </w:rPr>
      </w:pPr>
      <w:proofErr w:type="gramStart"/>
      <w:r w:rsidRPr="00A31BFD">
        <w:rPr>
          <w:lang w:val="en-US"/>
        </w:rPr>
        <w:t xml:space="preserve">Basel Committee on </w:t>
      </w:r>
      <w:r w:rsidRPr="001A6058">
        <w:rPr>
          <w:lang w:val="en-US"/>
        </w:rPr>
        <w:t>Banking Supervision</w:t>
      </w:r>
      <w:r w:rsidRPr="00D54C9D">
        <w:rPr>
          <w:lang w:val="en-US"/>
        </w:rPr>
        <w:t xml:space="preserve"> (1988)</w:t>
      </w:r>
      <w:r w:rsidR="00A31BFD">
        <w:rPr>
          <w:lang w:val="en-US"/>
        </w:rPr>
        <w:t>.</w:t>
      </w:r>
      <w:proofErr w:type="gramEnd"/>
      <w:r w:rsidRPr="00D54C9D">
        <w:rPr>
          <w:lang w:val="en-US"/>
        </w:rPr>
        <w:t xml:space="preserve"> </w:t>
      </w:r>
      <w:proofErr w:type="gramStart"/>
      <w:r w:rsidRPr="00D54C9D">
        <w:rPr>
          <w:i/>
          <w:lang w:val="en-US"/>
        </w:rPr>
        <w:t>International Convergence of Capital Measurement and Capital Standards.</w:t>
      </w:r>
      <w:proofErr w:type="gramEnd"/>
      <w:r w:rsidRPr="00D54C9D">
        <w:rPr>
          <w:lang w:val="en-US"/>
        </w:rPr>
        <w:t xml:space="preserve"> Basel: Bank for International Settlements</w:t>
      </w:r>
      <w:r>
        <w:rPr>
          <w:lang w:val="en-US"/>
        </w:rPr>
        <w:t xml:space="preserve"> (BIS).</w:t>
      </w:r>
    </w:p>
    <w:p w:rsidR="003F1F78" w:rsidRPr="00D54C9D" w:rsidRDefault="003F1F78" w:rsidP="00BC3A59">
      <w:pPr>
        <w:ind w:left="567" w:hanging="567"/>
        <w:jc w:val="both"/>
        <w:rPr>
          <w:lang w:val="en-US"/>
        </w:rPr>
      </w:pPr>
      <w:proofErr w:type="gramStart"/>
      <w:r w:rsidRPr="001A6058">
        <w:rPr>
          <w:lang w:val="en-US"/>
        </w:rPr>
        <w:t>________</w:t>
      </w:r>
      <w:r w:rsidRPr="00D54C9D">
        <w:rPr>
          <w:caps/>
          <w:lang w:val="en-US"/>
        </w:rPr>
        <w:t xml:space="preserve"> (1996)</w:t>
      </w:r>
      <w:r w:rsidR="00A31BFD">
        <w:rPr>
          <w:caps/>
          <w:lang w:val="en-US"/>
        </w:rPr>
        <w:t>.</w:t>
      </w:r>
      <w:proofErr w:type="gramEnd"/>
      <w:r w:rsidRPr="00D54C9D">
        <w:rPr>
          <w:caps/>
          <w:lang w:val="en-US"/>
        </w:rPr>
        <w:t xml:space="preserve"> </w:t>
      </w:r>
      <w:proofErr w:type="gramStart"/>
      <w:r w:rsidRPr="00D54C9D">
        <w:rPr>
          <w:i/>
          <w:lang w:val="en-US"/>
        </w:rPr>
        <w:t>Amendment to the Capital Accord to Incorporate Market Risks</w:t>
      </w:r>
      <w:r w:rsidRPr="00D54C9D">
        <w:rPr>
          <w:lang w:val="en-US"/>
        </w:rPr>
        <w:t>.</w:t>
      </w:r>
      <w:proofErr w:type="gramEnd"/>
      <w:r w:rsidRPr="00D54C9D">
        <w:rPr>
          <w:lang w:val="en-US"/>
        </w:rPr>
        <w:t xml:space="preserve"> Basel: </w:t>
      </w:r>
      <w:r>
        <w:rPr>
          <w:lang w:val="en-US"/>
        </w:rPr>
        <w:t>BIS</w:t>
      </w:r>
      <w:r w:rsidRPr="00D54C9D">
        <w:rPr>
          <w:lang w:val="en-US"/>
        </w:rPr>
        <w:t>.</w:t>
      </w:r>
    </w:p>
    <w:p w:rsidR="003F1F78" w:rsidRPr="00D54C9D" w:rsidRDefault="003F1F78" w:rsidP="00BC3A59">
      <w:pPr>
        <w:ind w:left="567" w:hanging="567"/>
        <w:jc w:val="both"/>
        <w:rPr>
          <w:lang w:val="en-US"/>
        </w:rPr>
      </w:pPr>
      <w:proofErr w:type="gramStart"/>
      <w:r w:rsidRPr="001A6058">
        <w:rPr>
          <w:lang w:val="en-US"/>
        </w:rPr>
        <w:t>________</w:t>
      </w:r>
      <w:r w:rsidRPr="00D54C9D">
        <w:rPr>
          <w:lang w:val="en-US"/>
        </w:rPr>
        <w:t xml:space="preserve"> (2004)</w:t>
      </w:r>
      <w:r w:rsidR="00A31BFD">
        <w:rPr>
          <w:lang w:val="en-US"/>
        </w:rPr>
        <w:t>.</w:t>
      </w:r>
      <w:proofErr w:type="gramEnd"/>
      <w:r w:rsidRPr="00D54C9D">
        <w:rPr>
          <w:lang w:val="en-US"/>
        </w:rPr>
        <w:t xml:space="preserve"> </w:t>
      </w:r>
      <w:r w:rsidRPr="00D54C9D">
        <w:rPr>
          <w:i/>
          <w:lang w:val="en-US"/>
        </w:rPr>
        <w:t>International Convergence of Capital Measurement and Capital Standards</w:t>
      </w:r>
      <w:r>
        <w:rPr>
          <w:lang w:val="en-US"/>
        </w:rPr>
        <w:t>:</w:t>
      </w:r>
      <w:r w:rsidRPr="001A6058">
        <w:rPr>
          <w:i/>
          <w:lang w:val="en-US"/>
        </w:rPr>
        <w:t xml:space="preserve"> A Revised Framework</w:t>
      </w:r>
      <w:r w:rsidRPr="00D54C9D">
        <w:rPr>
          <w:lang w:val="en-US"/>
        </w:rPr>
        <w:t xml:space="preserve">. Basel: </w:t>
      </w:r>
      <w:r>
        <w:rPr>
          <w:lang w:val="en-US"/>
        </w:rPr>
        <w:t>BIS</w:t>
      </w:r>
      <w:r w:rsidRPr="00D54C9D">
        <w:rPr>
          <w:lang w:val="en-US"/>
        </w:rPr>
        <w:t>.</w:t>
      </w:r>
    </w:p>
    <w:p w:rsidR="003F1F78" w:rsidRPr="00D54C9D" w:rsidRDefault="003F1F78" w:rsidP="00BC3A59">
      <w:pPr>
        <w:ind w:left="567" w:hanging="567"/>
        <w:jc w:val="both"/>
        <w:rPr>
          <w:lang w:val="en-US"/>
        </w:rPr>
      </w:pPr>
      <w:proofErr w:type="gramStart"/>
      <w:r w:rsidRPr="001A6058">
        <w:rPr>
          <w:lang w:val="en-US"/>
        </w:rPr>
        <w:t>________</w:t>
      </w:r>
      <w:r w:rsidRPr="00D54C9D">
        <w:rPr>
          <w:caps/>
          <w:lang w:val="en-US"/>
        </w:rPr>
        <w:t xml:space="preserve"> (2010</w:t>
      </w:r>
      <w:r w:rsidRPr="00D54C9D">
        <w:rPr>
          <w:lang w:val="en-US"/>
        </w:rPr>
        <w:t>a)</w:t>
      </w:r>
      <w:r w:rsidR="00A31BFD">
        <w:rPr>
          <w:lang w:val="en-US"/>
        </w:rPr>
        <w:t>.</w:t>
      </w:r>
      <w:proofErr w:type="gramEnd"/>
      <w:r w:rsidRPr="00D54C9D">
        <w:rPr>
          <w:lang w:val="en-US"/>
        </w:rPr>
        <w:t xml:space="preserve"> </w:t>
      </w:r>
      <w:r w:rsidRPr="00D54C9D">
        <w:rPr>
          <w:i/>
          <w:lang w:val="en-US"/>
        </w:rPr>
        <w:t>Basel III: International framework for liquidity risk measurement, standards and monitoring</w:t>
      </w:r>
      <w:r w:rsidRPr="00D54C9D">
        <w:rPr>
          <w:lang w:val="en-US"/>
        </w:rPr>
        <w:t xml:space="preserve">. </w:t>
      </w:r>
      <w:r w:rsidRPr="00D54C9D">
        <w:rPr>
          <w:caps/>
          <w:lang w:val="en-US"/>
        </w:rPr>
        <w:t xml:space="preserve"> </w:t>
      </w:r>
      <w:r w:rsidRPr="00D54C9D">
        <w:rPr>
          <w:lang w:val="en-US"/>
        </w:rPr>
        <w:t xml:space="preserve">Basel: </w:t>
      </w:r>
      <w:r>
        <w:rPr>
          <w:lang w:val="en-US"/>
        </w:rPr>
        <w:t>BIS</w:t>
      </w:r>
      <w:r w:rsidRPr="00D54C9D">
        <w:rPr>
          <w:lang w:val="en-US"/>
        </w:rPr>
        <w:t>.</w:t>
      </w:r>
    </w:p>
    <w:p w:rsidR="003F1F78" w:rsidRPr="000375CD" w:rsidRDefault="003F1F78" w:rsidP="00BC3A59">
      <w:pPr>
        <w:ind w:left="567" w:hanging="567"/>
        <w:jc w:val="both"/>
      </w:pPr>
      <w:proofErr w:type="gramStart"/>
      <w:r w:rsidRPr="001A6058">
        <w:rPr>
          <w:lang w:val="en-US"/>
        </w:rPr>
        <w:t>________</w:t>
      </w:r>
      <w:r w:rsidRPr="00D54C9D">
        <w:rPr>
          <w:caps/>
          <w:lang w:val="en-US"/>
        </w:rPr>
        <w:t xml:space="preserve"> (2010</w:t>
      </w:r>
      <w:r w:rsidRPr="001A6058">
        <w:rPr>
          <w:lang w:val="en-US"/>
        </w:rPr>
        <w:t>b</w:t>
      </w:r>
      <w:r w:rsidRPr="00D54C9D">
        <w:rPr>
          <w:lang w:val="en-US"/>
        </w:rPr>
        <w:t>)</w:t>
      </w:r>
      <w:r w:rsidR="00A31BFD">
        <w:rPr>
          <w:lang w:val="en-US"/>
        </w:rPr>
        <w:t>.</w:t>
      </w:r>
      <w:proofErr w:type="gramEnd"/>
      <w:r w:rsidRPr="00D54C9D">
        <w:rPr>
          <w:lang w:val="en-US"/>
        </w:rPr>
        <w:t xml:space="preserve"> </w:t>
      </w:r>
      <w:r w:rsidRPr="00D54C9D">
        <w:rPr>
          <w:i/>
          <w:lang w:val="en-US"/>
        </w:rPr>
        <w:t>Basel III: A global regulatory framework for more resilient banks and banking systems</w:t>
      </w:r>
      <w:r w:rsidRPr="00D54C9D">
        <w:rPr>
          <w:lang w:val="en-US"/>
        </w:rPr>
        <w:t xml:space="preserve">. </w:t>
      </w:r>
      <w:r w:rsidRPr="00D54C9D">
        <w:rPr>
          <w:caps/>
          <w:lang w:val="en-US"/>
        </w:rPr>
        <w:t xml:space="preserve"> </w:t>
      </w:r>
      <w:proofErr w:type="spellStart"/>
      <w:r w:rsidRPr="000375CD">
        <w:t>Basel</w:t>
      </w:r>
      <w:proofErr w:type="spellEnd"/>
      <w:r w:rsidRPr="000375CD">
        <w:t xml:space="preserve">: </w:t>
      </w:r>
      <w:proofErr w:type="spellStart"/>
      <w:r w:rsidRPr="000375CD">
        <w:t>Bank</w:t>
      </w:r>
      <w:proofErr w:type="spellEnd"/>
      <w:r w:rsidRPr="000375CD">
        <w:t xml:space="preserve"> for </w:t>
      </w:r>
      <w:proofErr w:type="spellStart"/>
      <w:r w:rsidRPr="000375CD">
        <w:t>International</w:t>
      </w:r>
      <w:proofErr w:type="spellEnd"/>
      <w:r w:rsidRPr="000375CD">
        <w:t xml:space="preserve"> </w:t>
      </w:r>
      <w:proofErr w:type="spellStart"/>
      <w:r w:rsidRPr="000375CD">
        <w:t>Settlements</w:t>
      </w:r>
      <w:proofErr w:type="spellEnd"/>
      <w:r w:rsidRPr="000375CD">
        <w:t>.</w:t>
      </w:r>
    </w:p>
    <w:p w:rsidR="003F1F78" w:rsidRPr="001A6058" w:rsidRDefault="003F1F78" w:rsidP="00BC3A59">
      <w:pPr>
        <w:ind w:left="567" w:hanging="567"/>
        <w:jc w:val="both"/>
      </w:pPr>
      <w:r w:rsidRPr="00A31BFD">
        <w:t>Banco do Nordeste do Brasil (BNB)</w:t>
      </w:r>
      <w:r w:rsidRPr="00A31BFD">
        <w:rPr>
          <w:caps/>
        </w:rPr>
        <w:t xml:space="preserve"> (2001)</w:t>
      </w:r>
      <w:r w:rsidR="00A31BFD" w:rsidRPr="00A31BFD">
        <w:rPr>
          <w:caps/>
        </w:rPr>
        <w:t>.</w:t>
      </w:r>
      <w:r w:rsidRPr="00A31BFD">
        <w:rPr>
          <w:caps/>
        </w:rPr>
        <w:t xml:space="preserve"> </w:t>
      </w:r>
      <w:r w:rsidRPr="000375CD">
        <w:rPr>
          <w:i/>
        </w:rPr>
        <w:t xml:space="preserve">Demonstrações Contábeis </w:t>
      </w:r>
      <w:r w:rsidRPr="000375CD">
        <w:t>2001</w:t>
      </w:r>
      <w:r w:rsidRPr="000375CD">
        <w:rPr>
          <w:i/>
        </w:rPr>
        <w:t>.</w:t>
      </w:r>
      <w:r w:rsidRPr="000375CD">
        <w:t xml:space="preserve"> Fortaleza: BN</w:t>
      </w:r>
      <w:r>
        <w:t>B.</w:t>
      </w:r>
    </w:p>
    <w:p w:rsidR="003F1F78" w:rsidRPr="001A6058" w:rsidRDefault="003F1F78" w:rsidP="00BC3A59">
      <w:pPr>
        <w:ind w:left="567" w:hanging="567"/>
        <w:jc w:val="both"/>
      </w:pPr>
      <w:r>
        <w:t>________</w:t>
      </w:r>
      <w:r w:rsidRPr="00D54C9D">
        <w:t xml:space="preserve"> (200</w:t>
      </w:r>
      <w:r>
        <w:t>7</w:t>
      </w:r>
      <w:r w:rsidRPr="00D54C9D">
        <w:t>)</w:t>
      </w:r>
      <w:r w:rsidR="00A31BFD">
        <w:t>.</w:t>
      </w:r>
      <w:r w:rsidRPr="00940474">
        <w:rPr>
          <w:i/>
        </w:rPr>
        <w:t xml:space="preserve"> </w:t>
      </w:r>
      <w:r w:rsidRPr="00CC5F3A">
        <w:rPr>
          <w:i/>
        </w:rPr>
        <w:t>Demonstrações Contábe</w:t>
      </w:r>
      <w:r w:rsidRPr="00D54C9D">
        <w:rPr>
          <w:i/>
        </w:rPr>
        <w:t>is</w:t>
      </w:r>
      <w:r>
        <w:rPr>
          <w:i/>
        </w:rPr>
        <w:t xml:space="preserve"> </w:t>
      </w:r>
      <w:r>
        <w:t>2007</w:t>
      </w:r>
      <w:r w:rsidRPr="00D54C9D">
        <w:rPr>
          <w:i/>
        </w:rPr>
        <w:t>.</w:t>
      </w:r>
      <w:r w:rsidRPr="001A6058">
        <w:t xml:space="preserve"> </w:t>
      </w:r>
      <w:r>
        <w:t>Fortaleza: BNB.</w:t>
      </w:r>
    </w:p>
    <w:p w:rsidR="003F1F78" w:rsidRPr="001A6058" w:rsidRDefault="003F1F78" w:rsidP="00BC3A59">
      <w:pPr>
        <w:ind w:left="567" w:hanging="567"/>
        <w:jc w:val="both"/>
      </w:pPr>
      <w:r>
        <w:t>________</w:t>
      </w:r>
      <w:r w:rsidRPr="00D54C9D">
        <w:t xml:space="preserve"> (200</w:t>
      </w:r>
      <w:r>
        <w:t>8</w:t>
      </w:r>
      <w:r w:rsidRPr="00D54C9D">
        <w:t>)</w:t>
      </w:r>
      <w:r w:rsidR="00A31BFD">
        <w:t>.</w:t>
      </w:r>
      <w:r w:rsidRPr="00940474">
        <w:rPr>
          <w:i/>
        </w:rPr>
        <w:t xml:space="preserve"> </w:t>
      </w:r>
      <w:r w:rsidRPr="00CC5F3A">
        <w:rPr>
          <w:i/>
        </w:rPr>
        <w:t>Demonstrações Contábe</w:t>
      </w:r>
      <w:r w:rsidRPr="00D54C9D">
        <w:rPr>
          <w:i/>
        </w:rPr>
        <w:t>is</w:t>
      </w:r>
      <w:r>
        <w:rPr>
          <w:i/>
        </w:rPr>
        <w:t xml:space="preserve"> </w:t>
      </w:r>
      <w:r w:rsidRPr="00940474">
        <w:t>2008</w:t>
      </w:r>
      <w:r w:rsidRPr="00D54C9D">
        <w:rPr>
          <w:i/>
        </w:rPr>
        <w:t xml:space="preserve">. </w:t>
      </w:r>
      <w:r>
        <w:t>Fortaleza: BNB.</w:t>
      </w:r>
    </w:p>
    <w:p w:rsidR="003F1F78" w:rsidRPr="001A6058" w:rsidRDefault="003F1F78" w:rsidP="00BC3A59">
      <w:pPr>
        <w:ind w:left="567" w:hanging="567"/>
        <w:jc w:val="both"/>
      </w:pPr>
      <w:r>
        <w:t>________</w:t>
      </w:r>
      <w:r w:rsidRPr="00D54C9D">
        <w:t xml:space="preserve"> (200</w:t>
      </w:r>
      <w:r>
        <w:t>9a</w:t>
      </w:r>
      <w:r w:rsidRPr="00D54C9D">
        <w:t>)</w:t>
      </w:r>
      <w:r w:rsidR="00A31BFD">
        <w:t>.</w:t>
      </w:r>
      <w:r w:rsidRPr="00940474">
        <w:rPr>
          <w:i/>
        </w:rPr>
        <w:t xml:space="preserve"> </w:t>
      </w:r>
      <w:r w:rsidRPr="00CC5F3A">
        <w:rPr>
          <w:i/>
        </w:rPr>
        <w:t>Demonstrações Contábe</w:t>
      </w:r>
      <w:r w:rsidRPr="00D54C9D">
        <w:rPr>
          <w:i/>
        </w:rPr>
        <w:t>is</w:t>
      </w:r>
      <w:r>
        <w:rPr>
          <w:i/>
        </w:rPr>
        <w:t xml:space="preserve"> </w:t>
      </w:r>
      <w:r>
        <w:t>2009</w:t>
      </w:r>
      <w:r w:rsidRPr="00D54C9D">
        <w:rPr>
          <w:i/>
        </w:rPr>
        <w:t>.</w:t>
      </w:r>
      <w:r w:rsidRPr="001A6058">
        <w:t xml:space="preserve"> </w:t>
      </w:r>
      <w:r>
        <w:t>Fortaleza: BNB.</w:t>
      </w:r>
    </w:p>
    <w:p w:rsidR="003F1F78" w:rsidRPr="001A6058" w:rsidRDefault="003F1F78" w:rsidP="00BC3A59">
      <w:pPr>
        <w:ind w:left="567" w:hanging="567"/>
        <w:jc w:val="both"/>
      </w:pPr>
      <w:r>
        <w:t>________</w:t>
      </w:r>
      <w:r w:rsidRPr="00D54C9D">
        <w:t xml:space="preserve"> (2009</w:t>
      </w:r>
      <w:r>
        <w:t>b</w:t>
      </w:r>
      <w:r w:rsidRPr="00D54C9D">
        <w:t>)</w:t>
      </w:r>
      <w:r w:rsidR="00A31BFD">
        <w:t>.</w:t>
      </w:r>
      <w:r w:rsidRPr="00D54C9D">
        <w:t xml:space="preserve"> </w:t>
      </w:r>
      <w:r w:rsidRPr="00D54C9D">
        <w:rPr>
          <w:i/>
        </w:rPr>
        <w:t>Estatuto Social do Banco do Nordeste do Brasil S.A.</w:t>
      </w:r>
      <w:r w:rsidRPr="001A6058">
        <w:t xml:space="preserve"> </w:t>
      </w:r>
      <w:r>
        <w:t>Fortaleza: BNB.</w:t>
      </w:r>
    </w:p>
    <w:p w:rsidR="003F1F78" w:rsidRDefault="003F1F78" w:rsidP="00BC3A59">
      <w:pPr>
        <w:ind w:left="567" w:hanging="567"/>
        <w:jc w:val="both"/>
      </w:pPr>
      <w:r>
        <w:t>Banco Nacional de Desenvolvimento Econômico e Social (BNDES)</w:t>
      </w:r>
      <w:r w:rsidRPr="00D54C9D">
        <w:t xml:space="preserve"> (2001)</w:t>
      </w:r>
      <w:r w:rsidR="00A31BFD">
        <w:t>.</w:t>
      </w:r>
      <w:r w:rsidRPr="00D54C9D">
        <w:t xml:space="preserve"> </w:t>
      </w:r>
      <w:r w:rsidRPr="00D54C9D">
        <w:rPr>
          <w:i/>
        </w:rPr>
        <w:t xml:space="preserve">Demonstrações Contábeis </w:t>
      </w:r>
      <w:r w:rsidRPr="00D54C9D">
        <w:t>Em 31</w:t>
      </w:r>
      <w:r>
        <w:t xml:space="preserve"> de dezembro de 2001 e de 2000. Rio de Janeiro: BNDES.</w:t>
      </w:r>
    </w:p>
    <w:p w:rsidR="003F1F78" w:rsidRPr="00D54C9D" w:rsidRDefault="003F1F78" w:rsidP="00BC3A59">
      <w:pPr>
        <w:ind w:left="567" w:hanging="567"/>
        <w:jc w:val="both"/>
      </w:pPr>
      <w:r>
        <w:t>________ (2002)</w:t>
      </w:r>
      <w:r w:rsidR="00A31BFD">
        <w:t>.</w:t>
      </w:r>
      <w:r w:rsidRPr="00D54C9D">
        <w:t xml:space="preserve"> </w:t>
      </w:r>
      <w:r w:rsidRPr="00D54C9D">
        <w:rPr>
          <w:i/>
        </w:rPr>
        <w:t xml:space="preserve">Demonstrações Contábeis </w:t>
      </w:r>
      <w:r w:rsidRPr="00D54C9D">
        <w:t>Em 31 de dezembro de 200</w:t>
      </w:r>
      <w:r>
        <w:t>2 e de 2001.</w:t>
      </w:r>
      <w:r w:rsidRPr="001A6058">
        <w:t xml:space="preserve"> </w:t>
      </w:r>
      <w:r>
        <w:t>Rio de Janeiro: BNDES.</w:t>
      </w:r>
    </w:p>
    <w:p w:rsidR="003F1F78" w:rsidRPr="00D54C9D" w:rsidRDefault="003F1F78" w:rsidP="00BC3A59">
      <w:pPr>
        <w:ind w:left="567" w:hanging="567"/>
        <w:jc w:val="both"/>
      </w:pPr>
      <w:r>
        <w:t>________</w:t>
      </w:r>
      <w:r w:rsidRPr="00D54C9D">
        <w:t xml:space="preserve"> (2007)</w:t>
      </w:r>
      <w:r w:rsidR="00A31BFD">
        <w:t>.</w:t>
      </w:r>
      <w:r w:rsidRPr="00D54C9D">
        <w:t xml:space="preserve"> </w:t>
      </w:r>
      <w:r>
        <w:t>“</w:t>
      </w:r>
      <w:r w:rsidRPr="00D54C9D">
        <w:t>Bas</w:t>
      </w:r>
      <w:r>
        <w:t>iléia e Administração de Riscos”.</w:t>
      </w:r>
      <w:r w:rsidRPr="00D54C9D">
        <w:rPr>
          <w:i/>
        </w:rPr>
        <w:t xml:space="preserve"> O Novo Acordo da Basiléia e suas Implicações para o BNDES</w:t>
      </w:r>
      <w:r w:rsidRPr="00D54C9D">
        <w:t xml:space="preserve">, Relatório Parcial I, </w:t>
      </w:r>
      <w:proofErr w:type="spellStart"/>
      <w:r w:rsidRPr="00D54C9D">
        <w:rPr>
          <w:i/>
        </w:rPr>
        <w:t>mimeo</w:t>
      </w:r>
      <w:proofErr w:type="spellEnd"/>
      <w:r w:rsidRPr="00D54C9D">
        <w:t>.</w:t>
      </w:r>
      <w:r>
        <w:t xml:space="preserve"> Rio de Janeiro: BNDES.</w:t>
      </w:r>
    </w:p>
    <w:p w:rsidR="003F1F78" w:rsidRDefault="003F1F78" w:rsidP="00BC3A59">
      <w:pPr>
        <w:ind w:left="567" w:hanging="567"/>
        <w:jc w:val="both"/>
      </w:pPr>
      <w:r>
        <w:t>________</w:t>
      </w:r>
      <w:r w:rsidRPr="00D54C9D">
        <w:t xml:space="preserve"> (2008-9)</w:t>
      </w:r>
      <w:r w:rsidR="00A31BFD">
        <w:t>.</w:t>
      </w:r>
      <w:r w:rsidRPr="00D54C9D">
        <w:t xml:space="preserve"> </w:t>
      </w:r>
      <w:r w:rsidRPr="00D54C9D">
        <w:rPr>
          <w:i/>
        </w:rPr>
        <w:t>Perspectivas da Indústria Financeira Brasileira e o Papel dos Bancos Públicos.</w:t>
      </w:r>
      <w:r w:rsidRPr="00D54C9D">
        <w:t xml:space="preserve"> Subprojeto Mercado de Crédito Brasileiro, Segundo Relatório Parcial, </w:t>
      </w:r>
      <w:proofErr w:type="spellStart"/>
      <w:r w:rsidRPr="00D54C9D">
        <w:rPr>
          <w:i/>
        </w:rPr>
        <w:t>mimeo</w:t>
      </w:r>
      <w:proofErr w:type="spellEnd"/>
      <w:r w:rsidRPr="00D54C9D">
        <w:t>.</w:t>
      </w:r>
      <w:r w:rsidRPr="001A6058">
        <w:t xml:space="preserve"> </w:t>
      </w:r>
      <w:r>
        <w:t>Rio de Janeiro: BNDES.</w:t>
      </w:r>
    </w:p>
    <w:p w:rsidR="003F1F78" w:rsidRPr="00D54C9D" w:rsidRDefault="003F1F78" w:rsidP="00BC3A59">
      <w:pPr>
        <w:ind w:left="567" w:hanging="567"/>
        <w:jc w:val="both"/>
      </w:pPr>
      <w:r>
        <w:t>________ (2009)</w:t>
      </w:r>
      <w:r w:rsidR="00A31BFD">
        <w:t>.</w:t>
      </w:r>
      <w:r>
        <w:t xml:space="preserve"> </w:t>
      </w:r>
      <w:r w:rsidRPr="00F309DA">
        <w:rPr>
          <w:i/>
        </w:rPr>
        <w:t>Relatório Anual</w:t>
      </w:r>
      <w:r>
        <w:t xml:space="preserve"> 2009. </w:t>
      </w:r>
      <w:r w:rsidRPr="00D54C9D">
        <w:t>Rio de Janeiro: BNDES.</w:t>
      </w:r>
    </w:p>
    <w:p w:rsidR="003F1F78" w:rsidRDefault="003F1F78" w:rsidP="00BC3A59">
      <w:r>
        <w:t>________</w:t>
      </w:r>
      <w:r w:rsidRPr="00D54C9D">
        <w:t xml:space="preserve"> (2010</w:t>
      </w:r>
      <w:r>
        <w:t>a</w:t>
      </w:r>
      <w:r w:rsidRPr="00D54C9D">
        <w:t>)</w:t>
      </w:r>
      <w:r w:rsidR="00A31BFD">
        <w:t>.</w:t>
      </w:r>
      <w:r w:rsidRPr="00D54C9D">
        <w:t xml:space="preserve"> </w:t>
      </w:r>
      <w:r w:rsidRPr="0079043E">
        <w:rPr>
          <w:i/>
        </w:rPr>
        <w:t>Missão e Visão</w:t>
      </w:r>
      <w:r w:rsidRPr="00D54C9D">
        <w:t>. &lt;http://www.bndes.gov.br/SiteBNDES/bndes/bndes_pt/Institucional/O_BNDES/A_Empresa/missao_e_visao.html&gt;. Acessado em 10/01/2011.</w:t>
      </w:r>
    </w:p>
    <w:p w:rsidR="003F1F78" w:rsidRPr="00D54C9D" w:rsidRDefault="003F1F78" w:rsidP="00BC3A59">
      <w:r>
        <w:t>________ (2010b)</w:t>
      </w:r>
      <w:r w:rsidRPr="00D54C9D">
        <w:t xml:space="preserve"> </w:t>
      </w:r>
      <w:r w:rsidRPr="00D54C9D">
        <w:rPr>
          <w:i/>
        </w:rPr>
        <w:t xml:space="preserve">Demonstrações Contábeis </w:t>
      </w:r>
      <w:r w:rsidRPr="00D54C9D">
        <w:t xml:space="preserve">Em 31 de dezembro de </w:t>
      </w:r>
      <w:r>
        <w:t>2010</w:t>
      </w:r>
      <w:r w:rsidRPr="00D54C9D">
        <w:t xml:space="preserve"> e de 200</w:t>
      </w:r>
      <w:r>
        <w:t>9. Rio de Janeiro: BNDES.</w:t>
      </w:r>
    </w:p>
    <w:p w:rsidR="003F1F78" w:rsidRDefault="003F1F78" w:rsidP="00BC3A59">
      <w:r>
        <w:t>Brasil</w:t>
      </w:r>
      <w:r w:rsidRPr="00D54C9D">
        <w:t xml:space="preserve"> </w:t>
      </w:r>
      <w:r>
        <w:t>(2007-2011)</w:t>
      </w:r>
      <w:r w:rsidR="009D194C">
        <w:t>.</w:t>
      </w:r>
      <w:r>
        <w:t xml:space="preserve"> </w:t>
      </w:r>
      <w:r w:rsidRPr="0079043E">
        <w:rPr>
          <w:i/>
        </w:rPr>
        <w:t>Balanço do PAC</w:t>
      </w:r>
      <w:r>
        <w:t>. Diversos números.</w:t>
      </w:r>
    </w:p>
    <w:p w:rsidR="003F1F78" w:rsidRPr="008F4337" w:rsidRDefault="003F1F78" w:rsidP="00BC3A59">
      <w:r>
        <w:t>________ (2011)</w:t>
      </w:r>
      <w:r w:rsidR="009D194C">
        <w:t>.</w:t>
      </w:r>
      <w:r>
        <w:t xml:space="preserve"> </w:t>
      </w:r>
      <w:r w:rsidRPr="0079043E">
        <w:rPr>
          <w:i/>
        </w:rPr>
        <w:t>Medidas Institucionais e Econômicas para o Crescimento do País: Estímulo ao Crédito e ao Financiamento</w:t>
      </w:r>
      <w:r>
        <w:t>. &lt;</w:t>
      </w:r>
      <w:r w:rsidRPr="008F4337">
        <w:t>http://www.brasil.gov.br/pac/medidas-institucio</w:t>
      </w:r>
      <w:r w:rsidR="007A3504">
        <w:t>nais-e-economicas</w:t>
      </w:r>
      <w:r>
        <w:t>&gt;. Acessado em 31/05/2011.</w:t>
      </w:r>
    </w:p>
    <w:p w:rsidR="003F1F78" w:rsidRPr="00D54C9D" w:rsidRDefault="003F1F78" w:rsidP="00BC3A59">
      <w:pPr>
        <w:ind w:left="567" w:hanging="567"/>
        <w:jc w:val="both"/>
      </w:pPr>
      <w:r>
        <w:lastRenderedPageBreak/>
        <w:t xml:space="preserve">Carvalho, Fernando José </w:t>
      </w:r>
      <w:proofErr w:type="spellStart"/>
      <w:r>
        <w:t>Cardim</w:t>
      </w:r>
      <w:proofErr w:type="spellEnd"/>
      <w:r>
        <w:t xml:space="preserve"> de (2005)</w:t>
      </w:r>
      <w:r w:rsidR="009D194C">
        <w:t>.</w:t>
      </w:r>
      <w:r w:rsidRPr="00D54C9D">
        <w:t xml:space="preserve"> </w:t>
      </w:r>
      <w:r>
        <w:t>“</w:t>
      </w:r>
      <w:r w:rsidRPr="00D54C9D">
        <w:t>Inovação Financeira e Regulação Prudencial: da Regulação de Liquidez aos acordos da Basiléia</w:t>
      </w:r>
      <w:r>
        <w:t>”</w:t>
      </w:r>
      <w:r w:rsidRPr="00D54C9D">
        <w:t xml:space="preserve"> </w:t>
      </w:r>
      <w:r w:rsidRPr="00D54C9D">
        <w:rPr>
          <w:i/>
        </w:rPr>
        <w:t>in</w:t>
      </w:r>
      <w:r w:rsidRPr="00D54C9D">
        <w:t xml:space="preserve"> </w:t>
      </w:r>
      <w:r w:rsidRPr="0079043E">
        <w:t>Sobreira</w:t>
      </w:r>
      <w:r>
        <w:t>, R</w:t>
      </w:r>
      <w:r w:rsidR="00F640D7">
        <w:t>ogério</w:t>
      </w:r>
      <w:r w:rsidRPr="00D54C9D">
        <w:t xml:space="preserve">. </w:t>
      </w:r>
      <w:r w:rsidRPr="00D54C9D">
        <w:rPr>
          <w:i/>
        </w:rPr>
        <w:t>Regulação Financeira e Bancária</w:t>
      </w:r>
      <w:r w:rsidR="009D194C">
        <w:t xml:space="preserve">. Capítulo 6. São Paulo: </w:t>
      </w:r>
      <w:r w:rsidRPr="00D54C9D">
        <w:t>Atlas.</w:t>
      </w:r>
    </w:p>
    <w:p w:rsidR="003F1F78" w:rsidRPr="0079043E" w:rsidRDefault="003F1F78" w:rsidP="00BC3A59">
      <w:pPr>
        <w:ind w:left="567" w:hanging="567"/>
        <w:jc w:val="both"/>
      </w:pPr>
      <w:r>
        <w:t>Castro, Lavínia Barros de (2009)</w:t>
      </w:r>
      <w:r w:rsidR="00886EC0">
        <w:t>.</w:t>
      </w:r>
      <w:r w:rsidRPr="00D54C9D">
        <w:t xml:space="preserve"> </w:t>
      </w:r>
      <w:r w:rsidRPr="00D54C9D">
        <w:rPr>
          <w:i/>
        </w:rPr>
        <w:t xml:space="preserve">Regulação Financeira: Teoria, Acordos de </w:t>
      </w:r>
      <w:proofErr w:type="spellStart"/>
      <w:r w:rsidRPr="00D54C9D">
        <w:rPr>
          <w:i/>
        </w:rPr>
        <w:t>Basileia</w:t>
      </w:r>
      <w:proofErr w:type="spellEnd"/>
      <w:r w:rsidRPr="00D54C9D">
        <w:rPr>
          <w:i/>
        </w:rPr>
        <w:t xml:space="preserve"> e a Experiência Recente do BNDES</w:t>
      </w:r>
      <w:r w:rsidRPr="00D54C9D">
        <w:t xml:space="preserve">. </w:t>
      </w:r>
      <w:r w:rsidRPr="0079043E">
        <w:t>Tese de Doutoramento. Rio de Janeiro: IE/UFRJ.</w:t>
      </w:r>
    </w:p>
    <w:p w:rsidR="003F1F78" w:rsidRPr="00FA7382" w:rsidRDefault="003F1F78" w:rsidP="00BC3A59">
      <w:pPr>
        <w:ind w:left="567" w:hanging="567"/>
        <w:jc w:val="both"/>
        <w:rPr>
          <w:lang w:val="en-US"/>
        </w:rPr>
      </w:pPr>
      <w:r w:rsidRPr="000375CD">
        <w:t xml:space="preserve">De </w:t>
      </w:r>
      <w:proofErr w:type="spellStart"/>
      <w:r w:rsidRPr="000375CD">
        <w:t>Bandt</w:t>
      </w:r>
      <w:proofErr w:type="spellEnd"/>
      <w:r w:rsidRPr="000375CD">
        <w:t>, O</w:t>
      </w:r>
      <w:r w:rsidR="00F640D7" w:rsidRPr="000375CD">
        <w:t>livier</w:t>
      </w:r>
      <w:r w:rsidRPr="000375CD">
        <w:t xml:space="preserve"> </w:t>
      </w:r>
      <w:r w:rsidR="00886EC0" w:rsidRPr="000375CD">
        <w:t>e</w:t>
      </w:r>
      <w:r w:rsidRPr="000375CD">
        <w:t xml:space="preserve"> </w:t>
      </w:r>
      <w:proofErr w:type="spellStart"/>
      <w:r w:rsidRPr="000375CD">
        <w:t>Hartmann</w:t>
      </w:r>
      <w:proofErr w:type="spellEnd"/>
      <w:r w:rsidRPr="000375CD">
        <w:t xml:space="preserve">, </w:t>
      </w:r>
      <w:proofErr w:type="spellStart"/>
      <w:r w:rsidRPr="000375CD">
        <w:t>P</w:t>
      </w:r>
      <w:r w:rsidR="00F640D7" w:rsidRPr="000375CD">
        <w:t>hilipp</w:t>
      </w:r>
      <w:proofErr w:type="spellEnd"/>
      <w:r w:rsidRPr="000375CD">
        <w:t xml:space="preserve">. </w:t>
      </w:r>
      <w:r w:rsidRPr="007A3504">
        <w:rPr>
          <w:lang w:val="en-US"/>
        </w:rPr>
        <w:t>(2000)</w:t>
      </w:r>
      <w:r w:rsidR="007A3504" w:rsidRPr="007A3504">
        <w:rPr>
          <w:lang w:val="en-US"/>
        </w:rPr>
        <w:t>.</w:t>
      </w:r>
      <w:r w:rsidRPr="007A3504">
        <w:rPr>
          <w:lang w:val="en-US"/>
        </w:rPr>
        <w:t xml:space="preserve"> “Systemic Risk: A Survey”. </w:t>
      </w:r>
      <w:proofErr w:type="gramStart"/>
      <w:r w:rsidRPr="00FA7382">
        <w:rPr>
          <w:lang w:val="en-US"/>
        </w:rPr>
        <w:t xml:space="preserve">ECB </w:t>
      </w:r>
      <w:r w:rsidRPr="00FA7382">
        <w:rPr>
          <w:i/>
          <w:lang w:val="en-US"/>
        </w:rPr>
        <w:t>Working Paper</w:t>
      </w:r>
      <w:r>
        <w:rPr>
          <w:lang w:val="en-US"/>
        </w:rPr>
        <w:t xml:space="preserve"> n. 35</w:t>
      </w:r>
      <w:r w:rsidRPr="00FA7382">
        <w:rPr>
          <w:lang w:val="en-US"/>
        </w:rPr>
        <w:t>.</w:t>
      </w:r>
      <w:proofErr w:type="gramEnd"/>
      <w:r w:rsidRPr="00FA7382">
        <w:rPr>
          <w:lang w:val="en-US"/>
        </w:rPr>
        <w:t xml:space="preserve"> </w:t>
      </w:r>
    </w:p>
    <w:p w:rsidR="003F1F78" w:rsidRPr="000375CD" w:rsidRDefault="003F1F78" w:rsidP="00BC3A59">
      <w:pPr>
        <w:ind w:left="567" w:hanging="567"/>
        <w:jc w:val="both"/>
      </w:pPr>
      <w:proofErr w:type="spellStart"/>
      <w:r>
        <w:rPr>
          <w:lang w:val="en-US"/>
        </w:rPr>
        <w:t>Esty</w:t>
      </w:r>
      <w:proofErr w:type="spellEnd"/>
      <w:r w:rsidRPr="00D54C9D">
        <w:rPr>
          <w:lang w:val="en-US"/>
        </w:rPr>
        <w:t>, B</w:t>
      </w:r>
      <w:r w:rsidR="00F640D7">
        <w:rPr>
          <w:lang w:val="en-US"/>
        </w:rPr>
        <w:t>enjamin</w:t>
      </w:r>
      <w:r w:rsidR="00886EC0">
        <w:rPr>
          <w:lang w:val="en-US"/>
        </w:rPr>
        <w:t>,</w:t>
      </w:r>
      <w:r w:rsidRPr="00D54C9D">
        <w:rPr>
          <w:lang w:val="en-US"/>
        </w:rPr>
        <w:t xml:space="preserve"> </w:t>
      </w:r>
      <w:proofErr w:type="spellStart"/>
      <w:r>
        <w:rPr>
          <w:lang w:val="en-US"/>
        </w:rPr>
        <w:t>Lysy</w:t>
      </w:r>
      <w:proofErr w:type="spellEnd"/>
      <w:r w:rsidRPr="00D54C9D">
        <w:rPr>
          <w:lang w:val="en-US"/>
        </w:rPr>
        <w:t>, F</w:t>
      </w:r>
      <w:r w:rsidR="00F640D7">
        <w:rPr>
          <w:lang w:val="en-US"/>
        </w:rPr>
        <w:t>rank</w:t>
      </w:r>
      <w:r w:rsidRPr="00D54C9D">
        <w:rPr>
          <w:lang w:val="en-US"/>
        </w:rPr>
        <w:t xml:space="preserve"> </w:t>
      </w:r>
      <w:r w:rsidR="00886EC0">
        <w:rPr>
          <w:lang w:val="en-US"/>
        </w:rPr>
        <w:t>e</w:t>
      </w:r>
      <w:r w:rsidRPr="00D54C9D">
        <w:rPr>
          <w:lang w:val="en-US"/>
        </w:rPr>
        <w:t xml:space="preserve"> </w:t>
      </w:r>
      <w:proofErr w:type="spellStart"/>
      <w:r w:rsidR="00F640D7">
        <w:rPr>
          <w:lang w:val="en-US"/>
        </w:rPr>
        <w:t>Ferman</w:t>
      </w:r>
      <w:proofErr w:type="spellEnd"/>
      <w:r w:rsidR="00F640D7">
        <w:rPr>
          <w:lang w:val="en-US"/>
        </w:rPr>
        <w:t>, Carrie</w:t>
      </w:r>
      <w:r w:rsidRPr="00D54C9D">
        <w:rPr>
          <w:lang w:val="en-US"/>
        </w:rPr>
        <w:t xml:space="preserve">. </w:t>
      </w:r>
      <w:proofErr w:type="gramStart"/>
      <w:r w:rsidRPr="00D54C9D">
        <w:rPr>
          <w:lang w:val="en-US"/>
        </w:rPr>
        <w:t>(2003)</w:t>
      </w:r>
      <w:r w:rsidR="007A3504">
        <w:rPr>
          <w:lang w:val="en-US"/>
        </w:rPr>
        <w:t>.</w:t>
      </w:r>
      <w:r w:rsidRPr="00D54C9D">
        <w:rPr>
          <w:lang w:val="en-US"/>
        </w:rPr>
        <w:t xml:space="preserve"> </w:t>
      </w:r>
      <w:r>
        <w:rPr>
          <w:lang w:val="en-US"/>
        </w:rPr>
        <w:t>“</w:t>
      </w:r>
      <w:r w:rsidRPr="00D54C9D">
        <w:rPr>
          <w:lang w:val="en-US"/>
        </w:rPr>
        <w:t>An Economic Framework for Assessing Development Impact</w:t>
      </w:r>
      <w:r>
        <w:rPr>
          <w:lang w:val="en-US"/>
        </w:rPr>
        <w:t>”</w:t>
      </w:r>
      <w:r w:rsidRPr="00D54C9D">
        <w:rPr>
          <w:lang w:val="en-US"/>
        </w:rPr>
        <w:t>.</w:t>
      </w:r>
      <w:proofErr w:type="gramEnd"/>
      <w:r w:rsidRPr="00D54C9D">
        <w:rPr>
          <w:lang w:val="en-US"/>
        </w:rPr>
        <w:t xml:space="preserve"> </w:t>
      </w:r>
      <w:r w:rsidRPr="000375CD">
        <w:rPr>
          <w:i/>
        </w:rPr>
        <w:t xml:space="preserve">Harvard </w:t>
      </w:r>
      <w:proofErr w:type="spellStart"/>
      <w:r w:rsidRPr="000375CD">
        <w:rPr>
          <w:i/>
        </w:rPr>
        <w:t>Bussiness</w:t>
      </w:r>
      <w:proofErr w:type="spellEnd"/>
      <w:r w:rsidRPr="000375CD">
        <w:rPr>
          <w:i/>
        </w:rPr>
        <w:t xml:space="preserve"> </w:t>
      </w:r>
      <w:proofErr w:type="spellStart"/>
      <w:r w:rsidRPr="000375CD">
        <w:rPr>
          <w:i/>
        </w:rPr>
        <w:t>Review</w:t>
      </w:r>
      <w:proofErr w:type="spellEnd"/>
      <w:r w:rsidRPr="000375CD">
        <w:t>,</w:t>
      </w:r>
      <w:r w:rsidRPr="000375CD">
        <w:rPr>
          <w:i/>
        </w:rPr>
        <w:t xml:space="preserve"> </w:t>
      </w:r>
      <w:proofErr w:type="spellStart"/>
      <w:r w:rsidRPr="000375CD">
        <w:t>Industry</w:t>
      </w:r>
      <w:proofErr w:type="spellEnd"/>
      <w:r w:rsidRPr="000375CD">
        <w:t xml:space="preserve"> </w:t>
      </w:r>
      <w:proofErr w:type="spellStart"/>
      <w:r w:rsidRPr="000375CD">
        <w:t>and</w:t>
      </w:r>
      <w:proofErr w:type="spellEnd"/>
      <w:r w:rsidRPr="000375CD">
        <w:t xml:space="preserve"> Background Note, fevereiro.</w:t>
      </w:r>
    </w:p>
    <w:p w:rsidR="003F1F78" w:rsidRPr="00273ECC" w:rsidRDefault="003F1F78" w:rsidP="00BC3A59">
      <w:pPr>
        <w:ind w:left="567" w:hanging="567"/>
        <w:jc w:val="both"/>
        <w:rPr>
          <w:lang w:val="en-US"/>
        </w:rPr>
      </w:pPr>
      <w:proofErr w:type="spellStart"/>
      <w:r w:rsidRPr="000375CD">
        <w:t>Giambiagi</w:t>
      </w:r>
      <w:proofErr w:type="spellEnd"/>
      <w:r w:rsidRPr="000375CD">
        <w:t>, F</w:t>
      </w:r>
      <w:r w:rsidR="001169C1" w:rsidRPr="000375CD">
        <w:t>abio</w:t>
      </w:r>
      <w:r w:rsidR="007A3504" w:rsidRPr="000375CD">
        <w:t>,</w:t>
      </w:r>
      <w:r w:rsidRPr="000375CD">
        <w:t xml:space="preserve"> </w:t>
      </w:r>
      <w:proofErr w:type="spellStart"/>
      <w:r w:rsidRPr="000375CD">
        <w:t>Rieche</w:t>
      </w:r>
      <w:proofErr w:type="spellEnd"/>
      <w:r w:rsidRPr="000375CD">
        <w:t>, F</w:t>
      </w:r>
      <w:r w:rsidR="001169C1" w:rsidRPr="000375CD">
        <w:t>ernando</w:t>
      </w:r>
      <w:r w:rsidRPr="000375CD">
        <w:t xml:space="preserve"> </w:t>
      </w:r>
      <w:r w:rsidR="007A3504" w:rsidRPr="000375CD">
        <w:t>e</w:t>
      </w:r>
      <w:r w:rsidRPr="000375CD">
        <w:t xml:space="preserve"> Amorim, M</w:t>
      </w:r>
      <w:r w:rsidR="001169C1" w:rsidRPr="000375CD">
        <w:t>anoel</w:t>
      </w:r>
      <w:r w:rsidRPr="000375CD">
        <w:t xml:space="preserve">. </w:t>
      </w:r>
      <w:r w:rsidRPr="007A3504">
        <w:t>(2009)</w:t>
      </w:r>
      <w:r w:rsidR="007A3504" w:rsidRPr="007A3504">
        <w:t>.</w:t>
      </w:r>
      <w:r w:rsidRPr="007A3504">
        <w:t xml:space="preserve"> </w:t>
      </w:r>
      <w:r>
        <w:t>“</w:t>
      </w:r>
      <w:r w:rsidRPr="00D54C9D">
        <w:t>As Finanças do BNDES: Evolução Recente e Tendências</w:t>
      </w:r>
      <w:r>
        <w:t>”</w:t>
      </w:r>
      <w:r w:rsidRPr="00D54C9D">
        <w:t xml:space="preserve">. </w:t>
      </w:r>
      <w:proofErr w:type="spellStart"/>
      <w:r w:rsidRPr="00273ECC">
        <w:rPr>
          <w:i/>
          <w:lang w:val="en-US"/>
        </w:rPr>
        <w:t>Revista</w:t>
      </w:r>
      <w:proofErr w:type="spellEnd"/>
      <w:r w:rsidRPr="00273ECC">
        <w:rPr>
          <w:i/>
          <w:lang w:val="en-US"/>
        </w:rPr>
        <w:t xml:space="preserve"> do BNDES</w:t>
      </w:r>
      <w:r w:rsidRPr="00273ECC">
        <w:rPr>
          <w:lang w:val="en-US"/>
        </w:rPr>
        <w:t xml:space="preserve"> 16 (31): 3-40. Rio de Janeiro: BNDES.</w:t>
      </w:r>
    </w:p>
    <w:p w:rsidR="003F1F78" w:rsidRPr="000375CD" w:rsidRDefault="003F1F78" w:rsidP="00BC3A59">
      <w:pPr>
        <w:ind w:left="567" w:hanging="567"/>
        <w:jc w:val="both"/>
      </w:pPr>
      <w:proofErr w:type="gramStart"/>
      <w:r w:rsidRPr="00273ECC">
        <w:rPr>
          <w:lang w:val="en-US"/>
        </w:rPr>
        <w:t>Long, M</w:t>
      </w:r>
      <w:r w:rsidR="00BC6210" w:rsidRPr="00273ECC">
        <w:rPr>
          <w:lang w:val="en-US"/>
        </w:rPr>
        <w:t>illard</w:t>
      </w:r>
      <w:r w:rsidRPr="00273ECC">
        <w:rPr>
          <w:lang w:val="en-US"/>
        </w:rPr>
        <w:t>.</w:t>
      </w:r>
      <w:proofErr w:type="gramEnd"/>
      <w:r w:rsidRPr="00273ECC">
        <w:rPr>
          <w:lang w:val="en-US"/>
        </w:rPr>
        <w:t xml:space="preserve"> </w:t>
      </w:r>
      <w:r w:rsidRPr="007A3504">
        <w:rPr>
          <w:lang w:val="en-US"/>
        </w:rPr>
        <w:t>(1992)</w:t>
      </w:r>
      <w:r w:rsidR="007A3504" w:rsidRPr="007A3504">
        <w:rPr>
          <w:lang w:val="en-US"/>
        </w:rPr>
        <w:t>.</w:t>
      </w:r>
      <w:r w:rsidRPr="007A3504">
        <w:rPr>
          <w:lang w:val="en-US"/>
        </w:rPr>
        <w:t xml:space="preserve"> “Development Banks” </w:t>
      </w:r>
      <w:r w:rsidRPr="007A3504">
        <w:rPr>
          <w:i/>
          <w:lang w:val="en-US"/>
        </w:rPr>
        <w:t>in</w:t>
      </w:r>
      <w:r w:rsidRPr="007A3504">
        <w:rPr>
          <w:lang w:val="en-US"/>
        </w:rPr>
        <w:t xml:space="preserve"> </w:t>
      </w:r>
      <w:proofErr w:type="gramStart"/>
      <w:r w:rsidRPr="007A3504">
        <w:rPr>
          <w:i/>
          <w:lang w:val="en-US"/>
        </w:rPr>
        <w:t>The</w:t>
      </w:r>
      <w:proofErr w:type="gramEnd"/>
      <w:r w:rsidRPr="007A3504">
        <w:rPr>
          <w:i/>
          <w:lang w:val="en-US"/>
        </w:rPr>
        <w:t xml:space="preserve"> New Palgrave Dictionary </w:t>
      </w:r>
      <w:r w:rsidRPr="00D54C9D">
        <w:rPr>
          <w:i/>
          <w:lang w:val="en-US"/>
        </w:rPr>
        <w:t xml:space="preserve">of Money and Finance. </w:t>
      </w:r>
      <w:proofErr w:type="spellStart"/>
      <w:r w:rsidRPr="000375CD">
        <w:t>Macmillan</w:t>
      </w:r>
      <w:proofErr w:type="spellEnd"/>
      <w:r w:rsidRPr="000375CD">
        <w:t xml:space="preserve"> </w:t>
      </w:r>
      <w:proofErr w:type="spellStart"/>
      <w:r w:rsidRPr="000375CD">
        <w:t>Press</w:t>
      </w:r>
      <w:proofErr w:type="spellEnd"/>
      <w:r w:rsidRPr="000375CD">
        <w:t xml:space="preserve"> </w:t>
      </w:r>
      <w:proofErr w:type="spellStart"/>
      <w:r w:rsidRPr="000375CD">
        <w:t>Limited</w:t>
      </w:r>
      <w:proofErr w:type="spellEnd"/>
      <w:r w:rsidRPr="000375CD">
        <w:t xml:space="preserve">: </w:t>
      </w:r>
      <w:proofErr w:type="spellStart"/>
      <w:r w:rsidRPr="000375CD">
        <w:t>New</w:t>
      </w:r>
      <w:proofErr w:type="spellEnd"/>
      <w:r w:rsidRPr="000375CD">
        <w:t xml:space="preserve"> York.</w:t>
      </w:r>
    </w:p>
    <w:p w:rsidR="003F1F78" w:rsidRPr="00D54C9D" w:rsidRDefault="003F1F78" w:rsidP="00BC3A59">
      <w:pPr>
        <w:ind w:left="567" w:hanging="567"/>
        <w:jc w:val="both"/>
      </w:pPr>
      <w:r w:rsidRPr="007A3504">
        <w:t>Ministério da Fazenda</w:t>
      </w:r>
      <w:r w:rsidRPr="007A3504">
        <w:rPr>
          <w:caps/>
        </w:rPr>
        <w:t xml:space="preserve"> (</w:t>
      </w:r>
      <w:r w:rsidRPr="007A3504">
        <w:t>2001a)</w:t>
      </w:r>
      <w:r w:rsidR="007A3504" w:rsidRPr="007A3504">
        <w:t>.</w:t>
      </w:r>
      <w:r w:rsidRPr="007A3504">
        <w:t xml:space="preserve"> </w:t>
      </w:r>
      <w:r w:rsidRPr="007A3504">
        <w:rPr>
          <w:i/>
        </w:rPr>
        <w:t>Fortalecimento das instituições financeiras federais</w:t>
      </w:r>
      <w:r w:rsidRPr="007A3504">
        <w:t>, em 22/06</w:t>
      </w:r>
      <w:r w:rsidR="00FB1C90">
        <w:t>/2001, disponível em &lt;</w:t>
      </w:r>
      <w:r w:rsidRPr="00D54C9D">
        <w:t>http://www.fazenda.gov.br/port</w:t>
      </w:r>
      <w:r w:rsidR="00FB1C90">
        <w:t>ugues/releases/2001/r010622.asp&gt;</w:t>
      </w:r>
      <w:r w:rsidRPr="00D54C9D">
        <w:t>. Acessado em 08/01/2011.</w:t>
      </w:r>
    </w:p>
    <w:p w:rsidR="003F1F78" w:rsidRPr="00D54C9D" w:rsidRDefault="003F1F78" w:rsidP="00BC3A59">
      <w:pPr>
        <w:ind w:left="567" w:hanging="567"/>
        <w:jc w:val="both"/>
      </w:pPr>
      <w:r>
        <w:t>________ (2001b)</w:t>
      </w:r>
      <w:r w:rsidR="007A3504">
        <w:t>.</w:t>
      </w:r>
      <w:r w:rsidRPr="00D54C9D">
        <w:t xml:space="preserve"> </w:t>
      </w:r>
      <w:r w:rsidRPr="00D54C9D">
        <w:rPr>
          <w:i/>
        </w:rPr>
        <w:t xml:space="preserve">Banco do Nordeste </w:t>
      </w:r>
      <w:proofErr w:type="gramStart"/>
      <w:r w:rsidRPr="00D54C9D">
        <w:rPr>
          <w:i/>
        </w:rPr>
        <w:t>implementa</w:t>
      </w:r>
      <w:proofErr w:type="gramEnd"/>
      <w:r w:rsidRPr="00D54C9D">
        <w:rPr>
          <w:i/>
        </w:rPr>
        <w:t xml:space="preserve"> ajustes para potencializar ações na região</w:t>
      </w:r>
      <w:r w:rsidRPr="00D54C9D">
        <w:t>, em 22/06/2001, disponível e</w:t>
      </w:r>
      <w:r w:rsidR="009323ED">
        <w:t>m  &lt;</w:t>
      </w:r>
      <w:r w:rsidRPr="00D54C9D">
        <w:t>http://www.fazenda.gov.br/portu</w:t>
      </w:r>
      <w:r w:rsidR="009323ED">
        <w:t>gues/releases/2001/r010622b.asp&gt;</w:t>
      </w:r>
      <w:r w:rsidRPr="00D54C9D">
        <w:t>. Acessado em 08/01/2011.</w:t>
      </w:r>
    </w:p>
    <w:p w:rsidR="003F1F78" w:rsidRPr="00D54C9D" w:rsidRDefault="003F1F78" w:rsidP="00BC3A59">
      <w:pPr>
        <w:ind w:left="567" w:hanging="567"/>
        <w:jc w:val="both"/>
      </w:pPr>
      <w:r>
        <w:t>Prado</w:t>
      </w:r>
      <w:r w:rsidRPr="00D54C9D">
        <w:t>, L</w:t>
      </w:r>
      <w:r w:rsidR="00BC6210">
        <w:t>uiz</w:t>
      </w:r>
      <w:r w:rsidRPr="00D54C9D">
        <w:t>. C</w:t>
      </w:r>
      <w:r w:rsidR="00BC6210">
        <w:t>arlos</w:t>
      </w:r>
      <w:r w:rsidR="00C50056">
        <w:t xml:space="preserve"> e </w:t>
      </w:r>
      <w:r>
        <w:t>Monteiro Filha</w:t>
      </w:r>
      <w:r w:rsidRPr="00D54C9D">
        <w:t>, D</w:t>
      </w:r>
      <w:r w:rsidR="00BC6210">
        <w:t>ulce</w:t>
      </w:r>
      <w:r w:rsidRPr="00D54C9D">
        <w:t xml:space="preserve">. (2005) </w:t>
      </w:r>
      <w:r>
        <w:t>“</w:t>
      </w:r>
      <w:r w:rsidRPr="00D54C9D">
        <w:t>O BNDES e os Acordos de Capital de Basiléia</w:t>
      </w:r>
      <w:r>
        <w:t>”</w:t>
      </w:r>
      <w:r w:rsidRPr="00D54C9D">
        <w:t xml:space="preserve">. </w:t>
      </w:r>
      <w:r w:rsidRPr="00D54C9D">
        <w:rPr>
          <w:i/>
        </w:rPr>
        <w:t>Revista do BNDES</w:t>
      </w:r>
      <w:r>
        <w:t xml:space="preserve"> 12 (</w:t>
      </w:r>
      <w:r w:rsidRPr="00D54C9D">
        <w:t>23</w:t>
      </w:r>
      <w:r>
        <w:t>): 177-200</w:t>
      </w:r>
      <w:r w:rsidRPr="00D54C9D">
        <w:t>. Rio de Janeiro: BNDES.</w:t>
      </w:r>
    </w:p>
    <w:p w:rsidR="003F1F78" w:rsidRPr="00D54C9D" w:rsidRDefault="003F1F78" w:rsidP="00BC3A59">
      <w:pPr>
        <w:ind w:left="567" w:hanging="567"/>
        <w:jc w:val="both"/>
      </w:pPr>
      <w:proofErr w:type="spellStart"/>
      <w:r>
        <w:t>Prochnik</w:t>
      </w:r>
      <w:proofErr w:type="spellEnd"/>
      <w:r w:rsidRPr="00D54C9D">
        <w:t>, M</w:t>
      </w:r>
      <w:r w:rsidR="00977041">
        <w:t>arta</w:t>
      </w:r>
      <w:r w:rsidRPr="00D54C9D">
        <w:t xml:space="preserve"> </w:t>
      </w:r>
      <w:r w:rsidR="00C50056">
        <w:t>e</w:t>
      </w:r>
      <w:r w:rsidRPr="00D54C9D">
        <w:t xml:space="preserve"> </w:t>
      </w:r>
      <w:r w:rsidR="00C50056">
        <w:t>Santos</w:t>
      </w:r>
      <w:r w:rsidRPr="00D54C9D">
        <w:t>, V</w:t>
      </w:r>
      <w:r w:rsidR="00977041">
        <w:t>ivian</w:t>
      </w:r>
      <w:r w:rsidR="00C50056">
        <w:t xml:space="preserve"> Machado dos</w:t>
      </w:r>
      <w:r w:rsidRPr="00D54C9D">
        <w:t>. (2008)</w:t>
      </w:r>
      <w:r w:rsidR="007C790F">
        <w:t>.</w:t>
      </w:r>
      <w:r w:rsidRPr="00D54C9D">
        <w:t xml:space="preserve"> </w:t>
      </w:r>
      <w:r>
        <w:t>“</w:t>
      </w:r>
      <w:r w:rsidRPr="00D54C9D">
        <w:t>Fontes de Recursos do BNDES 1995-2007</w:t>
      </w:r>
      <w:r>
        <w:t>”</w:t>
      </w:r>
      <w:r w:rsidRPr="00D54C9D">
        <w:t xml:space="preserve">. </w:t>
      </w:r>
      <w:r w:rsidRPr="00D54C9D">
        <w:rPr>
          <w:i/>
        </w:rPr>
        <w:t>Revista do BNDES</w:t>
      </w:r>
      <w:r>
        <w:t xml:space="preserve"> 1</w:t>
      </w:r>
      <w:r w:rsidRPr="00D54C9D">
        <w:t>4</w:t>
      </w:r>
      <w:r>
        <w:t xml:space="preserve"> (</w:t>
      </w:r>
      <w:r w:rsidRPr="00D54C9D">
        <w:t>29</w:t>
      </w:r>
      <w:r>
        <w:t>): 3-34</w:t>
      </w:r>
      <w:r w:rsidRPr="00D54C9D">
        <w:t>. Rio de Janeiro: BNDES.</w:t>
      </w:r>
    </w:p>
    <w:p w:rsidR="003F1F78" w:rsidRPr="00F3568F" w:rsidRDefault="003F1F78" w:rsidP="00BC3A59">
      <w:pPr>
        <w:ind w:left="567" w:hanging="567"/>
        <w:jc w:val="both"/>
      </w:pPr>
      <w:r>
        <w:t>Santos</w:t>
      </w:r>
      <w:r w:rsidRPr="00D54C9D">
        <w:t>, V</w:t>
      </w:r>
      <w:r w:rsidR="00C50056">
        <w:t>ivian</w:t>
      </w:r>
      <w:r w:rsidRPr="00D54C9D">
        <w:t xml:space="preserve"> M</w:t>
      </w:r>
      <w:r w:rsidR="00C50056">
        <w:t>achado dos</w:t>
      </w:r>
      <w:r w:rsidRPr="00D54C9D">
        <w:t xml:space="preserve">. (2006) </w:t>
      </w:r>
      <w:r>
        <w:t>“</w:t>
      </w:r>
      <w:r w:rsidRPr="00D54C9D">
        <w:t>Por Dentro do FAT</w:t>
      </w:r>
      <w:r>
        <w:t>”</w:t>
      </w:r>
      <w:r w:rsidRPr="00D54C9D">
        <w:t xml:space="preserve">. </w:t>
      </w:r>
      <w:r w:rsidRPr="00D54C9D">
        <w:rPr>
          <w:i/>
        </w:rPr>
        <w:t>Revista do BNDES</w:t>
      </w:r>
      <w:r w:rsidRPr="00D54C9D">
        <w:t xml:space="preserve"> 13</w:t>
      </w:r>
      <w:r>
        <w:t xml:space="preserve"> (</w:t>
      </w:r>
      <w:r w:rsidRPr="00D54C9D">
        <w:t>26</w:t>
      </w:r>
      <w:r>
        <w:t xml:space="preserve">): </w:t>
      </w:r>
      <w:r w:rsidRPr="00D54C9D">
        <w:t xml:space="preserve">3-14. </w:t>
      </w:r>
      <w:r w:rsidRPr="00F3568F">
        <w:t>Rio de Janeiro: BNDES.</w:t>
      </w:r>
    </w:p>
    <w:p w:rsidR="003F1F78" w:rsidRPr="007C790F" w:rsidRDefault="003F1F78" w:rsidP="00BC3A59">
      <w:pPr>
        <w:ind w:left="567" w:hanging="567"/>
        <w:jc w:val="both"/>
      </w:pPr>
      <w:r w:rsidRPr="007C790F">
        <w:t>Sobreira, Rogério (2009)</w:t>
      </w:r>
      <w:r w:rsidR="007C790F" w:rsidRPr="007C790F">
        <w:t>.</w:t>
      </w:r>
      <w:r w:rsidRPr="007C790F">
        <w:t xml:space="preserve"> </w:t>
      </w:r>
      <w:proofErr w:type="spellStart"/>
      <w:r w:rsidRPr="007C790F">
        <w:rPr>
          <w:i/>
        </w:rPr>
        <w:t>Development</w:t>
      </w:r>
      <w:proofErr w:type="spellEnd"/>
      <w:r w:rsidRPr="007C790F">
        <w:rPr>
          <w:i/>
        </w:rPr>
        <w:t xml:space="preserve"> Banks </w:t>
      </w:r>
      <w:proofErr w:type="spellStart"/>
      <w:r w:rsidRPr="007C790F">
        <w:rPr>
          <w:i/>
        </w:rPr>
        <w:t>and</w:t>
      </w:r>
      <w:proofErr w:type="spellEnd"/>
      <w:r w:rsidRPr="007C790F">
        <w:rPr>
          <w:i/>
        </w:rPr>
        <w:t xml:space="preserve"> </w:t>
      </w:r>
      <w:proofErr w:type="spellStart"/>
      <w:r w:rsidRPr="007C790F">
        <w:rPr>
          <w:i/>
        </w:rPr>
        <w:t>Basel</w:t>
      </w:r>
      <w:proofErr w:type="spellEnd"/>
      <w:r w:rsidRPr="007C790F">
        <w:rPr>
          <w:i/>
        </w:rPr>
        <w:t xml:space="preserve"> II: Some </w:t>
      </w:r>
      <w:proofErr w:type="spellStart"/>
      <w:r w:rsidRPr="007C790F">
        <w:rPr>
          <w:i/>
        </w:rPr>
        <w:t>Assessments</w:t>
      </w:r>
      <w:proofErr w:type="spellEnd"/>
      <w:r w:rsidRPr="007C790F">
        <w:t xml:space="preserve">. </w:t>
      </w:r>
      <w:r w:rsidRPr="00FC71D3">
        <w:t xml:space="preserve">Trabalho apresentado no II Encontro Internacional da Associação </w:t>
      </w:r>
      <w:proofErr w:type="spellStart"/>
      <w:r w:rsidRPr="00FC71D3">
        <w:t>Keynesiana</w:t>
      </w:r>
      <w:proofErr w:type="spellEnd"/>
      <w:r w:rsidRPr="00FC71D3">
        <w:t xml:space="preserve"> Brasileira (AKB). </w:t>
      </w:r>
      <w:r w:rsidRPr="007C790F">
        <w:t>Porto Alegre, 9-11 de setembro.</w:t>
      </w:r>
    </w:p>
    <w:p w:rsidR="003F1F78" w:rsidRPr="00D54C9D" w:rsidRDefault="003F1F78" w:rsidP="00BC3A59">
      <w:pPr>
        <w:ind w:left="567" w:hanging="567"/>
        <w:jc w:val="both"/>
        <w:rPr>
          <w:lang w:val="en-US"/>
        </w:rPr>
      </w:pPr>
      <w:r w:rsidRPr="00C111B4">
        <w:t>Sobreira, R</w:t>
      </w:r>
      <w:r w:rsidR="00C111B4">
        <w:t>ogério</w:t>
      </w:r>
      <w:r w:rsidRPr="00C111B4">
        <w:t xml:space="preserve"> </w:t>
      </w:r>
      <w:r w:rsidR="00C111B4">
        <w:t>e</w:t>
      </w:r>
      <w:r w:rsidRPr="00C111B4">
        <w:t xml:space="preserve"> </w:t>
      </w:r>
      <w:r w:rsidR="00C111B4" w:rsidRPr="00C111B4">
        <w:t>Paula, Luiz</w:t>
      </w:r>
      <w:r w:rsidRPr="00C111B4">
        <w:t xml:space="preserve"> F</w:t>
      </w:r>
      <w:r w:rsidR="00C111B4" w:rsidRPr="00C111B4">
        <w:t>ernando de</w:t>
      </w:r>
      <w:r w:rsidRPr="00C111B4">
        <w:t xml:space="preserve">. </w:t>
      </w:r>
      <w:r w:rsidRPr="00AE49BC">
        <w:rPr>
          <w:lang w:val="en-US"/>
        </w:rPr>
        <w:t>(2010)</w:t>
      </w:r>
      <w:r w:rsidR="007C790F">
        <w:rPr>
          <w:lang w:val="en-US"/>
        </w:rPr>
        <w:t>.</w:t>
      </w:r>
      <w:r w:rsidRPr="00AE49BC">
        <w:rPr>
          <w:lang w:val="en-US"/>
        </w:rPr>
        <w:t xml:space="preserve"> </w:t>
      </w:r>
      <w:r>
        <w:rPr>
          <w:lang w:val="en-US"/>
        </w:rPr>
        <w:t>“</w:t>
      </w:r>
      <w:r w:rsidRPr="00D54C9D">
        <w:rPr>
          <w:lang w:val="en-US"/>
        </w:rPr>
        <w:t>The 2008 Financial Crisis and Banking Regulation in Brazil: The Role of the Prudential Regulation</w:t>
      </w:r>
      <w:r>
        <w:rPr>
          <w:lang w:val="en-US"/>
        </w:rPr>
        <w:t>”</w:t>
      </w:r>
      <w:r w:rsidRPr="00D54C9D">
        <w:rPr>
          <w:lang w:val="en-US"/>
        </w:rPr>
        <w:t xml:space="preserve">. </w:t>
      </w:r>
      <w:proofErr w:type="gramStart"/>
      <w:r w:rsidRPr="00D54C9D">
        <w:rPr>
          <w:i/>
          <w:lang w:val="en-US"/>
        </w:rPr>
        <w:t>Journal of Innovation Economics</w:t>
      </w:r>
      <w:r w:rsidR="00C111B4">
        <w:rPr>
          <w:lang w:val="en-US"/>
        </w:rPr>
        <w:t>,</w:t>
      </w:r>
      <w:r>
        <w:rPr>
          <w:lang w:val="en-US"/>
        </w:rPr>
        <w:t xml:space="preserve"> 6</w:t>
      </w:r>
      <w:r w:rsidRPr="00D54C9D">
        <w:rPr>
          <w:lang w:val="en-US"/>
        </w:rPr>
        <w:t>.</w:t>
      </w:r>
      <w:proofErr w:type="gramEnd"/>
    </w:p>
    <w:p w:rsidR="003F1F78" w:rsidRPr="00AE49BC" w:rsidRDefault="00F632B3" w:rsidP="00BC3A59">
      <w:pPr>
        <w:ind w:left="567" w:hanging="567"/>
        <w:jc w:val="both"/>
        <w:rPr>
          <w:lang w:val="en-US"/>
        </w:rPr>
      </w:pPr>
      <w:proofErr w:type="gramStart"/>
      <w:r>
        <w:rPr>
          <w:lang w:val="en-US"/>
        </w:rPr>
        <w:t xml:space="preserve">Sobreira, </w:t>
      </w:r>
      <w:proofErr w:type="spellStart"/>
      <w:r>
        <w:rPr>
          <w:lang w:val="en-US"/>
        </w:rPr>
        <w:t>Rogério</w:t>
      </w:r>
      <w:proofErr w:type="spellEnd"/>
      <w:r>
        <w:rPr>
          <w:lang w:val="en-US"/>
        </w:rPr>
        <w:t xml:space="preserve"> e</w:t>
      </w:r>
      <w:r w:rsidR="003F1F78">
        <w:rPr>
          <w:lang w:val="en-US"/>
        </w:rPr>
        <w:t xml:space="preserve"> </w:t>
      </w:r>
      <w:proofErr w:type="spellStart"/>
      <w:r w:rsidR="003F1F78">
        <w:rPr>
          <w:lang w:val="en-US"/>
        </w:rPr>
        <w:t>Zendron</w:t>
      </w:r>
      <w:proofErr w:type="spellEnd"/>
      <w:r w:rsidR="003F1F78">
        <w:rPr>
          <w:lang w:val="en-US"/>
        </w:rPr>
        <w:t>, P</w:t>
      </w:r>
      <w:r>
        <w:rPr>
          <w:lang w:val="en-US"/>
        </w:rPr>
        <w:t>atricia</w:t>
      </w:r>
      <w:r w:rsidR="003F1F78">
        <w:rPr>
          <w:lang w:val="en-US"/>
        </w:rPr>
        <w:t>.</w:t>
      </w:r>
      <w:proofErr w:type="gramEnd"/>
      <w:r w:rsidR="003F1F78">
        <w:rPr>
          <w:lang w:val="en-US"/>
        </w:rPr>
        <w:t xml:space="preserve"> </w:t>
      </w:r>
      <w:proofErr w:type="gramStart"/>
      <w:r w:rsidR="003F1F78">
        <w:rPr>
          <w:lang w:val="en-US"/>
        </w:rPr>
        <w:t>(2011)</w:t>
      </w:r>
      <w:r w:rsidR="007C790F">
        <w:rPr>
          <w:lang w:val="en-US"/>
        </w:rPr>
        <w:t>.</w:t>
      </w:r>
      <w:r w:rsidR="003F1F78" w:rsidRPr="00D54C9D">
        <w:rPr>
          <w:lang w:val="en-US"/>
        </w:rPr>
        <w:t xml:space="preserve"> </w:t>
      </w:r>
      <w:r w:rsidR="003F1F78">
        <w:rPr>
          <w:lang w:val="en-US"/>
        </w:rPr>
        <w:t>“</w:t>
      </w:r>
      <w:r w:rsidR="003F1F78" w:rsidRPr="00403791">
        <w:rPr>
          <w:lang w:val="en-US"/>
        </w:rPr>
        <w:t>Implications of Basel II for National Development Banks</w:t>
      </w:r>
      <w:r w:rsidR="003F1F78">
        <w:rPr>
          <w:lang w:val="en-US"/>
        </w:rPr>
        <w:t>”</w:t>
      </w:r>
      <w:r w:rsidR="003F1F78" w:rsidRPr="00D54C9D">
        <w:rPr>
          <w:lang w:val="en-US"/>
        </w:rPr>
        <w:t xml:space="preserve"> </w:t>
      </w:r>
      <w:r w:rsidR="003F1F78" w:rsidRPr="00403791">
        <w:rPr>
          <w:i/>
          <w:lang w:val="en-US"/>
        </w:rPr>
        <w:t>in</w:t>
      </w:r>
      <w:r w:rsidR="003F1F78" w:rsidRPr="00D54C9D">
        <w:rPr>
          <w:lang w:val="en-US"/>
        </w:rPr>
        <w:t xml:space="preserve"> </w:t>
      </w:r>
      <w:proofErr w:type="spellStart"/>
      <w:r w:rsidR="003F1F78" w:rsidRPr="00D54C9D">
        <w:rPr>
          <w:lang w:val="en-US"/>
        </w:rPr>
        <w:t>Gnos</w:t>
      </w:r>
      <w:proofErr w:type="spellEnd"/>
      <w:r w:rsidR="003F1F78" w:rsidRPr="00D54C9D">
        <w:rPr>
          <w:lang w:val="en-US"/>
        </w:rPr>
        <w:t>, C</w:t>
      </w:r>
      <w:r>
        <w:rPr>
          <w:lang w:val="en-US"/>
        </w:rPr>
        <w:t>laude</w:t>
      </w:r>
      <w:r w:rsidR="003F1F78" w:rsidRPr="00D54C9D">
        <w:rPr>
          <w:lang w:val="en-US"/>
        </w:rPr>
        <w:t xml:space="preserve"> </w:t>
      </w:r>
      <w:r>
        <w:rPr>
          <w:lang w:val="en-US"/>
        </w:rPr>
        <w:t>e</w:t>
      </w:r>
      <w:r w:rsidR="003F1F78" w:rsidRPr="00D54C9D">
        <w:rPr>
          <w:lang w:val="en-US"/>
        </w:rPr>
        <w:t xml:space="preserve"> </w:t>
      </w:r>
      <w:proofErr w:type="spellStart"/>
      <w:r w:rsidR="003F1F78" w:rsidRPr="00D54C9D">
        <w:rPr>
          <w:lang w:val="en-US"/>
        </w:rPr>
        <w:t>Rochon</w:t>
      </w:r>
      <w:proofErr w:type="spellEnd"/>
      <w:r>
        <w:rPr>
          <w:lang w:val="en-US"/>
        </w:rPr>
        <w:t>, Louis-</w:t>
      </w:r>
      <w:r w:rsidR="003F1F78">
        <w:rPr>
          <w:lang w:val="en-US"/>
        </w:rPr>
        <w:t>P</w:t>
      </w:r>
      <w:r>
        <w:rPr>
          <w:lang w:val="en-US"/>
        </w:rPr>
        <w:t>hilippe</w:t>
      </w:r>
      <w:r w:rsidR="003F1F78">
        <w:rPr>
          <w:lang w:val="en-US"/>
        </w:rPr>
        <w:t>.</w:t>
      </w:r>
      <w:proofErr w:type="gramEnd"/>
      <w:r w:rsidR="003F1F78" w:rsidRPr="00D54C9D">
        <w:rPr>
          <w:lang w:val="en-US"/>
        </w:rPr>
        <w:t xml:space="preserve"> (Eds.) </w:t>
      </w:r>
      <w:proofErr w:type="gramStart"/>
      <w:r w:rsidR="003F1F78" w:rsidRPr="00403791">
        <w:rPr>
          <w:i/>
          <w:lang w:val="en-US"/>
        </w:rPr>
        <w:t>Credit, Money and Macroeconomic Policy.</w:t>
      </w:r>
      <w:proofErr w:type="gramEnd"/>
      <w:r w:rsidR="003F1F78" w:rsidRPr="00D54C9D">
        <w:rPr>
          <w:lang w:val="en-US"/>
        </w:rPr>
        <w:t xml:space="preserve"> </w:t>
      </w:r>
      <w:proofErr w:type="spellStart"/>
      <w:r w:rsidR="003F1F78" w:rsidRPr="00AE49BC">
        <w:rPr>
          <w:lang w:val="en-US"/>
        </w:rPr>
        <w:t>Aldershot</w:t>
      </w:r>
      <w:proofErr w:type="spellEnd"/>
      <w:r w:rsidR="003F1F78" w:rsidRPr="00AE49BC">
        <w:rPr>
          <w:lang w:val="en-US"/>
        </w:rPr>
        <w:t>: Edward Elgar.</w:t>
      </w:r>
    </w:p>
    <w:sectPr w:rsidR="003F1F78" w:rsidRPr="00AE49BC" w:rsidSect="00F717C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0F" w:rsidRDefault="00373F0F" w:rsidP="009C55CA">
      <w:r>
        <w:separator/>
      </w:r>
    </w:p>
  </w:endnote>
  <w:endnote w:type="continuationSeparator" w:id="0">
    <w:p w:rsidR="00373F0F" w:rsidRDefault="00373F0F" w:rsidP="009C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59" w:rsidRDefault="00BC3A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78" w:rsidRDefault="00BD133B">
    <w:pPr>
      <w:pStyle w:val="Rodap"/>
      <w:jc w:val="right"/>
    </w:pPr>
    <w:fldSimple w:instr=" PAGE   \* MERGEFORMAT ">
      <w:r w:rsidR="00887932">
        <w:rPr>
          <w:noProof/>
        </w:rPr>
        <w:t>2</w:t>
      </w:r>
    </w:fldSimple>
  </w:p>
  <w:p w:rsidR="003F1F78" w:rsidRDefault="003F1F7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59" w:rsidRDefault="00BC3A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0F" w:rsidRDefault="00373F0F" w:rsidP="009C55CA">
      <w:r>
        <w:separator/>
      </w:r>
    </w:p>
  </w:footnote>
  <w:footnote w:type="continuationSeparator" w:id="0">
    <w:p w:rsidR="00373F0F" w:rsidRDefault="00373F0F" w:rsidP="009C55CA">
      <w:r>
        <w:continuationSeparator/>
      </w:r>
    </w:p>
  </w:footnote>
  <w:footnote w:id="1">
    <w:p w:rsidR="003F1F78" w:rsidRDefault="003F1F78" w:rsidP="00275552">
      <w:pPr>
        <w:pStyle w:val="Textodenotaderodap"/>
        <w:jc w:val="both"/>
      </w:pPr>
      <w:r>
        <w:rPr>
          <w:rStyle w:val="Refdenotaderodap"/>
        </w:rPr>
        <w:t>*</w:t>
      </w:r>
      <w:r w:rsidRPr="00D54C9D">
        <w:t xml:space="preserve">Os autores agradecem </w:t>
      </w:r>
      <w:r>
        <w:t>a</w:t>
      </w:r>
      <w:r w:rsidRPr="00D54C9D">
        <w:t xml:space="preserve"> Lavínia Barros de Castro</w:t>
      </w:r>
      <w:r>
        <w:t>, isentando-a obviamente de quais</w:t>
      </w:r>
      <w:r w:rsidRPr="00D54C9D">
        <w:t>quer erro</w:t>
      </w:r>
      <w:r>
        <w:t>s</w:t>
      </w:r>
      <w:r w:rsidRPr="00D54C9D">
        <w:t xml:space="preserve"> ou </w:t>
      </w:r>
      <w:r>
        <w:t>omissões</w:t>
      </w:r>
      <w:r w:rsidRPr="00D54C9D">
        <w:t xml:space="preserve"> </w:t>
      </w:r>
      <w:r>
        <w:t>remanescentes</w:t>
      </w:r>
      <w:r w:rsidRPr="00D54C9D">
        <w:t>, bem como o apoio do CNPq</w:t>
      </w:r>
      <w:r>
        <w:t xml:space="preserve"> e do CICEF</w:t>
      </w:r>
      <w:r w:rsidRPr="00D54C9D">
        <w:t>.</w:t>
      </w:r>
    </w:p>
  </w:footnote>
  <w:footnote w:id="2">
    <w:p w:rsidR="003F1F78" w:rsidRDefault="003F1F78" w:rsidP="0053611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Sobre a adequação do acordo de Basiléia I e II aos bancos de desenvolvimento, ver BNDES (2007); </w:t>
      </w:r>
      <w:r w:rsidRPr="001421D7">
        <w:t>Sobreira (2009) e Sobreira</w:t>
      </w:r>
      <w:r>
        <w:t xml:space="preserve"> e </w:t>
      </w:r>
      <w:proofErr w:type="spellStart"/>
      <w:r>
        <w:t>Zendron</w:t>
      </w:r>
      <w:proofErr w:type="spellEnd"/>
      <w:r>
        <w:t xml:space="preserve"> (2011).</w:t>
      </w:r>
    </w:p>
  </w:footnote>
  <w:footnote w:id="3">
    <w:p w:rsidR="003F1F78" w:rsidRDefault="003F1F78" w:rsidP="00D108F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Vale notar que o Acordo, na sua essência, é voltado para instituições financeiras que operam alavancadas e que </w:t>
      </w:r>
      <w:proofErr w:type="gramStart"/>
      <w:r>
        <w:t>estão</w:t>
      </w:r>
      <w:proofErr w:type="gramEnd"/>
      <w:r>
        <w:t xml:space="preserve"> no centro do sistema de pagamentos da economia, o que não é o caso para a maioria dos bancos de desenvolvimento (Sobreira, 2009).</w:t>
      </w:r>
    </w:p>
  </w:footnote>
  <w:footnote w:id="4">
    <w:p w:rsidR="003F1F78" w:rsidRDefault="003F1F78" w:rsidP="00442B0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Os fatores definidos na Resolução foram: 0% para ativos de risco nulo; 20% para ativos de risco reduzido </w:t>
      </w:r>
      <w:proofErr w:type="gramStart"/>
      <w:r>
        <w:t>1</w:t>
      </w:r>
      <w:proofErr w:type="gramEnd"/>
      <w:r>
        <w:t>; 50% para ativos de risco reduzido 2; e 100% para ativos de risco normal.</w:t>
      </w:r>
    </w:p>
  </w:footnote>
  <w:footnote w:id="5">
    <w:p w:rsidR="003F1F78" w:rsidRDefault="003F1F78" w:rsidP="00D54C9D">
      <w:pPr>
        <w:pStyle w:val="Textodenotaderodap"/>
        <w:tabs>
          <w:tab w:val="left" w:pos="3240"/>
        </w:tabs>
        <w:jc w:val="both"/>
      </w:pPr>
      <w:r w:rsidRPr="00D54C9D">
        <w:rPr>
          <w:rStyle w:val="Refdenotaderodap"/>
        </w:rPr>
        <w:footnoteRef/>
      </w:r>
      <w:r w:rsidRPr="00D54C9D">
        <w:t xml:space="preserve"> </w:t>
      </w:r>
      <w:r>
        <w:t>D</w:t>
      </w:r>
      <w:r w:rsidRPr="00D54C9D">
        <w:t xml:space="preserve">e acordo com </w:t>
      </w:r>
      <w:r>
        <w:t>est</w:t>
      </w:r>
      <w:r w:rsidRPr="00D54C9D">
        <w:t>a Resolução, o PLA referido na Resolução 2.283/96 deve ser acrescido das contas de resultado credoras e deduzido o saldo das contas de resultado devedoras.</w:t>
      </w:r>
    </w:p>
  </w:footnote>
  <w:footnote w:id="6">
    <w:p w:rsidR="003F1F78" w:rsidRDefault="003F1F78" w:rsidP="00D54C9D">
      <w:pPr>
        <w:pStyle w:val="Textodenotaderodap"/>
        <w:tabs>
          <w:tab w:val="left" w:pos="3240"/>
        </w:tabs>
        <w:jc w:val="both"/>
      </w:pPr>
      <w:r w:rsidRPr="00D54C9D">
        <w:rPr>
          <w:rStyle w:val="Refdenotaderodap"/>
        </w:rPr>
        <w:footnoteRef/>
      </w:r>
      <w:r w:rsidRPr="00D54C9D">
        <w:t xml:space="preserve"> A IGC foi realizada no âmbito da </w:t>
      </w:r>
      <w:proofErr w:type="gramStart"/>
      <w:r w:rsidRPr="00D54C9D">
        <w:t>implementação</w:t>
      </w:r>
      <w:proofErr w:type="gramEnd"/>
      <w:r w:rsidRPr="00D54C9D">
        <w:t xml:space="preserve"> do Acordo de Basiléia no Brasil, seguindo os princípios de supervisão bancária definidos pelo BIS. A Resolução 2.302/96 é o normativo que efetivamente institui a rotina das referidas inspeções.</w:t>
      </w:r>
    </w:p>
  </w:footnote>
  <w:footnote w:id="7">
    <w:p w:rsidR="003F1F78" w:rsidRDefault="003F1F78" w:rsidP="00D54C9D">
      <w:pPr>
        <w:pStyle w:val="Textodenotaderodap"/>
        <w:tabs>
          <w:tab w:val="left" w:pos="3240"/>
        </w:tabs>
        <w:jc w:val="both"/>
      </w:pPr>
      <w:r w:rsidRPr="00D54C9D">
        <w:rPr>
          <w:rStyle w:val="Refdenotaderodap"/>
        </w:rPr>
        <w:footnoteRef/>
      </w:r>
      <w:r w:rsidRPr="00D54C9D">
        <w:t xml:space="preserve"> A implementação do Acordo de Basiléia no Brasil, no que tange a adequação patrimonial das instituições financeiras, levou à necessidade de aumento do capital por parte das mesmas em função (a) da elevação do limite mínimo para adequação do capital </w:t>
      </w:r>
      <w:r>
        <w:t xml:space="preserve">próprio </w:t>
      </w:r>
      <w:r w:rsidRPr="00D54C9D">
        <w:t xml:space="preserve">de </w:t>
      </w:r>
      <w:proofErr w:type="gramStart"/>
      <w:r w:rsidRPr="00D54C9D">
        <w:t>8</w:t>
      </w:r>
      <w:proofErr w:type="gramEnd"/>
      <w:r w:rsidRPr="00D54C9D">
        <w:t xml:space="preserve"> para 11%; (b) do aumento do percentual de ponderação de risco sobre créditos tributários de 20 para 300%; e (c) da definição de novos critérios de classificação de risco de crédito e de novos níveis de provisão para assegurar solidez às instituições.</w:t>
      </w:r>
    </w:p>
  </w:footnote>
  <w:footnote w:id="8">
    <w:p w:rsidR="003F1F78" w:rsidRDefault="003F1F78" w:rsidP="00D54C9D">
      <w:pPr>
        <w:pStyle w:val="Textodenotaderodap"/>
        <w:tabs>
          <w:tab w:val="left" w:pos="3240"/>
        </w:tabs>
        <w:jc w:val="both"/>
      </w:pPr>
      <w:r w:rsidRPr="00D54C9D">
        <w:rPr>
          <w:rStyle w:val="Refdenotaderodap"/>
        </w:rPr>
        <w:footnoteRef/>
      </w:r>
      <w:r w:rsidRPr="00D54C9D">
        <w:t xml:space="preserve"> Especificamente, na “</w:t>
      </w:r>
      <w:r w:rsidRPr="00971AAF">
        <w:t>Inspeção Global Consolidada, o Banco Central constatou a presença expressiva no ativo dos quatro bancos federais de créditos de baixa remuneração e/ou difícil recuperação. Esses créditos correspondem a empréstimos de longo prazo com elevado grau de subsídios jamais explicitados orçamentariamente (...).</w:t>
      </w:r>
      <w:r w:rsidRPr="00D54C9D">
        <w:t>” (Fazenda, 2001a).</w:t>
      </w:r>
    </w:p>
  </w:footnote>
  <w:footnote w:id="9">
    <w:p w:rsidR="003F1F78" w:rsidRDefault="003F1F78" w:rsidP="00D54C9D">
      <w:pPr>
        <w:pStyle w:val="Textodenotaderodap"/>
        <w:tabs>
          <w:tab w:val="left" w:pos="3240"/>
        </w:tabs>
        <w:jc w:val="both"/>
      </w:pPr>
      <w:r w:rsidRPr="00D54C9D">
        <w:rPr>
          <w:rStyle w:val="Refdenotaderodap"/>
        </w:rPr>
        <w:footnoteRef/>
      </w:r>
      <w:r w:rsidRPr="00D54C9D">
        <w:t xml:space="preserve"> Especificamente, foram capitalizados a Caixa Econômica Federal, o Banco da Amazônica e o Banco do Nordeste.</w:t>
      </w:r>
    </w:p>
  </w:footnote>
  <w:footnote w:id="10">
    <w:p w:rsidR="003F1F78" w:rsidRDefault="003F1F78">
      <w:pPr>
        <w:pStyle w:val="Textodenotaderodap"/>
      </w:pPr>
      <w:r>
        <w:rPr>
          <w:rStyle w:val="Refdenotaderodap"/>
        </w:rPr>
        <w:footnoteRef/>
      </w:r>
      <w:r>
        <w:t xml:space="preserve"> A incorporação destes recursos como capital nível II só ocorreu em 2009.</w:t>
      </w:r>
    </w:p>
  </w:footnote>
  <w:footnote w:id="11">
    <w:p w:rsidR="003F1F78" w:rsidRDefault="003F1F78" w:rsidP="00BC6398">
      <w:pPr>
        <w:pStyle w:val="Textodenotaderodap"/>
        <w:jc w:val="both"/>
      </w:pPr>
      <w:r w:rsidRPr="000628B6">
        <w:rPr>
          <w:rStyle w:val="Refdenotaderodap"/>
        </w:rPr>
        <w:footnoteRef/>
      </w:r>
      <w:r w:rsidRPr="000628B6">
        <w:t xml:space="preserve"> A Resolução 2.682/99 estabeleceu a classificação para operações de crédito, em ordem crescente de risco, bem como os percentuais para constituir a provisão para perdas, entrando em vigor a partir de março de 2000. Ao final do exercício de 2000, 43,9% da carteira de crédito consolidada do BNDES era classificada como AA e 90,1% como </w:t>
      </w:r>
      <w:proofErr w:type="spellStart"/>
      <w:r w:rsidRPr="000628B6">
        <w:rPr>
          <w:i/>
        </w:rPr>
        <w:t>investment</w:t>
      </w:r>
      <w:proofErr w:type="spellEnd"/>
      <w:r w:rsidRPr="000628B6">
        <w:rPr>
          <w:i/>
        </w:rPr>
        <w:t xml:space="preserve"> grade</w:t>
      </w:r>
      <w:r w:rsidRPr="000628B6">
        <w:t xml:space="preserve"> (AA, A ou B).</w:t>
      </w:r>
    </w:p>
  </w:footnote>
  <w:footnote w:id="12">
    <w:p w:rsidR="003F1F78" w:rsidRDefault="003F1F78" w:rsidP="006205C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Como indicado pelo BNDES (idem, p. 66), “[a</w:t>
      </w:r>
      <w:proofErr w:type="gramStart"/>
      <w:r>
        <w:t>]través</w:t>
      </w:r>
      <w:proofErr w:type="gramEnd"/>
      <w:r>
        <w:t xml:space="preserve"> da Resolução BACEN nº 2.837, de 30 de maio de 2001, foi possível o enquadramento dos Recursos Ordinários repassados pelo FAT – Fundo de Amparo ao Trabalhador – como dívida subordinada. (...) Adicionalmente, com base no </w:t>
      </w:r>
      <w:r w:rsidRPr="00082A32">
        <w:rPr>
          <w:i/>
        </w:rPr>
        <w:t>caput</w:t>
      </w:r>
      <w:r>
        <w:t xml:space="preserve"> do artigo 3º da Resolução (...), foi considerado que o valor relativo à Dívida Subordinada – Elegível a Capital seria igual a 50% do valor do Patrimônio Líquido Ajustado.”</w:t>
      </w:r>
    </w:p>
  </w:footnote>
  <w:footnote w:id="13">
    <w:p w:rsidR="003F1F78" w:rsidRDefault="003F1F78" w:rsidP="0046439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11A28">
        <w:t>Entre 2000 e 2002</w:t>
      </w:r>
      <w:r>
        <w:t>,</w:t>
      </w:r>
      <w:r w:rsidRPr="00C11A28">
        <w:t xml:space="preserve"> o capital social </w:t>
      </w:r>
      <w:r>
        <w:t xml:space="preserve">do BNDES </w:t>
      </w:r>
      <w:r w:rsidRPr="00C11A28">
        <w:t>se elevou em R$ 2,3 bilhões e a parcela de capital de nível II</w:t>
      </w:r>
      <w:r>
        <w:t xml:space="preserve"> se reduziu em R$ 5,7 bilhões.</w:t>
      </w:r>
    </w:p>
  </w:footnote>
  <w:footnote w:id="14">
    <w:p w:rsidR="003F1F78" w:rsidRDefault="003F1F78" w:rsidP="00BE650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</w:t>
      </w:r>
      <w:r w:rsidRPr="00D54C9D">
        <w:t xml:space="preserve">s fórmulas de cálculo do patrimônio líquido exigido (PLE) são alteradas diversas vezes no período, o cronograma de </w:t>
      </w:r>
      <w:proofErr w:type="gramStart"/>
      <w:r w:rsidRPr="00D54C9D">
        <w:t>implementação</w:t>
      </w:r>
      <w:proofErr w:type="gramEnd"/>
      <w:r w:rsidRPr="00D54C9D">
        <w:t xml:space="preserve"> também sofre várias alterações, assim como os procedimentos contábeis aceitos pelo Banco Central do Brasil</w:t>
      </w:r>
    </w:p>
  </w:footnote>
  <w:footnote w:id="15">
    <w:p w:rsidR="003F1F78" w:rsidRDefault="003F1F78" w:rsidP="00DF353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Para maiores detalhes sobre as medidas anticíclicas adotadas pelo governo, ver Sobreira e Paula, 2010.</w:t>
      </w:r>
    </w:p>
  </w:footnote>
  <w:footnote w:id="16">
    <w:p w:rsidR="003F1F78" w:rsidRDefault="003F1F78" w:rsidP="00B772B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crescimento médio real dos empréstimos neste período foi de 31,4%.</w:t>
      </w:r>
    </w:p>
  </w:footnote>
  <w:footnote w:id="17">
    <w:p w:rsidR="003F1F78" w:rsidRDefault="003F1F78" w:rsidP="00BA0C1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saída encontrada para fazer frente à elevação dos empréstimos sem uma redução correspondente no PR, com impactos perversos no índice de Basiléia do BNDES, foi sua capitalização com recursos do Tesouro, que passaram a constituir a principal parcela do </w:t>
      </w:r>
      <w:proofErr w:type="spellStart"/>
      <w:r>
        <w:rPr>
          <w:i/>
        </w:rPr>
        <w:t>funding</w:t>
      </w:r>
      <w:proofErr w:type="spellEnd"/>
      <w:r>
        <w:t xml:space="preserve"> do banco, superando até mesmo o FAT. Tais recursos não possuem o status de dívida subordinada e sim de obrigação comum.</w:t>
      </w:r>
    </w:p>
  </w:footnote>
  <w:footnote w:id="18">
    <w:p w:rsidR="003F1F78" w:rsidRDefault="003F1F78" w:rsidP="009A516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</w:t>
      </w:r>
      <w:r w:rsidRPr="00D54C9D">
        <w:t xml:space="preserve">penas </w:t>
      </w:r>
      <w:r>
        <w:t>no ano de</w:t>
      </w:r>
      <w:r w:rsidRPr="00D54C9D">
        <w:t xml:space="preserve"> 2003</w:t>
      </w:r>
      <w:r>
        <w:t>,</w:t>
      </w:r>
      <w:r w:rsidRPr="00D54C9D">
        <w:t xml:space="preserve"> o </w:t>
      </w:r>
      <w:r>
        <w:t>estoque</w:t>
      </w:r>
      <w:r w:rsidRPr="00D54C9D">
        <w:t xml:space="preserve"> de empréstimos (bem como o volume de desembolsos) se reduziu em relação ao ano anterior.</w:t>
      </w:r>
    </w:p>
  </w:footnote>
  <w:footnote w:id="19">
    <w:p w:rsidR="003F1F78" w:rsidRDefault="003F1F78" w:rsidP="001070B8">
      <w:pPr>
        <w:pStyle w:val="Textodenotaderodap"/>
        <w:tabs>
          <w:tab w:val="left" w:pos="3240"/>
        </w:tabs>
        <w:jc w:val="both"/>
      </w:pPr>
      <w:r w:rsidRPr="00D54C9D">
        <w:rPr>
          <w:rStyle w:val="Refdenotaderodap"/>
        </w:rPr>
        <w:footnoteRef/>
      </w:r>
      <w:r w:rsidRPr="00D54C9D">
        <w:t xml:space="preserve"> De acordo com a Resolução 2.099/1994, a rubrica “Créditos decorrentes de repasses de recursos a outras instituições </w:t>
      </w:r>
      <w:proofErr w:type="gramStart"/>
      <w:r w:rsidRPr="00D54C9D">
        <w:t>financeiras”, posteriormente denominada</w:t>
      </w:r>
      <w:proofErr w:type="gramEnd"/>
      <w:r w:rsidRPr="00D54C9D">
        <w:t xml:space="preserve"> “Repasses Interfinanceiros”, estava associada a um fator de ponderação de risco de 50% (risco reduzido), enquanto a rubrica “Operações de Crédito” estava associada a um fator de 100% (risco normal).</w:t>
      </w:r>
    </w:p>
  </w:footnote>
  <w:footnote w:id="20">
    <w:p w:rsidR="003F1F78" w:rsidRDefault="003F1F78" w:rsidP="001070B8">
      <w:pPr>
        <w:pStyle w:val="Textodenotaderodap"/>
        <w:jc w:val="both"/>
      </w:pPr>
      <w:r w:rsidRPr="008F6302">
        <w:rPr>
          <w:rStyle w:val="Refdenotaderodap"/>
        </w:rPr>
        <w:footnoteRef/>
      </w:r>
      <w:r w:rsidRPr="008F6302">
        <w:t xml:space="preserve"> As operações de curto prazo se referem ao curto prazo contábil, isto é, vincendas no exercício imediatamente seguinte àquele em que foram </w:t>
      </w:r>
      <w:proofErr w:type="gramStart"/>
      <w:r w:rsidRPr="008F6302">
        <w:t>implementadas</w:t>
      </w:r>
      <w:proofErr w:type="gramEnd"/>
      <w:r w:rsidRPr="008F6302">
        <w:t>.</w:t>
      </w:r>
    </w:p>
  </w:footnote>
  <w:footnote w:id="21">
    <w:p w:rsidR="003F1F78" w:rsidRDefault="003F1F78" w:rsidP="00D54C9D">
      <w:pPr>
        <w:pStyle w:val="Textodenotaderodap"/>
        <w:tabs>
          <w:tab w:val="left" w:pos="3240"/>
        </w:tabs>
        <w:jc w:val="both"/>
      </w:pPr>
      <w:r w:rsidRPr="00F309DA">
        <w:rPr>
          <w:rStyle w:val="Refdenotaderodap"/>
        </w:rPr>
        <w:footnoteRef/>
      </w:r>
      <w:r w:rsidRPr="00F309DA">
        <w:t xml:space="preserve"> Entre 2008 e 2010, o BNDES desembolsou US$ 26,2 bilhões para exportação, </w:t>
      </w:r>
      <w:r>
        <w:t xml:space="preserve">refletindo </w:t>
      </w:r>
      <w:r w:rsidRPr="00F309DA">
        <w:t xml:space="preserve">um crescimento de 60% em relação ao triênio anterior. </w:t>
      </w:r>
      <w:r>
        <w:t>No mesmo período,</w:t>
      </w:r>
      <w:r w:rsidRPr="00F309DA">
        <w:t xml:space="preserve"> </w:t>
      </w:r>
      <w:r>
        <w:t>as</w:t>
      </w:r>
      <w:r w:rsidRPr="00F309DA">
        <w:t xml:space="preserve"> concessões de crédito </w:t>
      </w:r>
      <w:r>
        <w:t xml:space="preserve">privado </w:t>
      </w:r>
      <w:r w:rsidRPr="00F309DA">
        <w:t>à exportação (</w:t>
      </w:r>
      <w:r>
        <w:t xml:space="preserve">aproximado pelas operações de </w:t>
      </w:r>
      <w:r w:rsidRPr="00F309DA">
        <w:t>ACC) recuaram 18,4% no mesmo período.</w:t>
      </w:r>
    </w:p>
  </w:footnote>
  <w:footnote w:id="22">
    <w:p w:rsidR="003F1F78" w:rsidRDefault="003F1F78" w:rsidP="00D54C9D">
      <w:pPr>
        <w:tabs>
          <w:tab w:val="left" w:pos="3240"/>
        </w:tabs>
        <w:jc w:val="both"/>
      </w:pPr>
      <w:r w:rsidRPr="00D54C9D">
        <w:rPr>
          <w:rStyle w:val="Refdenotaderodap"/>
          <w:sz w:val="20"/>
          <w:szCs w:val="20"/>
        </w:rPr>
        <w:footnoteRef/>
      </w:r>
      <w:r w:rsidRPr="00D54C9D">
        <w:rPr>
          <w:sz w:val="20"/>
          <w:szCs w:val="20"/>
        </w:rPr>
        <w:t xml:space="preserve"> Diante do maior crescimento econômico observado neste período e, conseqüentemente, menor pressão sobre as contas públicas – o que se traduziu em uma maior margem de manobra para perseguição das metas de superávit primário – o BNDES pôde deixar de repassar lucros ao Tesouro Nacional e contabilizá-los como capital próprio em seu passivo (a parcela de lucros acumulados atingiu 4,8% do passivo em 2007, ante 0,7% em 2004). Esta estratégia </w:t>
      </w:r>
      <w:r>
        <w:rPr>
          <w:sz w:val="20"/>
          <w:szCs w:val="20"/>
        </w:rPr>
        <w:t>parece</w:t>
      </w:r>
      <w:r w:rsidRPr="00D54C9D">
        <w:rPr>
          <w:sz w:val="20"/>
          <w:szCs w:val="20"/>
        </w:rPr>
        <w:t xml:space="preserve"> estar ligada a uma tendência de diversificação das fontes de recursos do BNDES (</w:t>
      </w:r>
      <w:proofErr w:type="spellStart"/>
      <w:r w:rsidRPr="00D54C9D">
        <w:rPr>
          <w:sz w:val="20"/>
          <w:szCs w:val="20"/>
        </w:rPr>
        <w:t>Prochnik</w:t>
      </w:r>
      <w:proofErr w:type="spellEnd"/>
      <w:r w:rsidRPr="00D54C9D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D54C9D">
        <w:rPr>
          <w:sz w:val="20"/>
          <w:szCs w:val="20"/>
        </w:rPr>
        <w:t xml:space="preserve"> Machado, 2008), dado o esgotamento relativo do FAT ante as necessidades do banco (</w:t>
      </w:r>
      <w:proofErr w:type="spellStart"/>
      <w:r w:rsidRPr="00D54C9D">
        <w:rPr>
          <w:sz w:val="20"/>
          <w:szCs w:val="20"/>
        </w:rPr>
        <w:t>Giambiagi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i/>
          <w:sz w:val="20"/>
          <w:szCs w:val="20"/>
        </w:rPr>
        <w:t>et</w:t>
      </w:r>
      <w:proofErr w:type="spellEnd"/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al</w:t>
      </w:r>
      <w:proofErr w:type="spellEnd"/>
      <w:r w:rsidRPr="00D54C9D">
        <w:rPr>
          <w:sz w:val="20"/>
          <w:szCs w:val="20"/>
        </w:rPr>
        <w:t>, 2009), mas não parece ter relação direta com o fato de o Banco ter se ajustado mais fortemente aos requisitos de Basiléia.</w:t>
      </w:r>
    </w:p>
  </w:footnote>
  <w:footnote w:id="23">
    <w:p w:rsidR="003F1F78" w:rsidRDefault="003F1F78" w:rsidP="0027594F">
      <w:pPr>
        <w:pStyle w:val="Textodenotaderodap"/>
        <w:tabs>
          <w:tab w:val="left" w:pos="3240"/>
        </w:tabs>
        <w:jc w:val="both"/>
      </w:pPr>
      <w:r w:rsidRPr="00D54C9D">
        <w:rPr>
          <w:rStyle w:val="Refdenotaderodap"/>
        </w:rPr>
        <w:footnoteRef/>
      </w:r>
      <w:r w:rsidRPr="00D54C9D">
        <w:t xml:space="preserve"> Tal fato ocorreu devido à troca, entre o BNB e o Tesouro Nacional, de créditos de baixa qualidade por títulos do Tesouro no âmbito do PROEF. Com esta operação, o Tesouro adquiriu os créditos de baixa remuneração e/ou difícil recuperação, eliminando sua participação na carteira de crédito do BNB e ampliando, por conseguinte, a parcela de créditos de boa qualidade na carteira de crédito do Banco.</w:t>
      </w:r>
    </w:p>
  </w:footnote>
  <w:footnote w:id="24">
    <w:p w:rsidR="003F1F78" w:rsidRPr="00C622E3" w:rsidRDefault="003F1F78" w:rsidP="00C622E3">
      <w:pPr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C622E3">
        <w:rPr>
          <w:sz w:val="20"/>
          <w:szCs w:val="20"/>
        </w:rPr>
        <w:t>Há que se notar</w:t>
      </w:r>
      <w:r>
        <w:rPr>
          <w:sz w:val="20"/>
          <w:szCs w:val="20"/>
        </w:rPr>
        <w:t xml:space="preserve"> </w:t>
      </w:r>
      <w:r w:rsidRPr="00C622E3">
        <w:rPr>
          <w:sz w:val="20"/>
          <w:szCs w:val="20"/>
        </w:rPr>
        <w:t>que, no caso do BNB, a distinção entre créditos diretos e indiretos é pouco relevante. Estes últimos representaram menos de 5% do total de empréstimos ao longo de praticamente todo o período de análise (1998-2010</w:t>
      </w:r>
      <w:r>
        <w:rPr>
          <w:sz w:val="20"/>
          <w:szCs w:val="20"/>
        </w:rPr>
        <w:t>).</w:t>
      </w:r>
    </w:p>
    <w:p w:rsidR="003F1F78" w:rsidRDefault="003F1F78" w:rsidP="00C622E3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59" w:rsidRDefault="00BC3A5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59" w:rsidRDefault="00BC3A5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59" w:rsidRDefault="00BC3A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C55CA"/>
    <w:rsid w:val="00006814"/>
    <w:rsid w:val="00007B99"/>
    <w:rsid w:val="00007BBC"/>
    <w:rsid w:val="00011BD5"/>
    <w:rsid w:val="00011E62"/>
    <w:rsid w:val="00013B2C"/>
    <w:rsid w:val="00014F6B"/>
    <w:rsid w:val="00017120"/>
    <w:rsid w:val="000171C3"/>
    <w:rsid w:val="000173A3"/>
    <w:rsid w:val="00020637"/>
    <w:rsid w:val="00021667"/>
    <w:rsid w:val="000228FB"/>
    <w:rsid w:val="0002506E"/>
    <w:rsid w:val="0003287B"/>
    <w:rsid w:val="000328FE"/>
    <w:rsid w:val="000347D3"/>
    <w:rsid w:val="0003714B"/>
    <w:rsid w:val="000375CD"/>
    <w:rsid w:val="00040830"/>
    <w:rsid w:val="00040E29"/>
    <w:rsid w:val="0004109C"/>
    <w:rsid w:val="000422A9"/>
    <w:rsid w:val="00042E56"/>
    <w:rsid w:val="00044332"/>
    <w:rsid w:val="0004620C"/>
    <w:rsid w:val="00055D35"/>
    <w:rsid w:val="000609CB"/>
    <w:rsid w:val="000628B6"/>
    <w:rsid w:val="00063DC7"/>
    <w:rsid w:val="000646CA"/>
    <w:rsid w:val="000649DF"/>
    <w:rsid w:val="00064D84"/>
    <w:rsid w:val="000664DF"/>
    <w:rsid w:val="00071AD7"/>
    <w:rsid w:val="00072333"/>
    <w:rsid w:val="000732C7"/>
    <w:rsid w:val="00080146"/>
    <w:rsid w:val="00081843"/>
    <w:rsid w:val="00082489"/>
    <w:rsid w:val="00082A32"/>
    <w:rsid w:val="00084718"/>
    <w:rsid w:val="000907C0"/>
    <w:rsid w:val="00091386"/>
    <w:rsid w:val="00091E28"/>
    <w:rsid w:val="000948FF"/>
    <w:rsid w:val="00095A08"/>
    <w:rsid w:val="00096CA4"/>
    <w:rsid w:val="00097970"/>
    <w:rsid w:val="000A34C8"/>
    <w:rsid w:val="000A3957"/>
    <w:rsid w:val="000A3AC6"/>
    <w:rsid w:val="000A4B0B"/>
    <w:rsid w:val="000B5859"/>
    <w:rsid w:val="000B59E7"/>
    <w:rsid w:val="000B72E5"/>
    <w:rsid w:val="000C03A5"/>
    <w:rsid w:val="000C07DB"/>
    <w:rsid w:val="000C2314"/>
    <w:rsid w:val="000C4D61"/>
    <w:rsid w:val="000C6BB3"/>
    <w:rsid w:val="000C750C"/>
    <w:rsid w:val="000C798A"/>
    <w:rsid w:val="000C79FF"/>
    <w:rsid w:val="000D11FF"/>
    <w:rsid w:val="000D43A1"/>
    <w:rsid w:val="000D43EA"/>
    <w:rsid w:val="000D448B"/>
    <w:rsid w:val="000D52B4"/>
    <w:rsid w:val="000E076A"/>
    <w:rsid w:val="000E0828"/>
    <w:rsid w:val="000E1554"/>
    <w:rsid w:val="000E159C"/>
    <w:rsid w:val="000E1BBF"/>
    <w:rsid w:val="000E1C1E"/>
    <w:rsid w:val="000E25D1"/>
    <w:rsid w:val="000E293E"/>
    <w:rsid w:val="000E6F28"/>
    <w:rsid w:val="000F1555"/>
    <w:rsid w:val="000F1CFF"/>
    <w:rsid w:val="000F2634"/>
    <w:rsid w:val="000F3F68"/>
    <w:rsid w:val="000F5169"/>
    <w:rsid w:val="000F5DDA"/>
    <w:rsid w:val="000F67A3"/>
    <w:rsid w:val="000F6B9B"/>
    <w:rsid w:val="001004F8"/>
    <w:rsid w:val="001046CB"/>
    <w:rsid w:val="00104D20"/>
    <w:rsid w:val="00105686"/>
    <w:rsid w:val="001060C3"/>
    <w:rsid w:val="001070B8"/>
    <w:rsid w:val="00107330"/>
    <w:rsid w:val="001078D6"/>
    <w:rsid w:val="00111ADC"/>
    <w:rsid w:val="00112DBC"/>
    <w:rsid w:val="001169C1"/>
    <w:rsid w:val="00116FE4"/>
    <w:rsid w:val="001204D3"/>
    <w:rsid w:val="00120A8B"/>
    <w:rsid w:val="001214D9"/>
    <w:rsid w:val="00122E74"/>
    <w:rsid w:val="001239F7"/>
    <w:rsid w:val="00125369"/>
    <w:rsid w:val="00130C61"/>
    <w:rsid w:val="001312AB"/>
    <w:rsid w:val="00135163"/>
    <w:rsid w:val="001421D7"/>
    <w:rsid w:val="00142C1F"/>
    <w:rsid w:val="00143AA3"/>
    <w:rsid w:val="001507BE"/>
    <w:rsid w:val="00150D66"/>
    <w:rsid w:val="001517A9"/>
    <w:rsid w:val="00152E3F"/>
    <w:rsid w:val="00155745"/>
    <w:rsid w:val="00161000"/>
    <w:rsid w:val="00161866"/>
    <w:rsid w:val="00163ABA"/>
    <w:rsid w:val="0017069C"/>
    <w:rsid w:val="00170C02"/>
    <w:rsid w:val="001728D9"/>
    <w:rsid w:val="00173D6C"/>
    <w:rsid w:val="00174A30"/>
    <w:rsid w:val="00174D34"/>
    <w:rsid w:val="001751C6"/>
    <w:rsid w:val="00175BBE"/>
    <w:rsid w:val="00175C60"/>
    <w:rsid w:val="00180E52"/>
    <w:rsid w:val="001824CB"/>
    <w:rsid w:val="00184A79"/>
    <w:rsid w:val="00185E75"/>
    <w:rsid w:val="001875F5"/>
    <w:rsid w:val="0019126F"/>
    <w:rsid w:val="0019170E"/>
    <w:rsid w:val="00194A87"/>
    <w:rsid w:val="001961C1"/>
    <w:rsid w:val="0019718E"/>
    <w:rsid w:val="001A2A3C"/>
    <w:rsid w:val="001A5664"/>
    <w:rsid w:val="001A6058"/>
    <w:rsid w:val="001A6868"/>
    <w:rsid w:val="001A7165"/>
    <w:rsid w:val="001A7393"/>
    <w:rsid w:val="001A78DA"/>
    <w:rsid w:val="001B4C16"/>
    <w:rsid w:val="001B740C"/>
    <w:rsid w:val="001B7478"/>
    <w:rsid w:val="001C225B"/>
    <w:rsid w:val="001C42C2"/>
    <w:rsid w:val="001C6E2D"/>
    <w:rsid w:val="001C723B"/>
    <w:rsid w:val="001D20D6"/>
    <w:rsid w:val="001D6C0C"/>
    <w:rsid w:val="001D6E08"/>
    <w:rsid w:val="001D7E97"/>
    <w:rsid w:val="001E199F"/>
    <w:rsid w:val="001E3342"/>
    <w:rsid w:val="001E4452"/>
    <w:rsid w:val="001E7871"/>
    <w:rsid w:val="001E7AE4"/>
    <w:rsid w:val="001F0A90"/>
    <w:rsid w:val="001F2900"/>
    <w:rsid w:val="001F2D30"/>
    <w:rsid w:val="001F4CAA"/>
    <w:rsid w:val="001F4EEA"/>
    <w:rsid w:val="001F696F"/>
    <w:rsid w:val="001F6B0A"/>
    <w:rsid w:val="001F6C70"/>
    <w:rsid w:val="002023BA"/>
    <w:rsid w:val="00205126"/>
    <w:rsid w:val="002055A7"/>
    <w:rsid w:val="00217A49"/>
    <w:rsid w:val="0022250A"/>
    <w:rsid w:val="002254DC"/>
    <w:rsid w:val="0022624B"/>
    <w:rsid w:val="00226F27"/>
    <w:rsid w:val="002274AD"/>
    <w:rsid w:val="00232D71"/>
    <w:rsid w:val="002354D7"/>
    <w:rsid w:val="002378E6"/>
    <w:rsid w:val="0023791D"/>
    <w:rsid w:val="00237CB2"/>
    <w:rsid w:val="002412CF"/>
    <w:rsid w:val="00243B19"/>
    <w:rsid w:val="00245DF9"/>
    <w:rsid w:val="0025089E"/>
    <w:rsid w:val="00253FFC"/>
    <w:rsid w:val="00254E32"/>
    <w:rsid w:val="00254FCB"/>
    <w:rsid w:val="0025515D"/>
    <w:rsid w:val="00257850"/>
    <w:rsid w:val="00262178"/>
    <w:rsid w:val="002739B2"/>
    <w:rsid w:val="00273ECC"/>
    <w:rsid w:val="0027486F"/>
    <w:rsid w:val="00275552"/>
    <w:rsid w:val="0027594F"/>
    <w:rsid w:val="002770A3"/>
    <w:rsid w:val="002804FC"/>
    <w:rsid w:val="002806BB"/>
    <w:rsid w:val="002808A1"/>
    <w:rsid w:val="002821DC"/>
    <w:rsid w:val="00282264"/>
    <w:rsid w:val="00286614"/>
    <w:rsid w:val="002879C7"/>
    <w:rsid w:val="0029191D"/>
    <w:rsid w:val="00291E9A"/>
    <w:rsid w:val="00291F9C"/>
    <w:rsid w:val="00293523"/>
    <w:rsid w:val="00294F22"/>
    <w:rsid w:val="00296E72"/>
    <w:rsid w:val="002A05E3"/>
    <w:rsid w:val="002A4334"/>
    <w:rsid w:val="002B0266"/>
    <w:rsid w:val="002B0762"/>
    <w:rsid w:val="002B14EC"/>
    <w:rsid w:val="002B1E92"/>
    <w:rsid w:val="002B278C"/>
    <w:rsid w:val="002B3798"/>
    <w:rsid w:val="002B4F68"/>
    <w:rsid w:val="002B53D1"/>
    <w:rsid w:val="002B780E"/>
    <w:rsid w:val="002D11CA"/>
    <w:rsid w:val="002D4B59"/>
    <w:rsid w:val="002D6327"/>
    <w:rsid w:val="002E0D31"/>
    <w:rsid w:val="002E2A27"/>
    <w:rsid w:val="002E57E0"/>
    <w:rsid w:val="002E7E8B"/>
    <w:rsid w:val="002F2AE6"/>
    <w:rsid w:val="002F6E1E"/>
    <w:rsid w:val="002F7262"/>
    <w:rsid w:val="002F755A"/>
    <w:rsid w:val="002F7C22"/>
    <w:rsid w:val="003025AE"/>
    <w:rsid w:val="00305EF5"/>
    <w:rsid w:val="00306CFD"/>
    <w:rsid w:val="003073E0"/>
    <w:rsid w:val="0031220E"/>
    <w:rsid w:val="003123E0"/>
    <w:rsid w:val="003158A0"/>
    <w:rsid w:val="00315922"/>
    <w:rsid w:val="00315CB4"/>
    <w:rsid w:val="00317A21"/>
    <w:rsid w:val="0032116B"/>
    <w:rsid w:val="00321C82"/>
    <w:rsid w:val="00323602"/>
    <w:rsid w:val="00323A01"/>
    <w:rsid w:val="00324311"/>
    <w:rsid w:val="00326973"/>
    <w:rsid w:val="003276C9"/>
    <w:rsid w:val="00330261"/>
    <w:rsid w:val="003322FF"/>
    <w:rsid w:val="00333897"/>
    <w:rsid w:val="00333A28"/>
    <w:rsid w:val="00337480"/>
    <w:rsid w:val="00337FE3"/>
    <w:rsid w:val="00342B54"/>
    <w:rsid w:val="003440C7"/>
    <w:rsid w:val="0034416F"/>
    <w:rsid w:val="00344EB3"/>
    <w:rsid w:val="003458CA"/>
    <w:rsid w:val="0034768C"/>
    <w:rsid w:val="003478B7"/>
    <w:rsid w:val="00350215"/>
    <w:rsid w:val="00351D9A"/>
    <w:rsid w:val="00353F87"/>
    <w:rsid w:val="0035642A"/>
    <w:rsid w:val="00357001"/>
    <w:rsid w:val="00360A0C"/>
    <w:rsid w:val="00361547"/>
    <w:rsid w:val="00367957"/>
    <w:rsid w:val="00367A5B"/>
    <w:rsid w:val="00367F90"/>
    <w:rsid w:val="00370A97"/>
    <w:rsid w:val="00371660"/>
    <w:rsid w:val="00372A8B"/>
    <w:rsid w:val="00373F0F"/>
    <w:rsid w:val="00374187"/>
    <w:rsid w:val="00376624"/>
    <w:rsid w:val="00376A0A"/>
    <w:rsid w:val="00376DCF"/>
    <w:rsid w:val="00380749"/>
    <w:rsid w:val="00382E9E"/>
    <w:rsid w:val="0038499E"/>
    <w:rsid w:val="00385280"/>
    <w:rsid w:val="00385AF6"/>
    <w:rsid w:val="00387502"/>
    <w:rsid w:val="00387768"/>
    <w:rsid w:val="0039184B"/>
    <w:rsid w:val="00393C11"/>
    <w:rsid w:val="0039503C"/>
    <w:rsid w:val="003A3019"/>
    <w:rsid w:val="003A4E83"/>
    <w:rsid w:val="003A55A0"/>
    <w:rsid w:val="003A5E64"/>
    <w:rsid w:val="003A60A4"/>
    <w:rsid w:val="003B088A"/>
    <w:rsid w:val="003B6E5C"/>
    <w:rsid w:val="003D0AD2"/>
    <w:rsid w:val="003D13AE"/>
    <w:rsid w:val="003D22E3"/>
    <w:rsid w:val="003D2EE9"/>
    <w:rsid w:val="003D3056"/>
    <w:rsid w:val="003D6DA9"/>
    <w:rsid w:val="003E46B3"/>
    <w:rsid w:val="003E4868"/>
    <w:rsid w:val="003E4B99"/>
    <w:rsid w:val="003F0FFC"/>
    <w:rsid w:val="003F117F"/>
    <w:rsid w:val="003F1F78"/>
    <w:rsid w:val="003F36C6"/>
    <w:rsid w:val="003F468D"/>
    <w:rsid w:val="003F5B8F"/>
    <w:rsid w:val="003F6A66"/>
    <w:rsid w:val="00401678"/>
    <w:rsid w:val="00403791"/>
    <w:rsid w:val="00403B0D"/>
    <w:rsid w:val="00404579"/>
    <w:rsid w:val="00404E47"/>
    <w:rsid w:val="00405295"/>
    <w:rsid w:val="00405E4E"/>
    <w:rsid w:val="004063BD"/>
    <w:rsid w:val="00410635"/>
    <w:rsid w:val="00411C57"/>
    <w:rsid w:val="004122CC"/>
    <w:rsid w:val="004123F5"/>
    <w:rsid w:val="00412672"/>
    <w:rsid w:val="004130BE"/>
    <w:rsid w:val="00414031"/>
    <w:rsid w:val="00414787"/>
    <w:rsid w:val="0041706E"/>
    <w:rsid w:val="004172B8"/>
    <w:rsid w:val="004206EE"/>
    <w:rsid w:val="00425372"/>
    <w:rsid w:val="004256B5"/>
    <w:rsid w:val="004258EC"/>
    <w:rsid w:val="004261F2"/>
    <w:rsid w:val="00426568"/>
    <w:rsid w:val="0042787B"/>
    <w:rsid w:val="00432581"/>
    <w:rsid w:val="00435966"/>
    <w:rsid w:val="00436352"/>
    <w:rsid w:val="00442B07"/>
    <w:rsid w:val="0044308F"/>
    <w:rsid w:val="00443D03"/>
    <w:rsid w:val="00444F04"/>
    <w:rsid w:val="00447C82"/>
    <w:rsid w:val="00450B41"/>
    <w:rsid w:val="00450C67"/>
    <w:rsid w:val="00452C80"/>
    <w:rsid w:val="00454BD0"/>
    <w:rsid w:val="0045677C"/>
    <w:rsid w:val="00456D44"/>
    <w:rsid w:val="00457E90"/>
    <w:rsid w:val="0046042A"/>
    <w:rsid w:val="0046439D"/>
    <w:rsid w:val="00465526"/>
    <w:rsid w:val="00465772"/>
    <w:rsid w:val="00470DEA"/>
    <w:rsid w:val="00473072"/>
    <w:rsid w:val="00474D65"/>
    <w:rsid w:val="004771B1"/>
    <w:rsid w:val="00483525"/>
    <w:rsid w:val="0049215E"/>
    <w:rsid w:val="0049342F"/>
    <w:rsid w:val="00494C45"/>
    <w:rsid w:val="004963F4"/>
    <w:rsid w:val="004A137A"/>
    <w:rsid w:val="004A1FA2"/>
    <w:rsid w:val="004A379D"/>
    <w:rsid w:val="004A3A8B"/>
    <w:rsid w:val="004A55DF"/>
    <w:rsid w:val="004A57AB"/>
    <w:rsid w:val="004A7234"/>
    <w:rsid w:val="004A7850"/>
    <w:rsid w:val="004B0F32"/>
    <w:rsid w:val="004B1837"/>
    <w:rsid w:val="004B2A91"/>
    <w:rsid w:val="004B3610"/>
    <w:rsid w:val="004B36E3"/>
    <w:rsid w:val="004B3717"/>
    <w:rsid w:val="004B4B01"/>
    <w:rsid w:val="004B5E66"/>
    <w:rsid w:val="004C2190"/>
    <w:rsid w:val="004C4B21"/>
    <w:rsid w:val="004C626D"/>
    <w:rsid w:val="004D4033"/>
    <w:rsid w:val="004D4F7D"/>
    <w:rsid w:val="004D593D"/>
    <w:rsid w:val="004D5F33"/>
    <w:rsid w:val="004D744B"/>
    <w:rsid w:val="004E0B02"/>
    <w:rsid w:val="004E5307"/>
    <w:rsid w:val="004E5B92"/>
    <w:rsid w:val="004E5D13"/>
    <w:rsid w:val="004F0336"/>
    <w:rsid w:val="004F0698"/>
    <w:rsid w:val="004F11B0"/>
    <w:rsid w:val="004F2951"/>
    <w:rsid w:val="004F392D"/>
    <w:rsid w:val="004F3B92"/>
    <w:rsid w:val="004F6738"/>
    <w:rsid w:val="005000D3"/>
    <w:rsid w:val="00500A3F"/>
    <w:rsid w:val="005029A6"/>
    <w:rsid w:val="00522280"/>
    <w:rsid w:val="00522AF9"/>
    <w:rsid w:val="005241C3"/>
    <w:rsid w:val="00525399"/>
    <w:rsid w:val="005305D3"/>
    <w:rsid w:val="005317F0"/>
    <w:rsid w:val="00533490"/>
    <w:rsid w:val="0053611A"/>
    <w:rsid w:val="00537608"/>
    <w:rsid w:val="005408DD"/>
    <w:rsid w:val="00543A63"/>
    <w:rsid w:val="00552461"/>
    <w:rsid w:val="00553F05"/>
    <w:rsid w:val="00555DB6"/>
    <w:rsid w:val="005626D4"/>
    <w:rsid w:val="005710ED"/>
    <w:rsid w:val="00571902"/>
    <w:rsid w:val="00573D6D"/>
    <w:rsid w:val="00574484"/>
    <w:rsid w:val="00590CB3"/>
    <w:rsid w:val="00591F38"/>
    <w:rsid w:val="0059493F"/>
    <w:rsid w:val="00597C09"/>
    <w:rsid w:val="005A0306"/>
    <w:rsid w:val="005A22E0"/>
    <w:rsid w:val="005A3EF3"/>
    <w:rsid w:val="005A5B32"/>
    <w:rsid w:val="005A7EAF"/>
    <w:rsid w:val="005B040C"/>
    <w:rsid w:val="005B16F9"/>
    <w:rsid w:val="005B2E8A"/>
    <w:rsid w:val="005B3D6E"/>
    <w:rsid w:val="005B6277"/>
    <w:rsid w:val="005C0FAA"/>
    <w:rsid w:val="005C2A60"/>
    <w:rsid w:val="005C64BC"/>
    <w:rsid w:val="005C64DE"/>
    <w:rsid w:val="005C682C"/>
    <w:rsid w:val="005D133C"/>
    <w:rsid w:val="005D2543"/>
    <w:rsid w:val="005D5576"/>
    <w:rsid w:val="005D564C"/>
    <w:rsid w:val="005D5ADC"/>
    <w:rsid w:val="005E04D2"/>
    <w:rsid w:val="005E060E"/>
    <w:rsid w:val="005E48B0"/>
    <w:rsid w:val="005E7E18"/>
    <w:rsid w:val="005F0A54"/>
    <w:rsid w:val="005F220B"/>
    <w:rsid w:val="005F22C4"/>
    <w:rsid w:val="005F454B"/>
    <w:rsid w:val="005F5AC1"/>
    <w:rsid w:val="005F60A1"/>
    <w:rsid w:val="006005D2"/>
    <w:rsid w:val="00602D41"/>
    <w:rsid w:val="006045CF"/>
    <w:rsid w:val="006157FB"/>
    <w:rsid w:val="006205CE"/>
    <w:rsid w:val="006208B5"/>
    <w:rsid w:val="00621ACD"/>
    <w:rsid w:val="0062286F"/>
    <w:rsid w:val="00622E69"/>
    <w:rsid w:val="006251C3"/>
    <w:rsid w:val="00625A81"/>
    <w:rsid w:val="00625DF1"/>
    <w:rsid w:val="00626040"/>
    <w:rsid w:val="0062651B"/>
    <w:rsid w:val="006317DC"/>
    <w:rsid w:val="00632833"/>
    <w:rsid w:val="00634B02"/>
    <w:rsid w:val="00641319"/>
    <w:rsid w:val="00644089"/>
    <w:rsid w:val="00644CD7"/>
    <w:rsid w:val="00646B56"/>
    <w:rsid w:val="00651887"/>
    <w:rsid w:val="006521F5"/>
    <w:rsid w:val="0065233B"/>
    <w:rsid w:val="00657D5D"/>
    <w:rsid w:val="006608C3"/>
    <w:rsid w:val="00661160"/>
    <w:rsid w:val="00662191"/>
    <w:rsid w:val="006646F9"/>
    <w:rsid w:val="006700E9"/>
    <w:rsid w:val="00671336"/>
    <w:rsid w:val="00671DB1"/>
    <w:rsid w:val="00672D2F"/>
    <w:rsid w:val="006745BE"/>
    <w:rsid w:val="00677C65"/>
    <w:rsid w:val="0068079A"/>
    <w:rsid w:val="00680BBF"/>
    <w:rsid w:val="006816B0"/>
    <w:rsid w:val="0068256B"/>
    <w:rsid w:val="00683E00"/>
    <w:rsid w:val="00684741"/>
    <w:rsid w:val="00684DA7"/>
    <w:rsid w:val="006943D7"/>
    <w:rsid w:val="00694977"/>
    <w:rsid w:val="006A0DF7"/>
    <w:rsid w:val="006A1B20"/>
    <w:rsid w:val="006B319E"/>
    <w:rsid w:val="006B389D"/>
    <w:rsid w:val="006B5A55"/>
    <w:rsid w:val="006B6898"/>
    <w:rsid w:val="006B7E21"/>
    <w:rsid w:val="006C13DB"/>
    <w:rsid w:val="006C1B81"/>
    <w:rsid w:val="006C505E"/>
    <w:rsid w:val="006D0177"/>
    <w:rsid w:val="006D3FD5"/>
    <w:rsid w:val="006D49D7"/>
    <w:rsid w:val="006D4D5D"/>
    <w:rsid w:val="006D6B4A"/>
    <w:rsid w:val="006E014B"/>
    <w:rsid w:val="006E0273"/>
    <w:rsid w:val="006E1354"/>
    <w:rsid w:val="006E7037"/>
    <w:rsid w:val="006E7068"/>
    <w:rsid w:val="006F0B18"/>
    <w:rsid w:val="006F53A2"/>
    <w:rsid w:val="006F780D"/>
    <w:rsid w:val="00700658"/>
    <w:rsid w:val="00702684"/>
    <w:rsid w:val="0070357D"/>
    <w:rsid w:val="0070403D"/>
    <w:rsid w:val="00704BDE"/>
    <w:rsid w:val="00705405"/>
    <w:rsid w:val="00707F0F"/>
    <w:rsid w:val="00712763"/>
    <w:rsid w:val="0071418C"/>
    <w:rsid w:val="00714EE6"/>
    <w:rsid w:val="00721C1E"/>
    <w:rsid w:val="00723709"/>
    <w:rsid w:val="00727B03"/>
    <w:rsid w:val="007310AC"/>
    <w:rsid w:val="0073261F"/>
    <w:rsid w:val="007369C2"/>
    <w:rsid w:val="00736BBF"/>
    <w:rsid w:val="00736D2A"/>
    <w:rsid w:val="00741D0B"/>
    <w:rsid w:val="00742AF4"/>
    <w:rsid w:val="00743E7E"/>
    <w:rsid w:val="00744031"/>
    <w:rsid w:val="00744F0B"/>
    <w:rsid w:val="00746600"/>
    <w:rsid w:val="00750894"/>
    <w:rsid w:val="00752A7C"/>
    <w:rsid w:val="007609CA"/>
    <w:rsid w:val="00766CA2"/>
    <w:rsid w:val="007671EB"/>
    <w:rsid w:val="007704E5"/>
    <w:rsid w:val="00771B37"/>
    <w:rsid w:val="007737D9"/>
    <w:rsid w:val="00782DC7"/>
    <w:rsid w:val="0078397E"/>
    <w:rsid w:val="00784C77"/>
    <w:rsid w:val="00787506"/>
    <w:rsid w:val="0079043E"/>
    <w:rsid w:val="0079434B"/>
    <w:rsid w:val="00794EEB"/>
    <w:rsid w:val="007961AC"/>
    <w:rsid w:val="007A16BD"/>
    <w:rsid w:val="007A3504"/>
    <w:rsid w:val="007A3F0A"/>
    <w:rsid w:val="007A4E3F"/>
    <w:rsid w:val="007B360B"/>
    <w:rsid w:val="007B4638"/>
    <w:rsid w:val="007B67A2"/>
    <w:rsid w:val="007C2609"/>
    <w:rsid w:val="007C48F3"/>
    <w:rsid w:val="007C6B28"/>
    <w:rsid w:val="007C71F5"/>
    <w:rsid w:val="007C790F"/>
    <w:rsid w:val="007C7EFB"/>
    <w:rsid w:val="007D0061"/>
    <w:rsid w:val="007D179D"/>
    <w:rsid w:val="007D3B7B"/>
    <w:rsid w:val="007D4672"/>
    <w:rsid w:val="007D6BC3"/>
    <w:rsid w:val="007E1A06"/>
    <w:rsid w:val="007E41C9"/>
    <w:rsid w:val="007E442E"/>
    <w:rsid w:val="007E6A21"/>
    <w:rsid w:val="007E7DCA"/>
    <w:rsid w:val="007F05A8"/>
    <w:rsid w:val="007F47B8"/>
    <w:rsid w:val="007F5507"/>
    <w:rsid w:val="00800C52"/>
    <w:rsid w:val="00800FDD"/>
    <w:rsid w:val="00807619"/>
    <w:rsid w:val="0081259F"/>
    <w:rsid w:val="00813FC1"/>
    <w:rsid w:val="00814615"/>
    <w:rsid w:val="00814F7F"/>
    <w:rsid w:val="0081589B"/>
    <w:rsid w:val="00822BC1"/>
    <w:rsid w:val="008254CB"/>
    <w:rsid w:val="008308DE"/>
    <w:rsid w:val="00833F37"/>
    <w:rsid w:val="00834CCF"/>
    <w:rsid w:val="00834F7A"/>
    <w:rsid w:val="008401AC"/>
    <w:rsid w:val="00841CFE"/>
    <w:rsid w:val="00850673"/>
    <w:rsid w:val="00852D54"/>
    <w:rsid w:val="00853433"/>
    <w:rsid w:val="008538C1"/>
    <w:rsid w:val="00853BCE"/>
    <w:rsid w:val="00856555"/>
    <w:rsid w:val="00856F29"/>
    <w:rsid w:val="00861753"/>
    <w:rsid w:val="008624F2"/>
    <w:rsid w:val="008713B8"/>
    <w:rsid w:val="00873FBC"/>
    <w:rsid w:val="00874BFF"/>
    <w:rsid w:val="008766AE"/>
    <w:rsid w:val="00876912"/>
    <w:rsid w:val="008770A6"/>
    <w:rsid w:val="00877A70"/>
    <w:rsid w:val="00877AD5"/>
    <w:rsid w:val="00877CE6"/>
    <w:rsid w:val="00877D3F"/>
    <w:rsid w:val="00880232"/>
    <w:rsid w:val="00881BB1"/>
    <w:rsid w:val="00882C72"/>
    <w:rsid w:val="00882CF8"/>
    <w:rsid w:val="00886AC0"/>
    <w:rsid w:val="00886EC0"/>
    <w:rsid w:val="00887932"/>
    <w:rsid w:val="00887BF3"/>
    <w:rsid w:val="00890953"/>
    <w:rsid w:val="00890E4C"/>
    <w:rsid w:val="00891FD5"/>
    <w:rsid w:val="008926D4"/>
    <w:rsid w:val="00893CF1"/>
    <w:rsid w:val="00894693"/>
    <w:rsid w:val="00895BCC"/>
    <w:rsid w:val="0089708E"/>
    <w:rsid w:val="00897443"/>
    <w:rsid w:val="00897996"/>
    <w:rsid w:val="00897E7A"/>
    <w:rsid w:val="008A157F"/>
    <w:rsid w:val="008A32B2"/>
    <w:rsid w:val="008A41AD"/>
    <w:rsid w:val="008B42C5"/>
    <w:rsid w:val="008B7858"/>
    <w:rsid w:val="008C22C3"/>
    <w:rsid w:val="008C40D5"/>
    <w:rsid w:val="008C4854"/>
    <w:rsid w:val="008D2304"/>
    <w:rsid w:val="008D5284"/>
    <w:rsid w:val="008D6BEB"/>
    <w:rsid w:val="008E1AEA"/>
    <w:rsid w:val="008E1F66"/>
    <w:rsid w:val="008E30AE"/>
    <w:rsid w:val="008E3A0C"/>
    <w:rsid w:val="008E67F1"/>
    <w:rsid w:val="008E6B59"/>
    <w:rsid w:val="008F099D"/>
    <w:rsid w:val="008F4337"/>
    <w:rsid w:val="008F6302"/>
    <w:rsid w:val="00901383"/>
    <w:rsid w:val="009032CF"/>
    <w:rsid w:val="009057C4"/>
    <w:rsid w:val="00907127"/>
    <w:rsid w:val="00912240"/>
    <w:rsid w:val="0091360A"/>
    <w:rsid w:val="00916495"/>
    <w:rsid w:val="00916959"/>
    <w:rsid w:val="009243D2"/>
    <w:rsid w:val="0092778E"/>
    <w:rsid w:val="0093088C"/>
    <w:rsid w:val="009323ED"/>
    <w:rsid w:val="00933D45"/>
    <w:rsid w:val="00934C1D"/>
    <w:rsid w:val="00935F0A"/>
    <w:rsid w:val="0093702D"/>
    <w:rsid w:val="009378A2"/>
    <w:rsid w:val="00937F27"/>
    <w:rsid w:val="00940474"/>
    <w:rsid w:val="009440AD"/>
    <w:rsid w:val="00946045"/>
    <w:rsid w:val="00947B84"/>
    <w:rsid w:val="0095061B"/>
    <w:rsid w:val="0095111C"/>
    <w:rsid w:val="00952D0F"/>
    <w:rsid w:val="009539BF"/>
    <w:rsid w:val="0095461F"/>
    <w:rsid w:val="0095541D"/>
    <w:rsid w:val="00956126"/>
    <w:rsid w:val="00962CE5"/>
    <w:rsid w:val="0096397A"/>
    <w:rsid w:val="0096584E"/>
    <w:rsid w:val="00970634"/>
    <w:rsid w:val="00971AAF"/>
    <w:rsid w:val="00977041"/>
    <w:rsid w:val="00984D74"/>
    <w:rsid w:val="009867F1"/>
    <w:rsid w:val="009868C1"/>
    <w:rsid w:val="00995CD4"/>
    <w:rsid w:val="009A5169"/>
    <w:rsid w:val="009A5B44"/>
    <w:rsid w:val="009A6BCA"/>
    <w:rsid w:val="009A7A7C"/>
    <w:rsid w:val="009B3944"/>
    <w:rsid w:val="009B49B5"/>
    <w:rsid w:val="009B4B5C"/>
    <w:rsid w:val="009B4D6E"/>
    <w:rsid w:val="009C31C6"/>
    <w:rsid w:val="009C3561"/>
    <w:rsid w:val="009C3CB4"/>
    <w:rsid w:val="009C44E1"/>
    <w:rsid w:val="009C55CA"/>
    <w:rsid w:val="009C5F7E"/>
    <w:rsid w:val="009C5F86"/>
    <w:rsid w:val="009D004B"/>
    <w:rsid w:val="009D1241"/>
    <w:rsid w:val="009D194C"/>
    <w:rsid w:val="009D1ABB"/>
    <w:rsid w:val="009D46DE"/>
    <w:rsid w:val="009D6A0D"/>
    <w:rsid w:val="009E0CA0"/>
    <w:rsid w:val="009E3C87"/>
    <w:rsid w:val="009F28A2"/>
    <w:rsid w:val="009F3362"/>
    <w:rsid w:val="009F4B7C"/>
    <w:rsid w:val="00A01342"/>
    <w:rsid w:val="00A03220"/>
    <w:rsid w:val="00A047BB"/>
    <w:rsid w:val="00A06A5F"/>
    <w:rsid w:val="00A07611"/>
    <w:rsid w:val="00A1388D"/>
    <w:rsid w:val="00A1779E"/>
    <w:rsid w:val="00A17C22"/>
    <w:rsid w:val="00A22384"/>
    <w:rsid w:val="00A230ED"/>
    <w:rsid w:val="00A247E4"/>
    <w:rsid w:val="00A25423"/>
    <w:rsid w:val="00A26762"/>
    <w:rsid w:val="00A30521"/>
    <w:rsid w:val="00A316DD"/>
    <w:rsid w:val="00A31BFD"/>
    <w:rsid w:val="00A3479E"/>
    <w:rsid w:val="00A35280"/>
    <w:rsid w:val="00A3590C"/>
    <w:rsid w:val="00A360A0"/>
    <w:rsid w:val="00A420F2"/>
    <w:rsid w:val="00A42D99"/>
    <w:rsid w:val="00A45AB9"/>
    <w:rsid w:val="00A46ED7"/>
    <w:rsid w:val="00A47BC4"/>
    <w:rsid w:val="00A556A0"/>
    <w:rsid w:val="00A5730F"/>
    <w:rsid w:val="00A60262"/>
    <w:rsid w:val="00A62960"/>
    <w:rsid w:val="00A62A28"/>
    <w:rsid w:val="00A7013A"/>
    <w:rsid w:val="00A71E07"/>
    <w:rsid w:val="00A71E0F"/>
    <w:rsid w:val="00A730AA"/>
    <w:rsid w:val="00A772EF"/>
    <w:rsid w:val="00A83A4E"/>
    <w:rsid w:val="00A84E72"/>
    <w:rsid w:val="00A853CB"/>
    <w:rsid w:val="00A85479"/>
    <w:rsid w:val="00A86C7A"/>
    <w:rsid w:val="00A87434"/>
    <w:rsid w:val="00A93505"/>
    <w:rsid w:val="00A95E9A"/>
    <w:rsid w:val="00A96B98"/>
    <w:rsid w:val="00AA0127"/>
    <w:rsid w:val="00AA0AAC"/>
    <w:rsid w:val="00AA183F"/>
    <w:rsid w:val="00AA19E2"/>
    <w:rsid w:val="00AA426E"/>
    <w:rsid w:val="00AA620F"/>
    <w:rsid w:val="00AA67C0"/>
    <w:rsid w:val="00AB1160"/>
    <w:rsid w:val="00AB1EFF"/>
    <w:rsid w:val="00AB2C51"/>
    <w:rsid w:val="00AB46E5"/>
    <w:rsid w:val="00AB481C"/>
    <w:rsid w:val="00AB7A70"/>
    <w:rsid w:val="00AC2431"/>
    <w:rsid w:val="00AC5B11"/>
    <w:rsid w:val="00AD0C6E"/>
    <w:rsid w:val="00AD1E45"/>
    <w:rsid w:val="00AD2729"/>
    <w:rsid w:val="00AD5C6E"/>
    <w:rsid w:val="00AD7B8C"/>
    <w:rsid w:val="00AE0367"/>
    <w:rsid w:val="00AE1E3D"/>
    <w:rsid w:val="00AE2805"/>
    <w:rsid w:val="00AE30C9"/>
    <w:rsid w:val="00AE41BA"/>
    <w:rsid w:val="00AE49BC"/>
    <w:rsid w:val="00AE6F32"/>
    <w:rsid w:val="00AE73B0"/>
    <w:rsid w:val="00AF2AFE"/>
    <w:rsid w:val="00AF3713"/>
    <w:rsid w:val="00AF60E6"/>
    <w:rsid w:val="00AF7774"/>
    <w:rsid w:val="00B023FE"/>
    <w:rsid w:val="00B02E7E"/>
    <w:rsid w:val="00B072A2"/>
    <w:rsid w:val="00B10DD7"/>
    <w:rsid w:val="00B15598"/>
    <w:rsid w:val="00B22DED"/>
    <w:rsid w:val="00B2466C"/>
    <w:rsid w:val="00B25748"/>
    <w:rsid w:val="00B260CA"/>
    <w:rsid w:val="00B262F5"/>
    <w:rsid w:val="00B311A9"/>
    <w:rsid w:val="00B31CB1"/>
    <w:rsid w:val="00B32EEC"/>
    <w:rsid w:val="00B33202"/>
    <w:rsid w:val="00B33341"/>
    <w:rsid w:val="00B33966"/>
    <w:rsid w:val="00B33D85"/>
    <w:rsid w:val="00B3515B"/>
    <w:rsid w:val="00B3591E"/>
    <w:rsid w:val="00B35AD1"/>
    <w:rsid w:val="00B412D2"/>
    <w:rsid w:val="00B4153B"/>
    <w:rsid w:val="00B423C7"/>
    <w:rsid w:val="00B44082"/>
    <w:rsid w:val="00B50183"/>
    <w:rsid w:val="00B507E7"/>
    <w:rsid w:val="00B50972"/>
    <w:rsid w:val="00B510C9"/>
    <w:rsid w:val="00B55797"/>
    <w:rsid w:val="00B57E4E"/>
    <w:rsid w:val="00B60E02"/>
    <w:rsid w:val="00B619E6"/>
    <w:rsid w:val="00B65BDB"/>
    <w:rsid w:val="00B6607F"/>
    <w:rsid w:val="00B67073"/>
    <w:rsid w:val="00B67D6D"/>
    <w:rsid w:val="00B70398"/>
    <w:rsid w:val="00B7221B"/>
    <w:rsid w:val="00B73032"/>
    <w:rsid w:val="00B75769"/>
    <w:rsid w:val="00B75C4C"/>
    <w:rsid w:val="00B7665B"/>
    <w:rsid w:val="00B772B8"/>
    <w:rsid w:val="00B77FF3"/>
    <w:rsid w:val="00B8029E"/>
    <w:rsid w:val="00B802AE"/>
    <w:rsid w:val="00B81C03"/>
    <w:rsid w:val="00B82A70"/>
    <w:rsid w:val="00B90572"/>
    <w:rsid w:val="00B93B42"/>
    <w:rsid w:val="00B95459"/>
    <w:rsid w:val="00B971A7"/>
    <w:rsid w:val="00B97A60"/>
    <w:rsid w:val="00BA0C14"/>
    <w:rsid w:val="00BA5375"/>
    <w:rsid w:val="00BA5F93"/>
    <w:rsid w:val="00BB16F3"/>
    <w:rsid w:val="00BB3442"/>
    <w:rsid w:val="00BB3A19"/>
    <w:rsid w:val="00BB3A29"/>
    <w:rsid w:val="00BC2A18"/>
    <w:rsid w:val="00BC3A59"/>
    <w:rsid w:val="00BC43EC"/>
    <w:rsid w:val="00BC6210"/>
    <w:rsid w:val="00BC6398"/>
    <w:rsid w:val="00BD133B"/>
    <w:rsid w:val="00BD152A"/>
    <w:rsid w:val="00BD2DA9"/>
    <w:rsid w:val="00BD3718"/>
    <w:rsid w:val="00BD486F"/>
    <w:rsid w:val="00BD4A65"/>
    <w:rsid w:val="00BD4C32"/>
    <w:rsid w:val="00BD5C7C"/>
    <w:rsid w:val="00BE16AE"/>
    <w:rsid w:val="00BE41F9"/>
    <w:rsid w:val="00BE6503"/>
    <w:rsid w:val="00BE738E"/>
    <w:rsid w:val="00BF1A6A"/>
    <w:rsid w:val="00BF4854"/>
    <w:rsid w:val="00BF5022"/>
    <w:rsid w:val="00BF5A09"/>
    <w:rsid w:val="00BF6B8A"/>
    <w:rsid w:val="00BF7C94"/>
    <w:rsid w:val="00C01B07"/>
    <w:rsid w:val="00C01E2A"/>
    <w:rsid w:val="00C028F0"/>
    <w:rsid w:val="00C0290C"/>
    <w:rsid w:val="00C02E95"/>
    <w:rsid w:val="00C04C9B"/>
    <w:rsid w:val="00C079B5"/>
    <w:rsid w:val="00C10B2A"/>
    <w:rsid w:val="00C10D29"/>
    <w:rsid w:val="00C111B4"/>
    <w:rsid w:val="00C11A28"/>
    <w:rsid w:val="00C13EFA"/>
    <w:rsid w:val="00C173B3"/>
    <w:rsid w:val="00C202D0"/>
    <w:rsid w:val="00C24B2E"/>
    <w:rsid w:val="00C25210"/>
    <w:rsid w:val="00C26A5C"/>
    <w:rsid w:val="00C275BE"/>
    <w:rsid w:val="00C322F1"/>
    <w:rsid w:val="00C361D0"/>
    <w:rsid w:val="00C37DC1"/>
    <w:rsid w:val="00C40AD0"/>
    <w:rsid w:val="00C40F7E"/>
    <w:rsid w:val="00C41037"/>
    <w:rsid w:val="00C447F5"/>
    <w:rsid w:val="00C46F06"/>
    <w:rsid w:val="00C477D6"/>
    <w:rsid w:val="00C50056"/>
    <w:rsid w:val="00C515C1"/>
    <w:rsid w:val="00C534FF"/>
    <w:rsid w:val="00C54AD6"/>
    <w:rsid w:val="00C551E8"/>
    <w:rsid w:val="00C574EC"/>
    <w:rsid w:val="00C60A3F"/>
    <w:rsid w:val="00C60B35"/>
    <w:rsid w:val="00C61FA5"/>
    <w:rsid w:val="00C622E3"/>
    <w:rsid w:val="00C64E02"/>
    <w:rsid w:val="00C6738D"/>
    <w:rsid w:val="00C675DB"/>
    <w:rsid w:val="00C67847"/>
    <w:rsid w:val="00C74177"/>
    <w:rsid w:val="00C744CB"/>
    <w:rsid w:val="00C764BB"/>
    <w:rsid w:val="00C80F4E"/>
    <w:rsid w:val="00C81CC0"/>
    <w:rsid w:val="00C8231A"/>
    <w:rsid w:val="00C824F2"/>
    <w:rsid w:val="00C85C97"/>
    <w:rsid w:val="00C873FE"/>
    <w:rsid w:val="00C87E5A"/>
    <w:rsid w:val="00C938EC"/>
    <w:rsid w:val="00C939C7"/>
    <w:rsid w:val="00C93D2D"/>
    <w:rsid w:val="00C952C9"/>
    <w:rsid w:val="00C967E3"/>
    <w:rsid w:val="00C97F9D"/>
    <w:rsid w:val="00CA173B"/>
    <w:rsid w:val="00CA2D38"/>
    <w:rsid w:val="00CA3AD0"/>
    <w:rsid w:val="00CA49EA"/>
    <w:rsid w:val="00CA4E62"/>
    <w:rsid w:val="00CA6942"/>
    <w:rsid w:val="00CA71EB"/>
    <w:rsid w:val="00CB08A7"/>
    <w:rsid w:val="00CC0077"/>
    <w:rsid w:val="00CC1696"/>
    <w:rsid w:val="00CC206F"/>
    <w:rsid w:val="00CC3390"/>
    <w:rsid w:val="00CC45BA"/>
    <w:rsid w:val="00CC5F3A"/>
    <w:rsid w:val="00CC6166"/>
    <w:rsid w:val="00CD1086"/>
    <w:rsid w:val="00CD1BB8"/>
    <w:rsid w:val="00CD5A94"/>
    <w:rsid w:val="00CD6C34"/>
    <w:rsid w:val="00CE5656"/>
    <w:rsid w:val="00CE69B9"/>
    <w:rsid w:val="00CE7399"/>
    <w:rsid w:val="00CF08DB"/>
    <w:rsid w:val="00CF5E09"/>
    <w:rsid w:val="00CF5EB7"/>
    <w:rsid w:val="00D001FC"/>
    <w:rsid w:val="00D01415"/>
    <w:rsid w:val="00D015ED"/>
    <w:rsid w:val="00D01CBE"/>
    <w:rsid w:val="00D01D4E"/>
    <w:rsid w:val="00D0260F"/>
    <w:rsid w:val="00D02D1D"/>
    <w:rsid w:val="00D035F8"/>
    <w:rsid w:val="00D108F3"/>
    <w:rsid w:val="00D1239D"/>
    <w:rsid w:val="00D123A8"/>
    <w:rsid w:val="00D1275D"/>
    <w:rsid w:val="00D13EB4"/>
    <w:rsid w:val="00D1537A"/>
    <w:rsid w:val="00D15473"/>
    <w:rsid w:val="00D201D1"/>
    <w:rsid w:val="00D21F38"/>
    <w:rsid w:val="00D2232D"/>
    <w:rsid w:val="00D23FFE"/>
    <w:rsid w:val="00D24EA8"/>
    <w:rsid w:val="00D2781C"/>
    <w:rsid w:val="00D30D74"/>
    <w:rsid w:val="00D30E08"/>
    <w:rsid w:val="00D30F27"/>
    <w:rsid w:val="00D31F21"/>
    <w:rsid w:val="00D33074"/>
    <w:rsid w:val="00D33899"/>
    <w:rsid w:val="00D41ACC"/>
    <w:rsid w:val="00D42657"/>
    <w:rsid w:val="00D430C0"/>
    <w:rsid w:val="00D440D6"/>
    <w:rsid w:val="00D46E97"/>
    <w:rsid w:val="00D46F60"/>
    <w:rsid w:val="00D4740E"/>
    <w:rsid w:val="00D47858"/>
    <w:rsid w:val="00D50B1D"/>
    <w:rsid w:val="00D53432"/>
    <w:rsid w:val="00D54C9D"/>
    <w:rsid w:val="00D57DE9"/>
    <w:rsid w:val="00D617C4"/>
    <w:rsid w:val="00D61A12"/>
    <w:rsid w:val="00D61C21"/>
    <w:rsid w:val="00D64287"/>
    <w:rsid w:val="00D65F4D"/>
    <w:rsid w:val="00D66EE6"/>
    <w:rsid w:val="00D7008C"/>
    <w:rsid w:val="00D71847"/>
    <w:rsid w:val="00D72AAA"/>
    <w:rsid w:val="00D73002"/>
    <w:rsid w:val="00D747F1"/>
    <w:rsid w:val="00D75011"/>
    <w:rsid w:val="00D80501"/>
    <w:rsid w:val="00D82575"/>
    <w:rsid w:val="00D82F60"/>
    <w:rsid w:val="00D83167"/>
    <w:rsid w:val="00D85FA3"/>
    <w:rsid w:val="00D92053"/>
    <w:rsid w:val="00D934E8"/>
    <w:rsid w:val="00D9365B"/>
    <w:rsid w:val="00D94182"/>
    <w:rsid w:val="00D95D2B"/>
    <w:rsid w:val="00DA05CB"/>
    <w:rsid w:val="00DA06F5"/>
    <w:rsid w:val="00DA3B17"/>
    <w:rsid w:val="00DA752A"/>
    <w:rsid w:val="00DB0598"/>
    <w:rsid w:val="00DB386C"/>
    <w:rsid w:val="00DB408C"/>
    <w:rsid w:val="00DB5E65"/>
    <w:rsid w:val="00DC0279"/>
    <w:rsid w:val="00DC243D"/>
    <w:rsid w:val="00DC4750"/>
    <w:rsid w:val="00DD11C9"/>
    <w:rsid w:val="00DD2671"/>
    <w:rsid w:val="00DD46B5"/>
    <w:rsid w:val="00DD5360"/>
    <w:rsid w:val="00DD5A69"/>
    <w:rsid w:val="00DD711F"/>
    <w:rsid w:val="00DE018E"/>
    <w:rsid w:val="00DE3552"/>
    <w:rsid w:val="00DE4E6C"/>
    <w:rsid w:val="00DE51F1"/>
    <w:rsid w:val="00DF3532"/>
    <w:rsid w:val="00E000F8"/>
    <w:rsid w:val="00E013EF"/>
    <w:rsid w:val="00E04AEB"/>
    <w:rsid w:val="00E0716D"/>
    <w:rsid w:val="00E07A1E"/>
    <w:rsid w:val="00E10381"/>
    <w:rsid w:val="00E12C67"/>
    <w:rsid w:val="00E15791"/>
    <w:rsid w:val="00E1740A"/>
    <w:rsid w:val="00E203CE"/>
    <w:rsid w:val="00E21A3C"/>
    <w:rsid w:val="00E23837"/>
    <w:rsid w:val="00E25291"/>
    <w:rsid w:val="00E25455"/>
    <w:rsid w:val="00E25AEF"/>
    <w:rsid w:val="00E266D1"/>
    <w:rsid w:val="00E30B22"/>
    <w:rsid w:val="00E324A7"/>
    <w:rsid w:val="00E364FF"/>
    <w:rsid w:val="00E415EC"/>
    <w:rsid w:val="00E41FE8"/>
    <w:rsid w:val="00E45353"/>
    <w:rsid w:val="00E46B14"/>
    <w:rsid w:val="00E47F5E"/>
    <w:rsid w:val="00E50F69"/>
    <w:rsid w:val="00E53BC9"/>
    <w:rsid w:val="00E56A29"/>
    <w:rsid w:val="00E56F74"/>
    <w:rsid w:val="00E57786"/>
    <w:rsid w:val="00E6054C"/>
    <w:rsid w:val="00E61524"/>
    <w:rsid w:val="00E6266F"/>
    <w:rsid w:val="00E63221"/>
    <w:rsid w:val="00E64E8D"/>
    <w:rsid w:val="00E702D9"/>
    <w:rsid w:val="00E716FC"/>
    <w:rsid w:val="00E73EEE"/>
    <w:rsid w:val="00E75E35"/>
    <w:rsid w:val="00E76E1C"/>
    <w:rsid w:val="00E77EF5"/>
    <w:rsid w:val="00E81170"/>
    <w:rsid w:val="00E8284C"/>
    <w:rsid w:val="00E85A35"/>
    <w:rsid w:val="00E9126B"/>
    <w:rsid w:val="00E913F0"/>
    <w:rsid w:val="00E9325E"/>
    <w:rsid w:val="00EA2CE5"/>
    <w:rsid w:val="00EA3F09"/>
    <w:rsid w:val="00EA5277"/>
    <w:rsid w:val="00EA73C3"/>
    <w:rsid w:val="00EB016D"/>
    <w:rsid w:val="00EB14F0"/>
    <w:rsid w:val="00EB3F78"/>
    <w:rsid w:val="00EC26B3"/>
    <w:rsid w:val="00EC3150"/>
    <w:rsid w:val="00EC3A35"/>
    <w:rsid w:val="00EC616E"/>
    <w:rsid w:val="00EC663A"/>
    <w:rsid w:val="00ED39B4"/>
    <w:rsid w:val="00ED41F2"/>
    <w:rsid w:val="00ED51C2"/>
    <w:rsid w:val="00ED7EBC"/>
    <w:rsid w:val="00EE25E3"/>
    <w:rsid w:val="00EE34D1"/>
    <w:rsid w:val="00EE64CC"/>
    <w:rsid w:val="00EE7414"/>
    <w:rsid w:val="00EE7B97"/>
    <w:rsid w:val="00EF2695"/>
    <w:rsid w:val="00EF2E36"/>
    <w:rsid w:val="00EF3513"/>
    <w:rsid w:val="00EF4281"/>
    <w:rsid w:val="00EF6A11"/>
    <w:rsid w:val="00EF7DC4"/>
    <w:rsid w:val="00F0011C"/>
    <w:rsid w:val="00F0217F"/>
    <w:rsid w:val="00F02D87"/>
    <w:rsid w:val="00F030FA"/>
    <w:rsid w:val="00F0631D"/>
    <w:rsid w:val="00F1112F"/>
    <w:rsid w:val="00F116C9"/>
    <w:rsid w:val="00F11F88"/>
    <w:rsid w:val="00F125FA"/>
    <w:rsid w:val="00F14728"/>
    <w:rsid w:val="00F14F6A"/>
    <w:rsid w:val="00F1696C"/>
    <w:rsid w:val="00F16C97"/>
    <w:rsid w:val="00F21A04"/>
    <w:rsid w:val="00F2492F"/>
    <w:rsid w:val="00F24C74"/>
    <w:rsid w:val="00F2672F"/>
    <w:rsid w:val="00F309DA"/>
    <w:rsid w:val="00F3122A"/>
    <w:rsid w:val="00F31EB4"/>
    <w:rsid w:val="00F3568F"/>
    <w:rsid w:val="00F4174D"/>
    <w:rsid w:val="00F439C3"/>
    <w:rsid w:val="00F45A6B"/>
    <w:rsid w:val="00F464BF"/>
    <w:rsid w:val="00F50946"/>
    <w:rsid w:val="00F54532"/>
    <w:rsid w:val="00F54ABF"/>
    <w:rsid w:val="00F55138"/>
    <w:rsid w:val="00F55594"/>
    <w:rsid w:val="00F632B3"/>
    <w:rsid w:val="00F640D7"/>
    <w:rsid w:val="00F659FF"/>
    <w:rsid w:val="00F6619C"/>
    <w:rsid w:val="00F717C4"/>
    <w:rsid w:val="00F7344D"/>
    <w:rsid w:val="00F749A8"/>
    <w:rsid w:val="00F764A8"/>
    <w:rsid w:val="00F76B6C"/>
    <w:rsid w:val="00F824DB"/>
    <w:rsid w:val="00F86017"/>
    <w:rsid w:val="00F860D6"/>
    <w:rsid w:val="00F94E23"/>
    <w:rsid w:val="00F95938"/>
    <w:rsid w:val="00F96BFE"/>
    <w:rsid w:val="00F96D12"/>
    <w:rsid w:val="00FA4D2A"/>
    <w:rsid w:val="00FA6F81"/>
    <w:rsid w:val="00FA7382"/>
    <w:rsid w:val="00FA7964"/>
    <w:rsid w:val="00FB00EB"/>
    <w:rsid w:val="00FB1C90"/>
    <w:rsid w:val="00FB53CD"/>
    <w:rsid w:val="00FB5E65"/>
    <w:rsid w:val="00FC71D3"/>
    <w:rsid w:val="00FD0DBC"/>
    <w:rsid w:val="00FD4B53"/>
    <w:rsid w:val="00FD51AB"/>
    <w:rsid w:val="00FE17F8"/>
    <w:rsid w:val="00FE2B8F"/>
    <w:rsid w:val="00FE2D96"/>
    <w:rsid w:val="00FE79D0"/>
    <w:rsid w:val="00FF1809"/>
    <w:rsid w:val="00FF228C"/>
    <w:rsid w:val="00FF23C5"/>
    <w:rsid w:val="00FF2644"/>
    <w:rsid w:val="00FF4830"/>
    <w:rsid w:val="00FF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9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9C55C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C55CA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C55CA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sid w:val="009C55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C55CA"/>
    <w:rPr>
      <w:rFonts w:ascii="Tahom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3A301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3A3019"/>
    <w:rPr>
      <w:rFonts w:ascii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rsid w:val="003A3019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736D2A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610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6100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610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61000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google-src-text1">
    <w:name w:val="google-src-text1"/>
    <w:basedOn w:val="Fontepargpadro"/>
    <w:uiPriority w:val="99"/>
    <w:rsid w:val="006C1B81"/>
    <w:rPr>
      <w:rFonts w:cs="Times New Roman"/>
      <w:vanish/>
    </w:rPr>
  </w:style>
  <w:style w:type="paragraph" w:styleId="PargrafodaLista">
    <w:name w:val="List Paragraph"/>
    <w:basedOn w:val="Normal"/>
    <w:uiPriority w:val="99"/>
    <w:qFormat/>
    <w:rsid w:val="006C1B8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rsid w:val="00A0134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013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20637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013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20637"/>
    <w:rPr>
      <w:b/>
      <w:bCs/>
    </w:rPr>
  </w:style>
  <w:style w:type="character" w:customStyle="1" w:styleId="hps">
    <w:name w:val="hps"/>
    <w:basedOn w:val="Fontepargpadro"/>
    <w:uiPriority w:val="99"/>
    <w:rsid w:val="000D43EA"/>
    <w:rPr>
      <w:rFonts w:cs="Times New Roman"/>
    </w:rPr>
  </w:style>
  <w:style w:type="character" w:styleId="Nmerodepgina">
    <w:name w:val="page number"/>
    <w:basedOn w:val="Fontepargpadro"/>
    <w:uiPriority w:val="99"/>
    <w:rsid w:val="00FB00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header" Target="header3.xml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7541</Words>
  <Characters>40723</Characters>
  <Application>Microsoft Office Word</Application>
  <DocSecurity>0</DocSecurity>
  <Lines>339</Lines>
  <Paragraphs>96</Paragraphs>
  <ScaleCrop>false</ScaleCrop>
  <Company/>
  <LinksUpToDate>false</LinksUpToDate>
  <CharactersWithSpaces>48168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2011-07-18T18:27:00Z</dcterms:created>
  <dcterms:modified xsi:type="dcterms:W3CDTF">2011-07-18T18:35:00Z</dcterms:modified>
</cp:coreProperties>
</file>