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5C" w:rsidRPr="00BB26A3" w:rsidRDefault="00C5105C" w:rsidP="00543DA4">
      <w:pPr>
        <w:jc w:val="center"/>
        <w:rPr>
          <w:rFonts w:ascii="Times New Roman" w:hAnsi="Times New Roman" w:cs="Times New Roman"/>
          <w:b/>
          <w:lang w:eastAsia="en-US"/>
        </w:rPr>
      </w:pPr>
      <w:r w:rsidRPr="00BB26A3">
        <w:rPr>
          <w:rFonts w:ascii="Times New Roman" w:hAnsi="Times New Roman" w:cs="Times New Roman"/>
          <w:b/>
          <w:lang w:eastAsia="en-US"/>
        </w:rPr>
        <w:t>“</w:t>
      </w:r>
      <w:r w:rsidR="00543DA4">
        <w:rPr>
          <w:rFonts w:ascii="Times New Roman" w:hAnsi="Times New Roman" w:cs="Times New Roman"/>
          <w:b/>
          <w:lang w:eastAsia="en-US"/>
        </w:rPr>
        <w:t>Technological specialization, structural change and market integration</w:t>
      </w:r>
      <w:r w:rsidRPr="00BB26A3">
        <w:rPr>
          <w:rFonts w:ascii="Times New Roman" w:hAnsi="Times New Roman" w:cs="Times New Roman"/>
          <w:b/>
          <w:lang w:eastAsia="en-US"/>
        </w:rPr>
        <w:t>”</w:t>
      </w:r>
      <w:r w:rsidR="00332FFF">
        <w:rPr>
          <w:rStyle w:val="Refdenotaderodap"/>
          <w:rFonts w:ascii="Times New Roman" w:hAnsi="Times New Roman"/>
          <w:b/>
          <w:lang w:eastAsia="en-US"/>
        </w:rPr>
        <w:footnoteReference w:id="2"/>
      </w:r>
    </w:p>
    <w:p w:rsidR="00C5105C" w:rsidRPr="00007658" w:rsidRDefault="00C5105C" w:rsidP="0001659F">
      <w:pPr>
        <w:rPr>
          <w:rFonts w:ascii="Times New Roman" w:hAnsi="Times New Roman" w:cs="Times New Roman"/>
          <w:color w:val="FF0000"/>
        </w:rPr>
      </w:pPr>
    </w:p>
    <w:p w:rsidR="00C5105C" w:rsidRPr="004D6ABD" w:rsidRDefault="00C5105C" w:rsidP="0001659F">
      <w:pPr>
        <w:ind w:firstLine="0"/>
        <w:jc w:val="right"/>
        <w:rPr>
          <w:rFonts w:ascii="Times New Roman" w:hAnsi="Times New Roman" w:cs="Times New Roman"/>
          <w:lang w:val="pt-BR" w:eastAsia="en-US"/>
        </w:rPr>
      </w:pPr>
      <w:r w:rsidRPr="004D6ABD">
        <w:rPr>
          <w:rFonts w:ascii="Times New Roman" w:hAnsi="Times New Roman" w:cs="Times New Roman"/>
          <w:lang w:val="pt-BR" w:eastAsia="en-US"/>
        </w:rPr>
        <w:t>Ana Urraca Ruiz</w:t>
      </w:r>
      <w:r>
        <w:rPr>
          <w:rStyle w:val="Refdenotaderodap"/>
          <w:rFonts w:ascii="Times New Roman" w:hAnsi="Times New Roman"/>
          <w:lang w:val="pt-BR" w:eastAsia="en-US"/>
        </w:rPr>
        <w:footnoteReference w:id="3"/>
      </w:r>
    </w:p>
    <w:p w:rsidR="004D6ABD" w:rsidRPr="00AF06DF" w:rsidRDefault="004D6ABD" w:rsidP="0001659F">
      <w:pPr>
        <w:contextualSpacing/>
        <w:rPr>
          <w:rFonts w:asciiTheme="majorBidi" w:hAnsiTheme="majorBidi" w:cstheme="majorBidi"/>
          <w:b/>
          <w:bCs/>
          <w:lang w:val="pt-BR"/>
        </w:rPr>
      </w:pPr>
      <w:r w:rsidRPr="00AF06DF">
        <w:rPr>
          <w:rFonts w:asciiTheme="majorBidi" w:hAnsiTheme="majorBidi" w:cstheme="majorBidi"/>
          <w:b/>
          <w:bCs/>
          <w:lang w:val="pt-BR"/>
        </w:rPr>
        <w:t>Resumo</w:t>
      </w:r>
      <w:r>
        <w:rPr>
          <w:rFonts w:asciiTheme="majorBidi" w:hAnsiTheme="majorBidi" w:cstheme="majorBidi"/>
          <w:b/>
          <w:bCs/>
          <w:lang w:val="pt-BR"/>
        </w:rPr>
        <w:t>.</w:t>
      </w:r>
    </w:p>
    <w:p w:rsidR="004D6ABD" w:rsidRDefault="004D6ABD" w:rsidP="0001659F">
      <w:pPr>
        <w:contextualSpacing/>
        <w:rPr>
          <w:rFonts w:asciiTheme="majorBidi" w:hAnsiTheme="majorBidi" w:cstheme="majorBidi"/>
          <w:lang w:val="pt-BR"/>
        </w:rPr>
      </w:pPr>
    </w:p>
    <w:p w:rsidR="004D6ABD" w:rsidRPr="0009201B" w:rsidRDefault="0009201B" w:rsidP="0001659F">
      <w:pPr>
        <w:contextualSpacing/>
        <w:rPr>
          <w:rFonts w:asciiTheme="majorBidi" w:hAnsiTheme="majorBidi" w:cstheme="majorBidi"/>
          <w:lang w:val="pt-BR"/>
        </w:rPr>
      </w:pPr>
      <w:r>
        <w:rPr>
          <w:rFonts w:asciiTheme="majorBidi" w:hAnsiTheme="majorBidi" w:cstheme="majorBidi"/>
          <w:lang w:val="pt-BR"/>
        </w:rPr>
        <w:t>Este trabalho explora as rela</w:t>
      </w:r>
      <w:r w:rsidRPr="0009201B">
        <w:rPr>
          <w:rFonts w:asciiTheme="majorBidi" w:hAnsiTheme="majorBidi" w:cstheme="majorBidi"/>
          <w:lang w:val="pt-BR"/>
        </w:rPr>
        <w:t>çõ</w:t>
      </w:r>
      <w:r>
        <w:rPr>
          <w:rFonts w:asciiTheme="majorBidi" w:hAnsiTheme="majorBidi" w:cstheme="majorBidi"/>
          <w:lang w:val="pt-BR"/>
        </w:rPr>
        <w:t xml:space="preserve">es entre as bases tecnológica e produtiva. O artigo tenta mostrar que, ao longo dos processos de integração de mercados, em que são esperadas mudanças nas estruturas produtivas, mudanças na especialização tecnológica se devem menos à oportunidade tecnológica e à  cumulatividade. A partir de dados para 15 países europeus e 4 latino-americanos, o trabalho conclui que a  integração de mercados está associada com elevados ritmos de </w:t>
      </w:r>
      <w:r w:rsidRPr="0009201B">
        <w:rPr>
          <w:rFonts w:asciiTheme="majorBidi" w:hAnsiTheme="majorBidi" w:cstheme="majorBidi"/>
          <w:i/>
          <w:iCs/>
          <w:lang w:val="pt-BR"/>
        </w:rPr>
        <w:t>catching-up</w:t>
      </w:r>
      <w:r>
        <w:rPr>
          <w:rFonts w:asciiTheme="majorBidi" w:hAnsiTheme="majorBidi" w:cstheme="majorBidi"/>
          <w:lang w:val="pt-BR"/>
        </w:rPr>
        <w:t xml:space="preserve"> e convergência, assim como com menores níveis de especialização. Além do mais, há evidencia de que a concentração dos esforços nacionais em inovação não são sempre persistentes. Uma parte razoável das novas competências construídas não são conseqüência de processos cumulativos e, por tanto, há razões para pensar que uma parte relativamente importante da mobilidade e da mudança nos padrões de especialização está associada com mudanças na estrutura produtiva.</w:t>
      </w:r>
    </w:p>
    <w:p w:rsidR="004D6ABD" w:rsidRDefault="004D6ABD" w:rsidP="0001659F">
      <w:pPr>
        <w:contextualSpacing/>
        <w:rPr>
          <w:rFonts w:asciiTheme="majorBidi" w:hAnsiTheme="majorBidi" w:cstheme="majorBidi"/>
          <w:lang w:val="pt-BR"/>
        </w:rPr>
      </w:pPr>
    </w:p>
    <w:p w:rsidR="004D6ABD" w:rsidRPr="001E5F44" w:rsidRDefault="004D6ABD" w:rsidP="0001659F">
      <w:pPr>
        <w:contextualSpacing/>
        <w:rPr>
          <w:rFonts w:asciiTheme="majorBidi" w:hAnsiTheme="majorBidi" w:cstheme="majorBidi"/>
          <w:b/>
          <w:bCs/>
        </w:rPr>
      </w:pPr>
      <w:r w:rsidRPr="001E5F44">
        <w:rPr>
          <w:rFonts w:asciiTheme="majorBidi" w:hAnsiTheme="majorBidi" w:cstheme="majorBidi"/>
          <w:b/>
          <w:bCs/>
        </w:rPr>
        <w:t>Abstract.</w:t>
      </w:r>
    </w:p>
    <w:p w:rsidR="004D6ABD" w:rsidRPr="001E5F44" w:rsidRDefault="004D6ABD" w:rsidP="0001659F">
      <w:pPr>
        <w:contextualSpacing/>
        <w:rPr>
          <w:rFonts w:asciiTheme="majorBidi" w:hAnsiTheme="majorBidi" w:cstheme="majorBidi"/>
        </w:rPr>
      </w:pPr>
    </w:p>
    <w:p w:rsidR="004D6ABD" w:rsidRPr="00DF5143" w:rsidRDefault="00DF5143" w:rsidP="00977F46">
      <w:pPr>
        <w:contextualSpacing/>
        <w:rPr>
          <w:rFonts w:asciiTheme="majorBidi" w:hAnsiTheme="majorBidi" w:cstheme="majorBidi"/>
        </w:rPr>
      </w:pPr>
      <w:r>
        <w:rPr>
          <w:rFonts w:ascii="Times New Roman" w:hAnsi="Times New Roman"/>
        </w:rPr>
        <w:t>This paper explores the relationships between technological and productive structures. The paper attempts to show that, along market integration processes, when changes in productive structures are expected, the changes on national technological specialization are less linked to technological cumulativeness and opportunity. The paper uses patent data for 15 European and 4 Latin-American countries. The paper concludes that market integration is associated with elevated rhythms</w:t>
      </w:r>
      <w:r w:rsidR="00977F46">
        <w:rPr>
          <w:rFonts w:ascii="Times New Roman" w:hAnsi="Times New Roman"/>
        </w:rPr>
        <w:t xml:space="preserve"> of catching up and converging, and </w:t>
      </w:r>
      <w:r>
        <w:rPr>
          <w:rFonts w:ascii="Times New Roman" w:hAnsi="Times New Roman"/>
        </w:rPr>
        <w:t xml:space="preserve">also with </w:t>
      </w:r>
      <w:r w:rsidR="00977F46">
        <w:rPr>
          <w:rFonts w:ascii="Times New Roman" w:hAnsi="Times New Roman"/>
        </w:rPr>
        <w:t>lower</w:t>
      </w:r>
      <w:r>
        <w:rPr>
          <w:rFonts w:ascii="Times New Roman" w:hAnsi="Times New Roman"/>
        </w:rPr>
        <w:t xml:space="preserve"> levels of </w:t>
      </w:r>
      <w:r w:rsidR="00977F46">
        <w:rPr>
          <w:rFonts w:ascii="Times New Roman" w:hAnsi="Times New Roman"/>
        </w:rPr>
        <w:t>specialization</w:t>
      </w:r>
      <w:r>
        <w:rPr>
          <w:rFonts w:ascii="Times New Roman" w:hAnsi="Times New Roman"/>
        </w:rPr>
        <w:t>. Besides that, there is evidence that the concentration of innovative efforts is not always persistent. A reasonable part of the new built competences are not the consequence of cumulative processes and, therefore, there are reasons to think that quite a large part of mobility is strongly associated with productive structure change.</w:t>
      </w:r>
    </w:p>
    <w:p w:rsidR="004D6ABD" w:rsidRPr="00DF5143" w:rsidRDefault="004D6ABD" w:rsidP="0001659F">
      <w:pPr>
        <w:contextualSpacing/>
        <w:rPr>
          <w:rFonts w:asciiTheme="majorBidi" w:hAnsiTheme="majorBidi" w:cstheme="majorBidi"/>
        </w:rPr>
      </w:pPr>
    </w:p>
    <w:p w:rsidR="004D6ABD" w:rsidRDefault="001E5F44" w:rsidP="001E5F44">
      <w:pPr>
        <w:contextualSpacing/>
        <w:rPr>
          <w:rFonts w:asciiTheme="majorBidi" w:hAnsiTheme="majorBidi" w:cstheme="majorBidi"/>
          <w:lang w:val="pt-BR"/>
        </w:rPr>
      </w:pPr>
      <w:r>
        <w:rPr>
          <w:rFonts w:asciiTheme="majorBidi" w:hAnsiTheme="majorBidi" w:cstheme="majorBidi"/>
          <w:b/>
          <w:bCs/>
          <w:lang w:val="pt-BR"/>
        </w:rPr>
        <w:t xml:space="preserve">Palavras-chave; </w:t>
      </w:r>
      <w:r w:rsidR="00DF5143">
        <w:rPr>
          <w:rFonts w:asciiTheme="majorBidi" w:hAnsiTheme="majorBidi" w:cstheme="majorBidi"/>
          <w:lang w:val="pt-BR"/>
        </w:rPr>
        <w:t>Cambio estrutural, especialização tecnológica, convergência, integração de mercados</w:t>
      </w:r>
    </w:p>
    <w:p w:rsidR="004D6ABD" w:rsidRDefault="004D6ABD" w:rsidP="0001659F">
      <w:pPr>
        <w:contextualSpacing/>
        <w:rPr>
          <w:rFonts w:asciiTheme="majorBidi" w:hAnsiTheme="majorBidi" w:cstheme="majorBidi"/>
          <w:lang w:val="pt-BR"/>
        </w:rPr>
      </w:pPr>
    </w:p>
    <w:p w:rsidR="004D6ABD" w:rsidRPr="00270DA7" w:rsidRDefault="001E5F44" w:rsidP="001E5F44">
      <w:pPr>
        <w:contextualSpacing/>
        <w:rPr>
          <w:rFonts w:ascii="Times New Roman" w:hAnsi="Times New Roman"/>
          <w:lang w:val="pt-BR"/>
        </w:rPr>
      </w:pPr>
      <w:r w:rsidRPr="00270DA7">
        <w:rPr>
          <w:rFonts w:asciiTheme="majorBidi" w:hAnsiTheme="majorBidi" w:cstheme="majorBidi"/>
          <w:b/>
          <w:bCs/>
          <w:lang w:val="pt-BR"/>
        </w:rPr>
        <w:t xml:space="preserve">Keywords; </w:t>
      </w:r>
      <w:r w:rsidR="00DF5143" w:rsidRPr="00270DA7">
        <w:rPr>
          <w:rFonts w:ascii="Times New Roman" w:hAnsi="Times New Roman"/>
          <w:lang w:val="pt-BR"/>
        </w:rPr>
        <w:t>Structural change, technological specialization, convergence, market integration</w:t>
      </w:r>
    </w:p>
    <w:p w:rsidR="00332FFF" w:rsidRPr="00270DA7" w:rsidRDefault="00332FFF" w:rsidP="0001659F">
      <w:pPr>
        <w:contextualSpacing/>
        <w:rPr>
          <w:rFonts w:asciiTheme="majorBidi" w:hAnsiTheme="majorBidi" w:cstheme="majorBidi"/>
          <w:b/>
          <w:bCs/>
          <w:lang w:val="pt-BR"/>
        </w:rPr>
      </w:pPr>
    </w:p>
    <w:p w:rsidR="004D6ABD" w:rsidRPr="00F73E07" w:rsidRDefault="004D6ABD" w:rsidP="001E5F44">
      <w:pPr>
        <w:contextualSpacing/>
        <w:rPr>
          <w:rFonts w:asciiTheme="majorBidi" w:hAnsiTheme="majorBidi" w:cstheme="majorBidi"/>
          <w:lang w:val="pt-BR"/>
        </w:rPr>
      </w:pPr>
      <w:r w:rsidRPr="00B212CB">
        <w:rPr>
          <w:rFonts w:asciiTheme="majorBidi" w:hAnsiTheme="majorBidi" w:cstheme="majorBidi"/>
          <w:b/>
          <w:bCs/>
          <w:lang w:val="pt-BR"/>
        </w:rPr>
        <w:t>Área ANPEC</w:t>
      </w:r>
      <w:r w:rsidR="001E5F44">
        <w:rPr>
          <w:rFonts w:asciiTheme="majorBidi" w:hAnsiTheme="majorBidi" w:cstheme="majorBidi"/>
          <w:b/>
          <w:bCs/>
          <w:lang w:val="pt-BR"/>
        </w:rPr>
        <w:t xml:space="preserve">; </w:t>
      </w:r>
      <w:r w:rsidRPr="00F73E07">
        <w:rPr>
          <w:rFonts w:asciiTheme="majorBidi" w:hAnsiTheme="majorBidi" w:cstheme="majorBidi"/>
          <w:lang w:val="pt-BR"/>
        </w:rPr>
        <w:t>Economia Industrial e da Tecnologia</w:t>
      </w:r>
    </w:p>
    <w:p w:rsidR="004D6ABD" w:rsidRDefault="004D6ABD" w:rsidP="0001659F">
      <w:pPr>
        <w:contextualSpacing/>
        <w:rPr>
          <w:rFonts w:asciiTheme="majorBidi" w:hAnsiTheme="majorBidi" w:cstheme="majorBidi"/>
          <w:lang w:val="pt-BR"/>
        </w:rPr>
      </w:pPr>
    </w:p>
    <w:p w:rsidR="004D6ABD" w:rsidRPr="00270DA7" w:rsidRDefault="004D6ABD" w:rsidP="0001659F">
      <w:pPr>
        <w:contextualSpacing/>
        <w:rPr>
          <w:rFonts w:asciiTheme="majorBidi" w:hAnsiTheme="majorBidi" w:cstheme="majorBidi"/>
          <w:lang w:val="pt-BR"/>
        </w:rPr>
      </w:pPr>
      <w:r w:rsidRPr="00270DA7">
        <w:rPr>
          <w:rFonts w:asciiTheme="majorBidi" w:hAnsiTheme="majorBidi" w:cstheme="majorBidi"/>
          <w:b/>
          <w:bCs/>
          <w:lang w:val="pt-BR"/>
        </w:rPr>
        <w:t>Classificação JEL;</w:t>
      </w:r>
      <w:r w:rsidR="00DF5143" w:rsidRPr="00270DA7">
        <w:rPr>
          <w:rFonts w:ascii="Times New Roman" w:hAnsi="Times New Roman"/>
          <w:lang w:val="pt-BR"/>
        </w:rPr>
        <w:t xml:space="preserve"> O30, O52, O54</w:t>
      </w:r>
    </w:p>
    <w:p w:rsidR="004D6ABD" w:rsidRPr="00270DA7" w:rsidRDefault="004D6ABD" w:rsidP="00C4397F">
      <w:pPr>
        <w:autoSpaceDE/>
        <w:autoSpaceDN/>
        <w:adjustRightInd/>
        <w:spacing w:before="0" w:after="0"/>
        <w:ind w:firstLine="0"/>
        <w:jc w:val="center"/>
        <w:rPr>
          <w:rFonts w:ascii="Times New Roman" w:hAnsi="Times New Roman" w:cs="Times New Roman"/>
          <w:b/>
          <w:lang w:val="pt-BR"/>
        </w:rPr>
      </w:pPr>
      <w:r w:rsidRPr="00270DA7">
        <w:rPr>
          <w:rFonts w:ascii="Times New Roman" w:hAnsi="Times New Roman" w:cs="Times New Roman"/>
          <w:b/>
          <w:lang w:val="pt-BR"/>
        </w:rPr>
        <w:br w:type="page"/>
      </w:r>
      <w:r w:rsidRPr="00270DA7">
        <w:rPr>
          <w:rFonts w:ascii="Times New Roman" w:hAnsi="Times New Roman" w:cs="Times New Roman"/>
          <w:b/>
          <w:lang w:val="pt-BR" w:eastAsia="en-US"/>
        </w:rPr>
        <w:lastRenderedPageBreak/>
        <w:t>“</w:t>
      </w:r>
      <w:r w:rsidR="00543DA4" w:rsidRPr="00270DA7">
        <w:rPr>
          <w:rFonts w:ascii="Times New Roman" w:hAnsi="Times New Roman" w:cs="Times New Roman"/>
          <w:b/>
          <w:lang w:val="pt-BR" w:eastAsia="en-US"/>
        </w:rPr>
        <w:t>Technological specialization, structural change and market integration”</w:t>
      </w:r>
    </w:p>
    <w:p w:rsidR="00DF5143" w:rsidRPr="00270DA7" w:rsidRDefault="00DF5143" w:rsidP="0001659F">
      <w:pPr>
        <w:ind w:firstLine="0"/>
        <w:rPr>
          <w:rFonts w:ascii="Times New Roman" w:hAnsi="Times New Roman" w:cs="Times New Roman"/>
          <w:b/>
          <w:lang w:val="pt-BR"/>
        </w:rPr>
      </w:pPr>
    </w:p>
    <w:p w:rsidR="00C5105C" w:rsidRPr="00007658" w:rsidRDefault="00C5105C" w:rsidP="0001659F">
      <w:pPr>
        <w:ind w:firstLine="0"/>
        <w:rPr>
          <w:rFonts w:ascii="Times New Roman" w:hAnsi="Times New Roman" w:cs="Times New Roman"/>
        </w:rPr>
      </w:pPr>
      <w:r w:rsidRPr="00007658">
        <w:rPr>
          <w:rFonts w:ascii="Times New Roman" w:hAnsi="Times New Roman" w:cs="Times New Roman"/>
          <w:b/>
        </w:rPr>
        <w:t>Introduction</w:t>
      </w:r>
    </w:p>
    <w:p w:rsidR="00C4397F" w:rsidRDefault="00C4397F" w:rsidP="0001659F">
      <w:pPr>
        <w:pStyle w:val="Corpodetexto"/>
        <w:rPr>
          <w:rFonts w:ascii="Times New Roman" w:hAnsi="Times New Roman" w:cs="Times New Roman"/>
        </w:rPr>
      </w:pPr>
    </w:p>
    <w:p w:rsidR="006A4404" w:rsidRDefault="00872157" w:rsidP="0001659F">
      <w:pPr>
        <w:pStyle w:val="Corpodetexto"/>
        <w:rPr>
          <w:rFonts w:ascii="Times New Roman" w:hAnsi="Times New Roman"/>
          <w:color w:val="FF0000"/>
        </w:rPr>
      </w:pPr>
      <w:r>
        <w:rPr>
          <w:rFonts w:ascii="Times New Roman" w:hAnsi="Times New Roman" w:cs="Times New Roman"/>
        </w:rPr>
        <w:t>The n</w:t>
      </w:r>
      <w:r w:rsidR="00C5105C" w:rsidRPr="00007658">
        <w:rPr>
          <w:rFonts w:ascii="Times New Roman" w:hAnsi="Times New Roman" w:cs="Times New Roman"/>
        </w:rPr>
        <w:t xml:space="preserve">ineties represented a crucial decade in </w:t>
      </w:r>
      <w:r w:rsidR="006D5BB0">
        <w:rPr>
          <w:rFonts w:ascii="Times New Roman" w:hAnsi="Times New Roman" w:cs="Times New Roman"/>
        </w:rPr>
        <w:t xml:space="preserve">UE and Latin American integration </w:t>
      </w:r>
      <w:r w:rsidR="00C5105C" w:rsidRPr="00007658">
        <w:rPr>
          <w:rFonts w:ascii="Times New Roman" w:hAnsi="Times New Roman" w:cs="Times New Roman"/>
        </w:rPr>
        <w:t>process</w:t>
      </w:r>
      <w:r w:rsidR="006D5BB0">
        <w:rPr>
          <w:rFonts w:ascii="Times New Roman" w:hAnsi="Times New Roman" w:cs="Times New Roman"/>
        </w:rPr>
        <w:t>es</w:t>
      </w:r>
      <w:r w:rsidR="00C5105C" w:rsidRPr="00007658">
        <w:rPr>
          <w:rFonts w:ascii="Times New Roman" w:hAnsi="Times New Roman" w:cs="Times New Roman"/>
        </w:rPr>
        <w:t xml:space="preserve">. In the technological scenario, Transnational Corporations increased their extra-frontier technological efforts and </w:t>
      </w:r>
      <w:r w:rsidR="006D5BB0">
        <w:rPr>
          <w:rFonts w:ascii="Times New Roman" w:hAnsi="Times New Roman" w:cs="Times New Roman"/>
        </w:rPr>
        <w:t xml:space="preserve">brought up </w:t>
      </w:r>
      <w:r w:rsidR="00C5105C" w:rsidRPr="00007658">
        <w:rPr>
          <w:rFonts w:ascii="Times New Roman" w:hAnsi="Times New Roman" w:cs="Times New Roman"/>
        </w:rPr>
        <w:t xml:space="preserve">new organizational </w:t>
      </w:r>
      <w:r w:rsidR="006D5BB0">
        <w:rPr>
          <w:rFonts w:ascii="Times New Roman" w:hAnsi="Times New Roman" w:cs="Times New Roman"/>
        </w:rPr>
        <w:t>modes</w:t>
      </w:r>
      <w:r w:rsidR="00C5105C" w:rsidRPr="00007658">
        <w:rPr>
          <w:rFonts w:ascii="Times New Roman" w:hAnsi="Times New Roman" w:cs="Times New Roman"/>
        </w:rPr>
        <w:t xml:space="preserve"> to manage internationalize</w:t>
      </w:r>
      <w:r w:rsidR="006D5BB0">
        <w:rPr>
          <w:rFonts w:ascii="Times New Roman" w:hAnsi="Times New Roman" w:cs="Times New Roman"/>
        </w:rPr>
        <w:t>d</w:t>
      </w:r>
      <w:r w:rsidR="00C5105C" w:rsidRPr="00007658">
        <w:rPr>
          <w:rFonts w:ascii="Times New Roman" w:hAnsi="Times New Roman" w:cs="Times New Roman"/>
        </w:rPr>
        <w:t xml:space="preserve"> </w:t>
      </w:r>
      <w:r w:rsidR="006D5BB0">
        <w:rPr>
          <w:rFonts w:ascii="Times New Roman" w:hAnsi="Times New Roman" w:cs="Times New Roman"/>
        </w:rPr>
        <w:t>R</w:t>
      </w:r>
      <w:r w:rsidR="00C5105C" w:rsidRPr="00007658">
        <w:rPr>
          <w:rFonts w:ascii="Times New Roman" w:hAnsi="Times New Roman" w:cs="Times New Roman"/>
        </w:rPr>
        <w:t>&amp;D. At the same time, countries change</w:t>
      </w:r>
      <w:r w:rsidR="006D5BB0">
        <w:rPr>
          <w:rFonts w:ascii="Times New Roman" w:hAnsi="Times New Roman" w:cs="Times New Roman"/>
        </w:rPr>
        <w:t>d</w:t>
      </w:r>
      <w:r w:rsidR="00C5105C" w:rsidRPr="00007658">
        <w:rPr>
          <w:rFonts w:ascii="Times New Roman" w:hAnsi="Times New Roman" w:cs="Times New Roman"/>
        </w:rPr>
        <w:t xml:space="preserve"> their </w:t>
      </w:r>
      <w:r w:rsidR="00DF2B9C">
        <w:rPr>
          <w:rFonts w:ascii="Times New Roman" w:hAnsi="Times New Roman" w:cs="Times New Roman"/>
        </w:rPr>
        <w:t>National T</w:t>
      </w:r>
      <w:r w:rsidR="00C5105C" w:rsidRPr="00007658">
        <w:rPr>
          <w:rFonts w:ascii="Times New Roman" w:hAnsi="Times New Roman" w:cs="Times New Roman"/>
        </w:rPr>
        <w:t xml:space="preserve">echnological </w:t>
      </w:r>
      <w:r w:rsidR="00DF2B9C">
        <w:rPr>
          <w:rFonts w:ascii="Times New Roman" w:hAnsi="Times New Roman" w:cs="Times New Roman"/>
        </w:rPr>
        <w:t>S</w:t>
      </w:r>
      <w:r w:rsidR="00C5105C" w:rsidRPr="00007658">
        <w:rPr>
          <w:rFonts w:ascii="Times New Roman" w:hAnsi="Times New Roman" w:cs="Times New Roman"/>
        </w:rPr>
        <w:t>pecialization (NTS</w:t>
      </w:r>
      <w:r w:rsidR="006D5BB0">
        <w:rPr>
          <w:rFonts w:ascii="Times New Roman" w:hAnsi="Times New Roman" w:cs="Times New Roman"/>
        </w:rPr>
        <w:t>)</w:t>
      </w:r>
      <w:r w:rsidR="00C5105C" w:rsidRPr="00007658">
        <w:rPr>
          <w:rFonts w:ascii="Times New Roman" w:hAnsi="Times New Roman" w:cs="Times New Roman"/>
        </w:rPr>
        <w:t xml:space="preserve"> </w:t>
      </w:r>
      <w:r w:rsidR="006D5BB0" w:rsidRPr="00007658">
        <w:rPr>
          <w:rFonts w:ascii="Times New Roman" w:hAnsi="Times New Roman" w:cs="Times New Roman"/>
        </w:rPr>
        <w:t>pattern</w:t>
      </w:r>
      <w:r w:rsidR="006D5BB0">
        <w:rPr>
          <w:rFonts w:ascii="Times New Roman" w:hAnsi="Times New Roman" w:cs="Times New Roman"/>
        </w:rPr>
        <w:t>s.</w:t>
      </w:r>
      <w:r w:rsidR="006A4404" w:rsidRPr="006A4404">
        <w:rPr>
          <w:rFonts w:ascii="Times New Roman" w:hAnsi="Times New Roman"/>
        </w:rPr>
        <w:t xml:space="preserve"> </w:t>
      </w:r>
      <w:r w:rsidR="006A4404">
        <w:rPr>
          <w:rFonts w:ascii="Times New Roman" w:hAnsi="Times New Roman"/>
        </w:rPr>
        <w:t>During</w:t>
      </w:r>
      <w:r w:rsidR="006A4404" w:rsidRPr="007A1AE0">
        <w:rPr>
          <w:rFonts w:ascii="Times New Roman" w:hAnsi="Times New Roman"/>
        </w:rPr>
        <w:t xml:space="preserve"> this decade,</w:t>
      </w:r>
      <w:r w:rsidR="006A4404">
        <w:rPr>
          <w:rFonts w:ascii="Times New Roman" w:hAnsi="Times New Roman"/>
        </w:rPr>
        <w:t xml:space="preserve"> the</w:t>
      </w:r>
      <w:r w:rsidR="006A4404" w:rsidRPr="007A1AE0">
        <w:rPr>
          <w:rFonts w:ascii="Times New Roman" w:hAnsi="Times New Roman"/>
        </w:rPr>
        <w:t xml:space="preserve"> European Union became a Monetary Union; America registered different processes of commercial integration like </w:t>
      </w:r>
      <w:r w:rsidR="006A4404" w:rsidRPr="006A4404">
        <w:rPr>
          <w:rFonts w:ascii="Times New Roman" w:hAnsi="Times New Roman"/>
        </w:rPr>
        <w:t>MERCOSUR</w:t>
      </w:r>
      <w:r w:rsidR="006A4404" w:rsidRPr="007A1AE0">
        <w:rPr>
          <w:rFonts w:ascii="Times New Roman" w:hAnsi="Times New Roman"/>
        </w:rPr>
        <w:t>, NAFTA or the ‘Pacto Andino’ and Brazil, the giant of La</w:t>
      </w:r>
      <w:r w:rsidR="006A4404">
        <w:rPr>
          <w:rFonts w:ascii="Times New Roman" w:hAnsi="Times New Roman"/>
        </w:rPr>
        <w:t>tin America, began a slow</w:t>
      </w:r>
      <w:r w:rsidR="006A4404" w:rsidRPr="007A1AE0">
        <w:rPr>
          <w:rFonts w:ascii="Times New Roman" w:hAnsi="Times New Roman"/>
        </w:rPr>
        <w:t xml:space="preserve"> and growing process of commercial liberalization; Eastern Europe opened its markets after the ‘Berlin wall fall’ and, in Asia, the new tigers (China, India and South Korea) began to increase aggressively their presence in the international markets. Finally, also in this decade, the Uruguay Round negotiations were recovered under the recently created WTO with the aim to establish a progressive liberalization of world trade of goods and services</w:t>
      </w:r>
      <w:r w:rsidR="006A4404">
        <w:rPr>
          <w:rFonts w:ascii="Times New Roman" w:hAnsi="Times New Roman"/>
        </w:rPr>
        <w:t>. Along the</w:t>
      </w:r>
      <w:r w:rsidR="006A4404" w:rsidRPr="007A1AE0">
        <w:rPr>
          <w:rFonts w:ascii="Times New Roman" w:hAnsi="Times New Roman"/>
        </w:rPr>
        <w:t>s</w:t>
      </w:r>
      <w:r w:rsidR="006A4404">
        <w:rPr>
          <w:rFonts w:ascii="Times New Roman" w:hAnsi="Times New Roman"/>
        </w:rPr>
        <w:t>e processes, many</w:t>
      </w:r>
      <w:r w:rsidR="006A4404" w:rsidRPr="007A1AE0">
        <w:rPr>
          <w:rFonts w:ascii="Times New Roman" w:hAnsi="Times New Roman"/>
        </w:rPr>
        <w:t xml:space="preserve"> of these economies registered deep structural transformations in their productive bases an</w:t>
      </w:r>
      <w:r w:rsidR="006A4404">
        <w:rPr>
          <w:rFonts w:ascii="Times New Roman" w:hAnsi="Times New Roman"/>
        </w:rPr>
        <w:t>d</w:t>
      </w:r>
      <w:r w:rsidR="006A4404" w:rsidRPr="007A1AE0">
        <w:rPr>
          <w:rFonts w:ascii="Times New Roman" w:hAnsi="Times New Roman"/>
        </w:rPr>
        <w:t xml:space="preserve"> export structures that have been widely studied</w:t>
      </w:r>
      <w:r w:rsidR="006A4404">
        <w:rPr>
          <w:rFonts w:ascii="Times New Roman" w:hAnsi="Times New Roman"/>
        </w:rPr>
        <w:t xml:space="preserve"> </w:t>
      </w:r>
      <w:r w:rsidR="006A4404" w:rsidRPr="008975FA">
        <w:rPr>
          <w:rFonts w:ascii="Times New Roman" w:hAnsi="Times New Roman"/>
        </w:rPr>
        <w:t xml:space="preserve">(Dalum et al, 1998; Song Tan and Ee Khor, 2006; Shafaeddin, 2005; Meyer, 2008). </w:t>
      </w:r>
    </w:p>
    <w:p w:rsidR="006A4404" w:rsidRDefault="006A4404" w:rsidP="0001659F">
      <w:pPr>
        <w:pStyle w:val="Corpodetexto"/>
        <w:rPr>
          <w:rFonts w:ascii="Times New Roman" w:hAnsi="Times New Roman" w:cs="Times New Roman"/>
        </w:rPr>
      </w:pPr>
      <w:r w:rsidRPr="00007658">
        <w:rPr>
          <w:rFonts w:ascii="Times New Roman" w:hAnsi="Times New Roman" w:cs="Times New Roman"/>
        </w:rPr>
        <w:t xml:space="preserve">Given the importance of technical progress on the long term rate of growth, literature has been developing several theoretical and empirical </w:t>
      </w:r>
      <w:r>
        <w:rPr>
          <w:rFonts w:ascii="Times New Roman" w:hAnsi="Times New Roman" w:cs="Times New Roman"/>
        </w:rPr>
        <w:t>works on the determinants of NTS</w:t>
      </w:r>
      <w:r w:rsidRPr="00007658">
        <w:rPr>
          <w:rFonts w:ascii="Times New Roman" w:hAnsi="Times New Roman" w:cs="Times New Roman"/>
        </w:rPr>
        <w:t xml:space="preserve"> and on its persistent versus dynamic character. NTS distributions are </w:t>
      </w:r>
      <w:r>
        <w:rPr>
          <w:rFonts w:ascii="Times New Roman" w:hAnsi="Times New Roman" w:cs="Times New Roman"/>
        </w:rPr>
        <w:t>n</w:t>
      </w:r>
      <w:r w:rsidRPr="00007658">
        <w:rPr>
          <w:rFonts w:ascii="Times New Roman" w:hAnsi="Times New Roman" w:cs="Times New Roman"/>
        </w:rPr>
        <w:t xml:space="preserve">either random </w:t>
      </w:r>
      <w:r>
        <w:rPr>
          <w:rFonts w:ascii="Times New Roman" w:hAnsi="Times New Roman" w:cs="Times New Roman"/>
        </w:rPr>
        <w:t>n</w:t>
      </w:r>
      <w:r w:rsidRPr="00007658">
        <w:rPr>
          <w:rFonts w:ascii="Times New Roman" w:hAnsi="Times New Roman" w:cs="Times New Roman"/>
        </w:rPr>
        <w:t xml:space="preserve">or indifferent to long term growth </w:t>
      </w:r>
      <w:r>
        <w:rPr>
          <w:rFonts w:ascii="Times New Roman" w:hAnsi="Times New Roman" w:cs="Times New Roman"/>
        </w:rPr>
        <w:t>and</w:t>
      </w:r>
      <w:r w:rsidRPr="00007658">
        <w:rPr>
          <w:rFonts w:ascii="Times New Roman" w:hAnsi="Times New Roman" w:cs="Times New Roman"/>
        </w:rPr>
        <w:t xml:space="preserve"> can be a strong determinant of long term growth and explain the persistence of development and technological ga</w:t>
      </w:r>
      <w:r>
        <w:rPr>
          <w:rFonts w:ascii="Times New Roman" w:hAnsi="Times New Roman" w:cs="Times New Roman"/>
        </w:rPr>
        <w:t>ps over time</w:t>
      </w:r>
      <w:r w:rsidRPr="00007658">
        <w:rPr>
          <w:rFonts w:ascii="Times New Roman" w:hAnsi="Times New Roman" w:cs="Times New Roman"/>
        </w:rPr>
        <w:t xml:space="preserve"> </w:t>
      </w:r>
      <w:bookmarkStart w:id="0" w:name="OLE_LINK3"/>
      <w:bookmarkStart w:id="1" w:name="OLE_LINK4"/>
      <w:r w:rsidRPr="00F815D0">
        <w:rPr>
          <w:rFonts w:ascii="Times New Roman" w:hAnsi="Times New Roman" w:cs="Times New Roman"/>
        </w:rPr>
        <w:t>(Montobbio and Rampa, 2005).</w:t>
      </w:r>
      <w:bookmarkEnd w:id="0"/>
      <w:bookmarkEnd w:id="1"/>
      <w:r>
        <w:rPr>
          <w:rFonts w:ascii="Times New Roman" w:hAnsi="Times New Roman" w:cs="Times New Roman"/>
        </w:rPr>
        <w:t xml:space="preserve"> </w:t>
      </w:r>
      <w:r w:rsidRPr="007A1AE0">
        <w:rPr>
          <w:rFonts w:ascii="Times New Roman" w:hAnsi="Times New Roman"/>
        </w:rPr>
        <w:t xml:space="preserve">But there is no theoretical or empirical works to associate the integration phenomena to changes in </w:t>
      </w:r>
      <w:r>
        <w:rPr>
          <w:rFonts w:ascii="Times New Roman" w:hAnsi="Times New Roman"/>
        </w:rPr>
        <w:t>NTS patterns</w:t>
      </w:r>
      <w:r w:rsidRPr="007A1AE0">
        <w:rPr>
          <w:rFonts w:ascii="Times New Roman" w:hAnsi="Times New Roman"/>
        </w:rPr>
        <w:t xml:space="preserve"> considered as a dimension of structural change</w:t>
      </w:r>
      <w:r>
        <w:rPr>
          <w:rFonts w:ascii="Times New Roman" w:hAnsi="Times New Roman"/>
        </w:rPr>
        <w:t>.</w:t>
      </w:r>
      <w:r w:rsidRPr="006A4404">
        <w:rPr>
          <w:rFonts w:ascii="Times New Roman" w:hAnsi="Times New Roman" w:cs="Times New Roman"/>
        </w:rPr>
        <w:t xml:space="preserve"> </w:t>
      </w:r>
      <w:r w:rsidRPr="002A172B">
        <w:rPr>
          <w:rFonts w:ascii="Times New Roman" w:hAnsi="Times New Roman" w:cs="Times New Roman"/>
        </w:rPr>
        <w:t>Under the hypotheses that the increasing integration processes</w:t>
      </w:r>
      <w:r>
        <w:rPr>
          <w:rFonts w:ascii="Times New Roman" w:hAnsi="Times New Roman" w:cs="Times New Roman"/>
        </w:rPr>
        <w:t xml:space="preserve"> from nineties must have provoked deep structural transformations in countries, this work proposes: 1) to estimate the main changes observed in NTS and convergence for UE and Latin American countries between pre and post-integration periods; and, 2) to assess the extent to which mobility can be a phenomenon associated with structural change that usually accompany the integration processes. </w:t>
      </w:r>
    </w:p>
    <w:p w:rsidR="006A4404" w:rsidRDefault="006A4404" w:rsidP="0001659F">
      <w:pPr>
        <w:pStyle w:val="Corpodetexto"/>
        <w:rPr>
          <w:rFonts w:ascii="Times New Roman" w:hAnsi="Times New Roman" w:cs="Times New Roman"/>
        </w:rPr>
      </w:pPr>
    </w:p>
    <w:p w:rsidR="006A4404" w:rsidRPr="009A6439" w:rsidRDefault="009A6439" w:rsidP="0001659F">
      <w:pPr>
        <w:pStyle w:val="Corpodetexto"/>
        <w:numPr>
          <w:ilvl w:val="0"/>
          <w:numId w:val="4"/>
        </w:numPr>
        <w:rPr>
          <w:rFonts w:ascii="Times New Roman" w:hAnsi="Times New Roman" w:cs="Times New Roman"/>
          <w:b/>
          <w:bCs/>
        </w:rPr>
      </w:pPr>
      <w:r w:rsidRPr="009A6439">
        <w:rPr>
          <w:rFonts w:ascii="Times New Roman" w:hAnsi="Times New Roman" w:cs="Times New Roman"/>
          <w:b/>
          <w:bCs/>
        </w:rPr>
        <w:t xml:space="preserve">Technological specialization </w:t>
      </w:r>
      <w:r>
        <w:rPr>
          <w:rFonts w:ascii="Times New Roman" w:hAnsi="Times New Roman" w:cs="Times New Roman"/>
          <w:b/>
          <w:bCs/>
        </w:rPr>
        <w:t>and</w:t>
      </w:r>
      <w:r w:rsidRPr="009A6439">
        <w:rPr>
          <w:rFonts w:ascii="Times New Roman" w:hAnsi="Times New Roman" w:cs="Times New Roman"/>
          <w:b/>
          <w:bCs/>
        </w:rPr>
        <w:t xml:space="preserve"> market integration.</w:t>
      </w:r>
    </w:p>
    <w:p w:rsidR="00C4397F" w:rsidRDefault="00C4397F" w:rsidP="0001659F">
      <w:pPr>
        <w:pStyle w:val="Corpodetexto"/>
        <w:rPr>
          <w:rFonts w:ascii="Times New Roman" w:hAnsi="Times New Roman" w:cs="Times New Roman"/>
        </w:rPr>
      </w:pPr>
    </w:p>
    <w:p w:rsidR="00606F5E" w:rsidRDefault="00653286" w:rsidP="0001659F">
      <w:pPr>
        <w:pStyle w:val="Corpodetexto"/>
        <w:rPr>
          <w:rFonts w:ascii="Times New Roman" w:hAnsi="Times New Roman" w:cs="Times New Roman"/>
        </w:rPr>
      </w:pPr>
      <w:r>
        <w:rPr>
          <w:rFonts w:ascii="Times New Roman" w:hAnsi="Times New Roman" w:cs="Times New Roman"/>
        </w:rPr>
        <w:t xml:space="preserve">NTS represents the regularity of a national technological activity across fields of knowledge, that is, national technological competences. Specific distributions of national technological competences and capabilities are the result of three sets of forces: i) forces of </w:t>
      </w:r>
      <w:r>
        <w:rPr>
          <w:rFonts w:ascii="Times New Roman" w:hAnsi="Times New Roman" w:cs="Times New Roman"/>
          <w:i/>
        </w:rPr>
        <w:t>autonomous character</w:t>
      </w:r>
      <w:r>
        <w:rPr>
          <w:rFonts w:ascii="Times New Roman" w:hAnsi="Times New Roman" w:cs="Times New Roman"/>
        </w:rPr>
        <w:t xml:space="preserve">; ii), forces of </w:t>
      </w:r>
      <w:r>
        <w:rPr>
          <w:rFonts w:ascii="Times New Roman" w:hAnsi="Times New Roman" w:cs="Times New Roman"/>
          <w:i/>
        </w:rPr>
        <w:t>structural character</w:t>
      </w:r>
      <w:r>
        <w:rPr>
          <w:rFonts w:ascii="Times New Roman" w:hAnsi="Times New Roman" w:cs="Times New Roman"/>
        </w:rPr>
        <w:t xml:space="preserve">; and ii) forces of </w:t>
      </w:r>
      <w:r>
        <w:rPr>
          <w:rFonts w:ascii="Times New Roman" w:hAnsi="Times New Roman" w:cs="Times New Roman"/>
          <w:i/>
        </w:rPr>
        <w:t>induced character</w:t>
      </w:r>
      <w:r>
        <w:rPr>
          <w:rFonts w:ascii="Times New Roman" w:hAnsi="Times New Roman" w:cs="Times New Roman"/>
        </w:rPr>
        <w:t xml:space="preserve">, represented by the National Innovations Systems. </w:t>
      </w:r>
    </w:p>
    <w:p w:rsidR="00606F5E" w:rsidRPr="00A4194A" w:rsidRDefault="00653286" w:rsidP="0001659F">
      <w:pPr>
        <w:pStyle w:val="Corpodetexto"/>
        <w:rPr>
          <w:rFonts w:ascii="Times New Roman" w:hAnsi="Times New Roman" w:cs="Times New Roman"/>
        </w:rPr>
      </w:pPr>
      <w:r>
        <w:rPr>
          <w:rFonts w:ascii="Times New Roman" w:hAnsi="Times New Roman" w:cs="Times New Roman"/>
        </w:rPr>
        <w:t xml:space="preserve">The </w:t>
      </w:r>
      <w:r w:rsidRPr="00606F5E">
        <w:rPr>
          <w:rFonts w:ascii="Times New Roman" w:hAnsi="Times New Roman" w:cs="Times New Roman"/>
          <w:i/>
          <w:iCs/>
        </w:rPr>
        <w:t xml:space="preserve">autonomous forces </w:t>
      </w:r>
      <w:r>
        <w:rPr>
          <w:rFonts w:ascii="Times New Roman" w:hAnsi="Times New Roman" w:cs="Times New Roman"/>
        </w:rPr>
        <w:t>of technical change are the elements that compose the ‘technological regimes’, those are appropriability,  cumulativeness</w:t>
      </w:r>
      <w:r w:rsidR="00F815D0">
        <w:rPr>
          <w:rFonts w:ascii="Times New Roman" w:hAnsi="Times New Roman" w:cs="Times New Roman"/>
        </w:rPr>
        <w:t>, opportunity</w:t>
      </w:r>
      <w:r>
        <w:rPr>
          <w:rFonts w:ascii="Times New Roman" w:hAnsi="Times New Roman" w:cs="Times New Roman"/>
        </w:rPr>
        <w:t xml:space="preserve"> and demand </w:t>
      </w:r>
      <w:bookmarkStart w:id="2" w:name="OLE_LINK5"/>
      <w:bookmarkStart w:id="3" w:name="OLE_LINK6"/>
      <w:r w:rsidRPr="00F815D0">
        <w:rPr>
          <w:rFonts w:ascii="Times New Roman" w:hAnsi="Times New Roman" w:cs="Times New Roman"/>
        </w:rPr>
        <w:t>(Dosi, 1988; Cohen, 1995).</w:t>
      </w:r>
      <w:bookmarkEnd w:id="2"/>
      <w:bookmarkEnd w:id="3"/>
      <w:r>
        <w:rPr>
          <w:rFonts w:ascii="Times New Roman" w:hAnsi="Times New Roman" w:cs="Times New Roman"/>
        </w:rPr>
        <w:t xml:space="preserve"> </w:t>
      </w:r>
      <w:r w:rsidR="00C5105C" w:rsidRPr="002A172B">
        <w:rPr>
          <w:rFonts w:ascii="Times New Roman" w:hAnsi="Times New Roman" w:cs="Times New Roman"/>
        </w:rPr>
        <w:t>Technological accumulation explains the ‘continuity’ of technical change</w:t>
      </w:r>
      <w:r w:rsidR="00D30CB3" w:rsidRPr="002A172B">
        <w:rPr>
          <w:rFonts w:ascii="Times New Roman" w:hAnsi="Times New Roman" w:cs="Times New Roman"/>
        </w:rPr>
        <w:t xml:space="preserve"> and the stability of NTS patterns</w:t>
      </w:r>
      <w:r w:rsidR="00C5105C" w:rsidRPr="002A172B">
        <w:rPr>
          <w:rFonts w:ascii="Times New Roman" w:hAnsi="Times New Roman" w:cs="Times New Roman"/>
        </w:rPr>
        <w:t>. Given that each technology has specific knowledge</w:t>
      </w:r>
      <w:r w:rsidR="00E37A78" w:rsidRPr="002A172B">
        <w:rPr>
          <w:rFonts w:ascii="Times New Roman" w:hAnsi="Times New Roman" w:cs="Times New Roman"/>
        </w:rPr>
        <w:t xml:space="preserve"> bases</w:t>
      </w:r>
      <w:r w:rsidR="00C5105C" w:rsidRPr="002A172B">
        <w:rPr>
          <w:rFonts w:ascii="Times New Roman" w:hAnsi="Times New Roman" w:cs="Times New Roman"/>
        </w:rPr>
        <w:t xml:space="preserve">, the </w:t>
      </w:r>
      <w:r w:rsidR="00E37A78" w:rsidRPr="002A172B">
        <w:rPr>
          <w:rFonts w:ascii="Times New Roman" w:hAnsi="Times New Roman" w:cs="Times New Roman"/>
        </w:rPr>
        <w:t xml:space="preserve">direction of </w:t>
      </w:r>
      <w:r w:rsidR="00C5105C" w:rsidRPr="002A172B">
        <w:rPr>
          <w:rFonts w:ascii="Times New Roman" w:hAnsi="Times New Roman" w:cs="Times New Roman"/>
        </w:rPr>
        <w:t>technical</w:t>
      </w:r>
      <w:r w:rsidR="00E37A78" w:rsidRPr="002A172B">
        <w:rPr>
          <w:rFonts w:ascii="Times New Roman" w:hAnsi="Times New Roman" w:cs="Times New Roman"/>
        </w:rPr>
        <w:t xml:space="preserve"> change</w:t>
      </w:r>
      <w:r w:rsidR="00C5105C" w:rsidRPr="002A172B">
        <w:rPr>
          <w:rFonts w:ascii="Times New Roman" w:hAnsi="Times New Roman" w:cs="Times New Roman"/>
        </w:rPr>
        <w:t xml:space="preserve"> will depend on the way each country acquire and accumulate new knowledge </w:t>
      </w:r>
      <w:r w:rsidR="00D30CB3" w:rsidRPr="002A172B">
        <w:rPr>
          <w:rFonts w:ascii="Times New Roman" w:hAnsi="Times New Roman" w:cs="Times New Roman"/>
        </w:rPr>
        <w:t>over</w:t>
      </w:r>
      <w:r w:rsidR="00E37A78" w:rsidRPr="002A172B">
        <w:rPr>
          <w:rFonts w:ascii="Times New Roman" w:hAnsi="Times New Roman" w:cs="Times New Roman"/>
        </w:rPr>
        <w:t xml:space="preserve"> their </w:t>
      </w:r>
      <w:r w:rsidR="00D30CB3" w:rsidRPr="002A172B">
        <w:rPr>
          <w:rFonts w:ascii="Times New Roman" w:hAnsi="Times New Roman" w:cs="Times New Roman"/>
        </w:rPr>
        <w:t xml:space="preserve">previous </w:t>
      </w:r>
      <w:r w:rsidR="00E37A78" w:rsidRPr="002A172B">
        <w:rPr>
          <w:rFonts w:ascii="Times New Roman" w:hAnsi="Times New Roman" w:cs="Times New Roman"/>
        </w:rPr>
        <w:t>bases</w:t>
      </w:r>
      <w:r w:rsidR="00B161B5" w:rsidRPr="002A172B">
        <w:rPr>
          <w:rFonts w:ascii="Times New Roman" w:hAnsi="Times New Roman" w:cs="Times New Roman"/>
        </w:rPr>
        <w:t xml:space="preserve"> of knowledge</w:t>
      </w:r>
      <w:r w:rsidR="00E37A78" w:rsidRPr="002A172B">
        <w:rPr>
          <w:rFonts w:ascii="Times New Roman" w:hAnsi="Times New Roman" w:cs="Times New Roman"/>
        </w:rPr>
        <w:t>, that</w:t>
      </w:r>
      <w:r w:rsidR="00C5105C" w:rsidRPr="002A172B">
        <w:rPr>
          <w:rFonts w:ascii="Times New Roman" w:hAnsi="Times New Roman" w:cs="Times New Roman"/>
        </w:rPr>
        <w:t xml:space="preserve"> is, its pattern of learning </w:t>
      </w:r>
      <w:r w:rsidR="00811B2D" w:rsidRPr="002A172B">
        <w:rPr>
          <w:rFonts w:ascii="Times New Roman" w:hAnsi="Times New Roman" w:cs="Times New Roman"/>
        </w:rPr>
        <w:t xml:space="preserve">and its absorptive capacity </w:t>
      </w:r>
      <w:bookmarkStart w:id="4" w:name="OLE_LINK7"/>
      <w:bookmarkStart w:id="5" w:name="OLE_LINK8"/>
      <w:r w:rsidR="00C5105C" w:rsidRPr="002A172B">
        <w:rPr>
          <w:rFonts w:ascii="Times New Roman" w:hAnsi="Times New Roman" w:cs="Times New Roman"/>
        </w:rPr>
        <w:t xml:space="preserve">(Malerba, 1992; </w:t>
      </w:r>
      <w:r w:rsidR="00ED2D04" w:rsidRPr="002A172B">
        <w:rPr>
          <w:rFonts w:ascii="Times New Roman" w:hAnsi="Times New Roman" w:cs="Times New Roman"/>
        </w:rPr>
        <w:t xml:space="preserve">Malerba et al (1997); </w:t>
      </w:r>
      <w:r w:rsidR="00C5105C" w:rsidRPr="002A172B">
        <w:rPr>
          <w:rFonts w:ascii="Times New Roman" w:hAnsi="Times New Roman" w:cs="Times New Roman"/>
        </w:rPr>
        <w:t xml:space="preserve">Malerba </w:t>
      </w:r>
      <w:r w:rsidR="00811B2D" w:rsidRPr="002A172B">
        <w:rPr>
          <w:rFonts w:ascii="Times New Roman" w:hAnsi="Times New Roman" w:cs="Times New Roman"/>
        </w:rPr>
        <w:t>and</w:t>
      </w:r>
      <w:r w:rsidR="00C5105C" w:rsidRPr="002A172B">
        <w:rPr>
          <w:rFonts w:ascii="Times New Roman" w:hAnsi="Times New Roman" w:cs="Times New Roman"/>
        </w:rPr>
        <w:t xml:space="preserve"> Montobbio, 2003</w:t>
      </w:r>
      <w:r w:rsidR="00811B2D" w:rsidRPr="002A172B">
        <w:rPr>
          <w:rFonts w:ascii="Times New Roman" w:hAnsi="Times New Roman" w:cs="Times New Roman"/>
        </w:rPr>
        <w:t xml:space="preserve">; Cohen </w:t>
      </w:r>
      <w:r w:rsidR="00ED2D04" w:rsidRPr="002A172B">
        <w:rPr>
          <w:rFonts w:ascii="Times New Roman" w:hAnsi="Times New Roman" w:cs="Times New Roman"/>
        </w:rPr>
        <w:t>and</w:t>
      </w:r>
      <w:r w:rsidR="00811B2D" w:rsidRPr="002A172B">
        <w:rPr>
          <w:rFonts w:ascii="Times New Roman" w:hAnsi="Times New Roman" w:cs="Times New Roman"/>
        </w:rPr>
        <w:t xml:space="preserve"> Levinthal, 1990</w:t>
      </w:r>
      <w:r w:rsidR="00C5105C" w:rsidRPr="002A172B">
        <w:rPr>
          <w:rFonts w:ascii="Times New Roman" w:hAnsi="Times New Roman" w:cs="Times New Roman"/>
        </w:rPr>
        <w:t>).</w:t>
      </w:r>
      <w:bookmarkEnd w:id="4"/>
      <w:bookmarkEnd w:id="5"/>
      <w:r w:rsidR="00C5105C" w:rsidRPr="002A172B">
        <w:rPr>
          <w:rFonts w:ascii="Times New Roman" w:hAnsi="Times New Roman" w:cs="Times New Roman"/>
        </w:rPr>
        <w:t xml:space="preserve"> The idiosyncratic </w:t>
      </w:r>
      <w:r w:rsidR="00D30CB3" w:rsidRPr="002A172B">
        <w:rPr>
          <w:rFonts w:ascii="Times New Roman" w:hAnsi="Times New Roman" w:cs="Times New Roman"/>
        </w:rPr>
        <w:t xml:space="preserve">and specific </w:t>
      </w:r>
      <w:r w:rsidR="00C5105C" w:rsidRPr="002A172B">
        <w:rPr>
          <w:rFonts w:ascii="Times New Roman" w:hAnsi="Times New Roman" w:cs="Times New Roman"/>
        </w:rPr>
        <w:t xml:space="preserve">character of </w:t>
      </w:r>
      <w:r w:rsidR="00E37A78" w:rsidRPr="002A172B">
        <w:rPr>
          <w:rFonts w:ascii="Times New Roman" w:hAnsi="Times New Roman" w:cs="Times New Roman"/>
        </w:rPr>
        <w:t xml:space="preserve">knowledge </w:t>
      </w:r>
      <w:r w:rsidR="00C5105C" w:rsidRPr="002A172B">
        <w:rPr>
          <w:rFonts w:ascii="Times New Roman" w:hAnsi="Times New Roman" w:cs="Times New Roman"/>
        </w:rPr>
        <w:t xml:space="preserve">accumulation processes </w:t>
      </w:r>
      <w:r w:rsidR="00811B2D" w:rsidRPr="002A172B">
        <w:rPr>
          <w:rFonts w:ascii="Times New Roman" w:hAnsi="Times New Roman" w:cs="Times New Roman"/>
        </w:rPr>
        <w:t xml:space="preserve">make the evolution of technical change constrained </w:t>
      </w:r>
      <w:r w:rsidRPr="002A172B">
        <w:rPr>
          <w:rFonts w:ascii="Times New Roman" w:hAnsi="Times New Roman" w:cs="Times New Roman"/>
        </w:rPr>
        <w:t>by</w:t>
      </w:r>
      <w:r w:rsidR="00811B2D" w:rsidRPr="002A172B">
        <w:rPr>
          <w:rFonts w:ascii="Times New Roman" w:hAnsi="Times New Roman" w:cs="Times New Roman"/>
        </w:rPr>
        <w:t xml:space="preserve"> path dependenc</w:t>
      </w:r>
      <w:r w:rsidRPr="002A172B">
        <w:rPr>
          <w:rFonts w:ascii="Times New Roman" w:hAnsi="Times New Roman" w:cs="Times New Roman"/>
        </w:rPr>
        <w:t>y</w:t>
      </w:r>
      <w:r w:rsidR="00C5105C" w:rsidRPr="002A172B">
        <w:rPr>
          <w:rFonts w:ascii="Times New Roman" w:hAnsi="Times New Roman" w:cs="Times New Roman"/>
        </w:rPr>
        <w:t>. In the presence</w:t>
      </w:r>
      <w:r w:rsidR="00C5105C" w:rsidRPr="00007658">
        <w:rPr>
          <w:rFonts w:ascii="Times New Roman" w:hAnsi="Times New Roman" w:cs="Times New Roman"/>
        </w:rPr>
        <w:t xml:space="preserve"> of international barriers to diffusion, knowledge </w:t>
      </w:r>
      <w:r w:rsidR="004C0C00" w:rsidRPr="00007658">
        <w:rPr>
          <w:rFonts w:ascii="Times New Roman" w:hAnsi="Times New Roman" w:cs="Times New Roman"/>
        </w:rPr>
        <w:t xml:space="preserve">spillovers </w:t>
      </w:r>
      <w:r w:rsidR="00C5105C" w:rsidRPr="00007658">
        <w:rPr>
          <w:rFonts w:ascii="Times New Roman" w:hAnsi="Times New Roman" w:cs="Times New Roman"/>
        </w:rPr>
        <w:t>acquire an accentuated national character. This could conduct countries to lock-in</w:t>
      </w:r>
      <w:r w:rsidR="00FC402F">
        <w:rPr>
          <w:rFonts w:ascii="Times New Roman" w:hAnsi="Times New Roman" w:cs="Times New Roman"/>
        </w:rPr>
        <w:t xml:space="preserve"> and </w:t>
      </w:r>
      <w:r w:rsidR="00FC402F" w:rsidRPr="00007658">
        <w:rPr>
          <w:rFonts w:ascii="Times New Roman" w:hAnsi="Times New Roman" w:cs="Times New Roman"/>
        </w:rPr>
        <w:t>‘technological persistence’</w:t>
      </w:r>
      <w:r w:rsidR="00C5105C" w:rsidRPr="00007658">
        <w:rPr>
          <w:rFonts w:ascii="Times New Roman" w:hAnsi="Times New Roman" w:cs="Times New Roman"/>
        </w:rPr>
        <w:t xml:space="preserve">, </w:t>
      </w:r>
      <w:r w:rsidR="004C0C00">
        <w:rPr>
          <w:rFonts w:ascii="Times New Roman" w:hAnsi="Times New Roman" w:cs="Times New Roman"/>
        </w:rPr>
        <w:t>that</w:t>
      </w:r>
      <w:r w:rsidR="00C5105C" w:rsidRPr="00007658">
        <w:rPr>
          <w:rFonts w:ascii="Times New Roman" w:hAnsi="Times New Roman" w:cs="Times New Roman"/>
        </w:rPr>
        <w:t xml:space="preserve"> is, the future reproduces the past and small initial differences can drive to divergence between </w:t>
      </w:r>
      <w:r w:rsidR="004C0C00">
        <w:rPr>
          <w:rFonts w:ascii="Times New Roman" w:hAnsi="Times New Roman" w:cs="Times New Roman"/>
        </w:rPr>
        <w:lastRenderedPageBreak/>
        <w:t xml:space="preserve">countries’ </w:t>
      </w:r>
      <w:r w:rsidR="00C5105C" w:rsidRPr="00007658">
        <w:rPr>
          <w:rFonts w:ascii="Times New Roman" w:hAnsi="Times New Roman" w:cs="Times New Roman"/>
        </w:rPr>
        <w:t>NTS and</w:t>
      </w:r>
      <w:r w:rsidR="004C0C00">
        <w:rPr>
          <w:rFonts w:ascii="Times New Roman" w:hAnsi="Times New Roman" w:cs="Times New Roman"/>
        </w:rPr>
        <w:t xml:space="preserve"> </w:t>
      </w:r>
      <w:r w:rsidR="00C5105C" w:rsidRPr="00007658">
        <w:rPr>
          <w:rFonts w:ascii="Times New Roman" w:hAnsi="Times New Roman" w:cs="Times New Roman"/>
        </w:rPr>
        <w:t xml:space="preserve">to unequal rates of growth among countries </w:t>
      </w:r>
      <w:r w:rsidR="004C0C00">
        <w:rPr>
          <w:rFonts w:ascii="Times New Roman" w:hAnsi="Times New Roman" w:cs="Times New Roman"/>
        </w:rPr>
        <w:t>with</w:t>
      </w:r>
      <w:r w:rsidR="00C5105C" w:rsidRPr="00007658">
        <w:rPr>
          <w:rFonts w:ascii="Times New Roman" w:hAnsi="Times New Roman" w:cs="Times New Roman"/>
        </w:rPr>
        <w:t xml:space="preserve"> an elevated degree of irreversibility</w:t>
      </w:r>
      <w:r w:rsidR="00D30CB3">
        <w:rPr>
          <w:rFonts w:ascii="Times New Roman" w:hAnsi="Times New Roman" w:cs="Times New Roman"/>
        </w:rPr>
        <w:t xml:space="preserve"> </w:t>
      </w:r>
      <w:bookmarkStart w:id="6" w:name="OLE_LINK11"/>
      <w:bookmarkStart w:id="7" w:name="OLE_LINK12"/>
      <w:r w:rsidR="00D30CB3" w:rsidRPr="00A4194A">
        <w:rPr>
          <w:rFonts w:ascii="Times New Roman" w:hAnsi="Times New Roman" w:cs="Times New Roman"/>
        </w:rPr>
        <w:t>(Mancusi, 2001)</w:t>
      </w:r>
      <w:r w:rsidR="00C5105C" w:rsidRPr="00A4194A">
        <w:rPr>
          <w:rFonts w:ascii="Times New Roman" w:hAnsi="Times New Roman" w:cs="Times New Roman"/>
        </w:rPr>
        <w:t>.</w:t>
      </w:r>
      <w:r w:rsidR="00606F5E" w:rsidRPr="00A4194A">
        <w:rPr>
          <w:rFonts w:ascii="Times New Roman" w:hAnsi="Times New Roman" w:cs="Times New Roman"/>
        </w:rPr>
        <w:t xml:space="preserve"> Persistence</w:t>
      </w:r>
      <w:r w:rsidR="00606F5E" w:rsidRPr="007A1AE0">
        <w:rPr>
          <w:rFonts w:ascii="Times New Roman" w:hAnsi="Times New Roman" w:cs="Times New Roman"/>
        </w:rPr>
        <w:t xml:space="preserve"> explains why NTS remain stable along time, especially in technical fields with feeble specialization </w:t>
      </w:r>
      <w:r w:rsidR="00606F5E" w:rsidRPr="00606F5E">
        <w:rPr>
          <w:rFonts w:ascii="Times New Roman" w:hAnsi="Times New Roman" w:cs="Times New Roman"/>
          <w:color w:val="FF0000"/>
        </w:rPr>
        <w:t>(</w:t>
      </w:r>
      <w:r w:rsidR="00606F5E" w:rsidRPr="00A4194A">
        <w:rPr>
          <w:rFonts w:ascii="Times New Roman" w:hAnsi="Times New Roman" w:cs="Times New Roman"/>
        </w:rPr>
        <w:t xml:space="preserve">Mancusi, 2001; 2003). Under this approach, NTS is explained by a “unique historical process” and not by </w:t>
      </w:r>
      <w:r w:rsidR="00606F5E" w:rsidRPr="00A4194A">
        <w:rPr>
          <w:rFonts w:ascii="Times New Roman" w:hAnsi="Times New Roman" w:cs="Times New Roman"/>
          <w:bCs/>
        </w:rPr>
        <w:t>relative factor endowments</w:t>
      </w:r>
      <w:r w:rsidR="00606F5E" w:rsidRPr="00A4194A">
        <w:rPr>
          <w:bCs/>
          <w:sz w:val="20"/>
          <w:szCs w:val="20"/>
        </w:rPr>
        <w:t xml:space="preserve"> </w:t>
      </w:r>
      <w:r w:rsidR="00606F5E" w:rsidRPr="00A4194A">
        <w:rPr>
          <w:rFonts w:ascii="Times New Roman" w:hAnsi="Times New Roman" w:cs="Times New Roman"/>
          <w:bCs/>
        </w:rPr>
        <w:t>(Stolpe, 1995).</w:t>
      </w:r>
    </w:p>
    <w:p w:rsidR="005708E4" w:rsidRDefault="00806A96" w:rsidP="0001659F">
      <w:pPr>
        <w:pStyle w:val="Corpodetexto"/>
        <w:rPr>
          <w:rFonts w:ascii="Times New Roman" w:hAnsi="Times New Roman" w:cs="Times New Roman"/>
        </w:rPr>
      </w:pPr>
      <w:r>
        <w:rPr>
          <w:rFonts w:ascii="Times New Roman" w:hAnsi="Times New Roman" w:cs="Times New Roman"/>
        </w:rPr>
        <w:t xml:space="preserve"> </w:t>
      </w:r>
      <w:bookmarkEnd w:id="6"/>
      <w:bookmarkEnd w:id="7"/>
      <w:r w:rsidR="00606F5E">
        <w:rPr>
          <w:rFonts w:ascii="Times New Roman" w:hAnsi="Times New Roman" w:cs="Times New Roman"/>
        </w:rPr>
        <w:t>T</w:t>
      </w:r>
      <w:r w:rsidR="00C5105C" w:rsidRPr="00007658">
        <w:rPr>
          <w:rFonts w:ascii="Times New Roman" w:hAnsi="Times New Roman" w:cs="Times New Roman"/>
        </w:rPr>
        <w:t xml:space="preserve">echnological opportunity </w:t>
      </w:r>
      <w:r w:rsidR="00C5105C">
        <w:rPr>
          <w:rFonts w:ascii="Times New Roman" w:hAnsi="Times New Roman" w:cs="Times New Roman"/>
        </w:rPr>
        <w:t xml:space="preserve">represents a force towards mobility. </w:t>
      </w:r>
      <w:r w:rsidR="00C5105C" w:rsidRPr="00007658">
        <w:rPr>
          <w:rFonts w:ascii="Times New Roman" w:hAnsi="Times New Roman" w:cs="Times New Roman"/>
        </w:rPr>
        <w:t xml:space="preserve">The </w:t>
      </w:r>
      <w:r w:rsidR="004C0C00">
        <w:rPr>
          <w:rFonts w:ascii="Times New Roman" w:hAnsi="Times New Roman" w:cs="Times New Roman"/>
        </w:rPr>
        <w:t>opening</w:t>
      </w:r>
      <w:r w:rsidR="00C5105C" w:rsidRPr="00007658">
        <w:rPr>
          <w:rFonts w:ascii="Times New Roman" w:hAnsi="Times New Roman" w:cs="Times New Roman"/>
        </w:rPr>
        <w:t xml:space="preserve"> of </w:t>
      </w:r>
      <w:r w:rsidR="004C0C00" w:rsidRPr="00007658">
        <w:rPr>
          <w:rFonts w:ascii="Times New Roman" w:hAnsi="Times New Roman" w:cs="Times New Roman"/>
        </w:rPr>
        <w:t xml:space="preserve">windows </w:t>
      </w:r>
      <w:r w:rsidR="004C0C00">
        <w:rPr>
          <w:rFonts w:ascii="Times New Roman" w:hAnsi="Times New Roman" w:cs="Times New Roman"/>
        </w:rPr>
        <w:t xml:space="preserve">of opportunity in </w:t>
      </w:r>
      <w:r w:rsidR="00C5105C" w:rsidRPr="00007658">
        <w:rPr>
          <w:rFonts w:ascii="Times New Roman" w:hAnsi="Times New Roman" w:cs="Times New Roman"/>
        </w:rPr>
        <w:t>techn</w:t>
      </w:r>
      <w:r w:rsidR="004C0C00">
        <w:rPr>
          <w:rFonts w:ascii="Times New Roman" w:hAnsi="Times New Roman" w:cs="Times New Roman"/>
        </w:rPr>
        <w:t>ical change</w:t>
      </w:r>
      <w:r w:rsidR="00C5105C" w:rsidRPr="00007658">
        <w:rPr>
          <w:rFonts w:ascii="Times New Roman" w:hAnsi="Times New Roman" w:cs="Times New Roman"/>
        </w:rPr>
        <w:t xml:space="preserve"> and the </w:t>
      </w:r>
      <w:r w:rsidR="004C0C00">
        <w:rPr>
          <w:rFonts w:ascii="Times New Roman" w:hAnsi="Times New Roman" w:cs="Times New Roman"/>
        </w:rPr>
        <w:t>emergence</w:t>
      </w:r>
      <w:r w:rsidR="00C5105C" w:rsidRPr="00007658">
        <w:rPr>
          <w:rFonts w:ascii="Times New Roman" w:hAnsi="Times New Roman" w:cs="Times New Roman"/>
        </w:rPr>
        <w:t xml:space="preserve"> of new micro-paradigms in the international scenario can stimulate </w:t>
      </w:r>
      <w:r w:rsidR="005708E4">
        <w:rPr>
          <w:rFonts w:ascii="Times New Roman" w:hAnsi="Times New Roman" w:cs="Times New Roman"/>
        </w:rPr>
        <w:t xml:space="preserve">the full </w:t>
      </w:r>
      <w:r w:rsidR="005708E4" w:rsidRPr="007A1AE0">
        <w:rPr>
          <w:rFonts w:ascii="Times New Roman" w:hAnsi="Times New Roman" w:cs="Times New Roman"/>
        </w:rPr>
        <w:t xml:space="preserve">advantage of national competences driving to a re-allocation of resources from some technologies to others, that is, to </w:t>
      </w:r>
      <w:r w:rsidR="005708E4" w:rsidRPr="007A1AE0">
        <w:rPr>
          <w:rFonts w:ascii="Times New Roman" w:hAnsi="Times New Roman" w:cs="Times New Roman"/>
          <w:i/>
          <w:iCs/>
        </w:rPr>
        <w:t>mobility</w:t>
      </w:r>
      <w:r w:rsidR="004C0C00">
        <w:rPr>
          <w:rFonts w:ascii="Times New Roman" w:hAnsi="Times New Roman" w:cs="Times New Roman"/>
        </w:rPr>
        <w:t xml:space="preserve">. </w:t>
      </w:r>
      <w:r w:rsidR="005708E4">
        <w:rPr>
          <w:rFonts w:ascii="Times New Roman" w:hAnsi="Times New Roman" w:cs="Times New Roman"/>
        </w:rPr>
        <w:t>Empirical</w:t>
      </w:r>
      <w:r w:rsidR="005708E4" w:rsidRPr="00007658">
        <w:rPr>
          <w:rFonts w:ascii="Times New Roman" w:hAnsi="Times New Roman" w:cs="Times New Roman"/>
        </w:rPr>
        <w:t xml:space="preserve"> </w:t>
      </w:r>
      <w:r w:rsidR="005708E4">
        <w:rPr>
          <w:rFonts w:ascii="Times New Roman" w:hAnsi="Times New Roman" w:cs="Times New Roman"/>
        </w:rPr>
        <w:t>evidence confirms only partially the theoretical propositions. Large countries really seem to be associated with greater levels of persistence. M</w:t>
      </w:r>
      <w:r w:rsidR="005708E4" w:rsidRPr="00007658">
        <w:rPr>
          <w:rFonts w:ascii="Times New Roman" w:hAnsi="Times New Roman" w:cs="Times New Roman"/>
        </w:rPr>
        <w:t>obility across technological field</w:t>
      </w:r>
      <w:r w:rsidR="005708E4">
        <w:rPr>
          <w:rFonts w:ascii="Times New Roman" w:hAnsi="Times New Roman" w:cs="Times New Roman"/>
        </w:rPr>
        <w:t>s</w:t>
      </w:r>
      <w:r w:rsidR="005708E4" w:rsidRPr="00007658">
        <w:rPr>
          <w:rFonts w:ascii="Times New Roman" w:hAnsi="Times New Roman" w:cs="Times New Roman"/>
        </w:rPr>
        <w:t xml:space="preserve"> is high and asymmetric </w:t>
      </w:r>
      <w:r w:rsidR="005708E4">
        <w:rPr>
          <w:rFonts w:ascii="Times New Roman" w:hAnsi="Times New Roman" w:cs="Times New Roman"/>
        </w:rPr>
        <w:t xml:space="preserve">across technical fields, that is, it is more difficult to </w:t>
      </w:r>
      <w:r w:rsidR="005708E4" w:rsidRPr="00007658">
        <w:rPr>
          <w:rFonts w:ascii="Times New Roman" w:hAnsi="Times New Roman" w:cs="Times New Roman"/>
        </w:rPr>
        <w:t xml:space="preserve">increase specialization in technological fields where </w:t>
      </w:r>
      <w:r w:rsidR="005708E4">
        <w:rPr>
          <w:rFonts w:ascii="Times New Roman" w:hAnsi="Times New Roman" w:cs="Times New Roman"/>
        </w:rPr>
        <w:t xml:space="preserve">there is previous </w:t>
      </w:r>
      <w:r w:rsidR="005708E4" w:rsidRPr="00007658">
        <w:rPr>
          <w:rFonts w:ascii="Times New Roman" w:hAnsi="Times New Roman" w:cs="Times New Roman"/>
        </w:rPr>
        <w:t xml:space="preserve">disadvantage but </w:t>
      </w:r>
      <w:r w:rsidR="005708E4">
        <w:rPr>
          <w:rFonts w:ascii="Times New Roman" w:hAnsi="Times New Roman" w:cs="Times New Roman"/>
        </w:rPr>
        <w:t xml:space="preserve">it seems to be </w:t>
      </w:r>
      <w:r w:rsidR="005708E4" w:rsidRPr="00007658">
        <w:rPr>
          <w:rFonts w:ascii="Times New Roman" w:hAnsi="Times New Roman" w:cs="Times New Roman"/>
        </w:rPr>
        <w:t>easi</w:t>
      </w:r>
      <w:r w:rsidR="005708E4">
        <w:rPr>
          <w:rFonts w:ascii="Times New Roman" w:hAnsi="Times New Roman" w:cs="Times New Roman"/>
        </w:rPr>
        <w:t>er</w:t>
      </w:r>
      <w:r w:rsidR="005708E4" w:rsidRPr="00007658">
        <w:rPr>
          <w:rFonts w:ascii="Times New Roman" w:hAnsi="Times New Roman" w:cs="Times New Roman"/>
        </w:rPr>
        <w:t xml:space="preserve"> to change the NTS </w:t>
      </w:r>
      <w:r w:rsidR="005708E4">
        <w:rPr>
          <w:rFonts w:ascii="Times New Roman" w:hAnsi="Times New Roman" w:cs="Times New Roman"/>
        </w:rPr>
        <w:t>in technical fields related to previous advantages,</w:t>
      </w:r>
      <w:r w:rsidR="005708E4" w:rsidRPr="00007658">
        <w:rPr>
          <w:rFonts w:ascii="Times New Roman" w:hAnsi="Times New Roman" w:cs="Times New Roman"/>
        </w:rPr>
        <w:t xml:space="preserve"> </w:t>
      </w:r>
      <w:r w:rsidR="005708E4">
        <w:rPr>
          <w:rFonts w:ascii="Times New Roman" w:hAnsi="Times New Roman" w:cs="Times New Roman"/>
        </w:rPr>
        <w:t xml:space="preserve">transforming </w:t>
      </w:r>
      <w:r w:rsidR="005708E4" w:rsidRPr="00007658">
        <w:rPr>
          <w:rFonts w:ascii="Times New Roman" w:hAnsi="Times New Roman" w:cs="Times New Roman"/>
        </w:rPr>
        <w:t>strong initial specializations</w:t>
      </w:r>
      <w:r w:rsidR="005708E4">
        <w:rPr>
          <w:rFonts w:ascii="Times New Roman" w:hAnsi="Times New Roman" w:cs="Times New Roman"/>
        </w:rPr>
        <w:t xml:space="preserve"> into diversification </w:t>
      </w:r>
      <w:r w:rsidR="005708E4" w:rsidRPr="00007658">
        <w:rPr>
          <w:rFonts w:ascii="Times New Roman" w:hAnsi="Times New Roman" w:cs="Times New Roman"/>
        </w:rPr>
        <w:t>(Mancusi, 2001).</w:t>
      </w:r>
      <w:r w:rsidR="005708E4">
        <w:rPr>
          <w:rFonts w:ascii="Times New Roman" w:hAnsi="Times New Roman" w:cs="Times New Roman"/>
        </w:rPr>
        <w:t xml:space="preserve"> </w:t>
      </w:r>
    </w:p>
    <w:p w:rsidR="00C5105C" w:rsidRPr="00A4194A" w:rsidRDefault="005708E4" w:rsidP="0001659F">
      <w:pPr>
        <w:pStyle w:val="Corpodetexto"/>
        <w:rPr>
          <w:rFonts w:ascii="Times New Roman" w:hAnsi="Times New Roman" w:cs="Times New Roman"/>
        </w:rPr>
      </w:pPr>
      <w:r w:rsidRPr="00BC6925">
        <w:rPr>
          <w:rFonts w:ascii="Times New Roman" w:hAnsi="Times New Roman" w:cs="Times New Roman"/>
        </w:rPr>
        <w:t>This effect of technological opportunity on NTS has led to the idea that ‘correct’ or ‘wrong’ initial specializations can determine future profiles of specialization and technological dynamism</w:t>
      </w:r>
      <w:r w:rsidRPr="00C02C14">
        <w:rPr>
          <w:rFonts w:ascii="Times New Roman" w:hAnsi="Times New Roman" w:cs="Times New Roman"/>
          <w:color w:val="4F81BD"/>
        </w:rPr>
        <w:t xml:space="preserve">. </w:t>
      </w:r>
      <w:r w:rsidRPr="00BC6925">
        <w:rPr>
          <w:rFonts w:ascii="Times New Roman" w:hAnsi="Times New Roman" w:cs="Times New Roman"/>
        </w:rPr>
        <w:t xml:space="preserve">Correct specializations are related to technologies with high degree of pervasiveness or to </w:t>
      </w:r>
      <w:r w:rsidRPr="00A4194A">
        <w:rPr>
          <w:rFonts w:ascii="Times New Roman" w:hAnsi="Times New Roman" w:cs="Times New Roman"/>
        </w:rPr>
        <w:t xml:space="preserve">technological fields with fast rate of growth of patents along time, this is, with elevated technological opportunities (Huang and Miozzo, 2004; Meliciani 2002; Montobbio and Rampa, 2005). Specialization in this kind of technologies represents some advantages for technological dynamism for </w:t>
      </w:r>
      <w:r w:rsidRPr="00A4194A">
        <w:rPr>
          <w:rFonts w:ascii="Times New Roman" w:hAnsi="Times New Roman" w:cs="Times New Roman"/>
          <w:bCs/>
        </w:rPr>
        <w:t>having a greater potential for application of new scientific and generic knowledge in other activities (pervasiveness) and for developing of further learning processes (</w:t>
      </w:r>
      <w:r w:rsidRPr="00A4194A">
        <w:rPr>
          <w:rFonts w:ascii="Times New Roman" w:hAnsi="Times New Roman" w:cs="Times New Roman"/>
        </w:rPr>
        <w:t xml:space="preserve">Huang and Miozzo, 2004). At the same time, specialization in ‘inferior’ technical fields (low opportunity) would present some difficulty to move to ‘superior’ technical fields (high opportunity), especially if there is not a proper institutional framework and public policies to stimulate the ‘social process of learning’ (Vertova, 2001; </w:t>
      </w:r>
      <w:r w:rsidRPr="00A4194A">
        <w:rPr>
          <w:rFonts w:ascii="Times New Roman" w:hAnsi="Times New Roman" w:cs="Times New Roman"/>
          <w:bCs/>
        </w:rPr>
        <w:t>Jungmittag, 2004). Nevertheless, empirical evidence shows that despite initial unfavorable specializations, countries can register high technological dynamism by imitation and catch-up provided that some efforts be undertaken (Laursen, 1999; Meliciani, 2002).</w:t>
      </w:r>
    </w:p>
    <w:p w:rsidR="00C5105C" w:rsidRPr="00194893" w:rsidRDefault="00D30CB3" w:rsidP="0001659F">
      <w:pPr>
        <w:pStyle w:val="Corpodetexto"/>
        <w:rPr>
          <w:rFonts w:ascii="Times New Roman" w:hAnsi="Times New Roman" w:cs="Times New Roman"/>
          <w:strike/>
        </w:rPr>
      </w:pPr>
      <w:r>
        <w:rPr>
          <w:rFonts w:ascii="Times New Roman" w:hAnsi="Times New Roman" w:cs="Times New Roman"/>
        </w:rPr>
        <w:t>‘</w:t>
      </w:r>
      <w:r w:rsidRPr="00565682">
        <w:rPr>
          <w:rFonts w:ascii="Times New Roman" w:hAnsi="Times New Roman" w:cs="Times New Roman"/>
        </w:rPr>
        <w:t>D</w:t>
      </w:r>
      <w:r w:rsidR="00C5105C" w:rsidRPr="00007658">
        <w:rPr>
          <w:rFonts w:ascii="Times New Roman" w:hAnsi="Times New Roman" w:cs="Times New Roman"/>
        </w:rPr>
        <w:t>emand</w:t>
      </w:r>
      <w:r>
        <w:rPr>
          <w:rFonts w:ascii="Times New Roman" w:hAnsi="Times New Roman" w:cs="Times New Roman"/>
        </w:rPr>
        <w:t>’</w:t>
      </w:r>
      <w:r w:rsidR="00C5105C" w:rsidRPr="00007658">
        <w:rPr>
          <w:rFonts w:ascii="Times New Roman" w:hAnsi="Times New Roman" w:cs="Times New Roman"/>
        </w:rPr>
        <w:t xml:space="preserve"> has been neglected as explicative factor of NTS.</w:t>
      </w:r>
      <w:r w:rsidR="00C5105C">
        <w:rPr>
          <w:rFonts w:ascii="Times New Roman" w:hAnsi="Times New Roman" w:cs="Times New Roman"/>
        </w:rPr>
        <w:t xml:space="preserve"> </w:t>
      </w:r>
      <w:r w:rsidR="00C5105C" w:rsidRPr="002A172B">
        <w:rPr>
          <w:rFonts w:ascii="Times New Roman" w:hAnsi="Times New Roman" w:cs="Times New Roman"/>
        </w:rPr>
        <w:t xml:space="preserve">Nevertheless, demand determines the </w:t>
      </w:r>
      <w:r w:rsidR="00FE0057" w:rsidRPr="002A172B">
        <w:rPr>
          <w:rFonts w:ascii="Times New Roman" w:hAnsi="Times New Roman" w:cs="Times New Roman"/>
        </w:rPr>
        <w:t xml:space="preserve">knowledge </w:t>
      </w:r>
      <w:r w:rsidR="00C5105C" w:rsidRPr="002A172B">
        <w:rPr>
          <w:rFonts w:ascii="Times New Roman" w:hAnsi="Times New Roman" w:cs="Times New Roman"/>
        </w:rPr>
        <w:t>trajectories</w:t>
      </w:r>
      <w:r w:rsidR="00FE0057" w:rsidRPr="002A172B">
        <w:rPr>
          <w:rFonts w:ascii="Times New Roman" w:hAnsi="Times New Roman" w:cs="Times New Roman"/>
        </w:rPr>
        <w:t xml:space="preserve"> because</w:t>
      </w:r>
      <w:r w:rsidR="00DE03D8" w:rsidRPr="002A172B">
        <w:rPr>
          <w:rFonts w:ascii="Times New Roman" w:hAnsi="Times New Roman" w:cs="Times New Roman"/>
        </w:rPr>
        <w:t xml:space="preserve"> it</w:t>
      </w:r>
      <w:r w:rsidR="00C5105C" w:rsidRPr="002A172B">
        <w:rPr>
          <w:rFonts w:ascii="Times New Roman" w:hAnsi="Times New Roman" w:cs="Times New Roman"/>
        </w:rPr>
        <w:t xml:space="preserve"> affect the incentive to perform innovations </w:t>
      </w:r>
      <w:bookmarkStart w:id="8" w:name="OLE_LINK15"/>
      <w:bookmarkStart w:id="9" w:name="OLE_LINK16"/>
      <w:r w:rsidR="00C5105C" w:rsidRPr="002A172B">
        <w:rPr>
          <w:rFonts w:ascii="Times New Roman" w:hAnsi="Times New Roman" w:cs="Times New Roman"/>
        </w:rPr>
        <w:t>(Cohen, 19</w:t>
      </w:r>
      <w:r w:rsidR="00DE03D8" w:rsidRPr="002A172B">
        <w:rPr>
          <w:rFonts w:ascii="Times New Roman" w:hAnsi="Times New Roman" w:cs="Times New Roman"/>
        </w:rPr>
        <w:t xml:space="preserve">95:214) </w:t>
      </w:r>
      <w:bookmarkEnd w:id="8"/>
      <w:bookmarkEnd w:id="9"/>
      <w:r w:rsidR="00C5105C" w:rsidRPr="002A172B">
        <w:rPr>
          <w:rFonts w:ascii="Times New Roman" w:hAnsi="Times New Roman" w:cs="Times New Roman"/>
        </w:rPr>
        <w:t xml:space="preserve">and </w:t>
      </w:r>
      <w:r w:rsidR="00DE03D8" w:rsidRPr="002A172B">
        <w:rPr>
          <w:rFonts w:ascii="Times New Roman" w:hAnsi="Times New Roman" w:cs="Times New Roman"/>
        </w:rPr>
        <w:t xml:space="preserve">because it is in fact </w:t>
      </w:r>
      <w:r w:rsidR="00C5105C" w:rsidRPr="002A172B">
        <w:rPr>
          <w:rFonts w:ascii="Times New Roman" w:hAnsi="Times New Roman" w:cs="Times New Roman"/>
        </w:rPr>
        <w:t xml:space="preserve">a powerful </w:t>
      </w:r>
      <w:r w:rsidR="00FE0057" w:rsidRPr="002A172B">
        <w:rPr>
          <w:rFonts w:ascii="Times New Roman" w:hAnsi="Times New Roman" w:cs="Times New Roman"/>
        </w:rPr>
        <w:t xml:space="preserve">selection </w:t>
      </w:r>
      <w:r w:rsidR="00C5105C" w:rsidRPr="002A172B">
        <w:rPr>
          <w:rFonts w:ascii="Times New Roman" w:hAnsi="Times New Roman" w:cs="Times New Roman"/>
        </w:rPr>
        <w:t xml:space="preserve">mechanism </w:t>
      </w:r>
      <w:bookmarkStart w:id="10" w:name="OLE_LINK17"/>
      <w:bookmarkStart w:id="11" w:name="OLE_LINK18"/>
      <w:r w:rsidR="00C5105C" w:rsidRPr="002A172B">
        <w:rPr>
          <w:rFonts w:ascii="Times New Roman" w:hAnsi="Times New Roman" w:cs="Times New Roman"/>
        </w:rPr>
        <w:t>(Dosi, 1988).</w:t>
      </w:r>
      <w:r w:rsidR="001A187A" w:rsidRPr="002A172B">
        <w:rPr>
          <w:rFonts w:ascii="Times New Roman" w:hAnsi="Times New Roman" w:cs="Times New Roman"/>
        </w:rPr>
        <w:t xml:space="preserve"> </w:t>
      </w:r>
      <w:bookmarkEnd w:id="10"/>
      <w:bookmarkEnd w:id="11"/>
      <w:r w:rsidR="00FE0057" w:rsidRPr="002A172B">
        <w:rPr>
          <w:rFonts w:ascii="Times New Roman" w:hAnsi="Times New Roman" w:cs="Times New Roman"/>
        </w:rPr>
        <w:t>Commercial integration processes may create new market</w:t>
      </w:r>
      <w:r w:rsidR="00F815D0" w:rsidRPr="002A172B">
        <w:rPr>
          <w:rFonts w:ascii="Times New Roman" w:hAnsi="Times New Roman" w:cs="Times New Roman"/>
        </w:rPr>
        <w:t>s</w:t>
      </w:r>
      <w:r w:rsidR="00FE0057" w:rsidRPr="002A172B">
        <w:rPr>
          <w:rFonts w:ascii="Times New Roman" w:hAnsi="Times New Roman" w:cs="Times New Roman"/>
        </w:rPr>
        <w:t xml:space="preserve"> and destroy old ones, chang</w:t>
      </w:r>
      <w:r w:rsidR="001A187A" w:rsidRPr="002A172B">
        <w:rPr>
          <w:rFonts w:ascii="Times New Roman" w:hAnsi="Times New Roman" w:cs="Times New Roman"/>
        </w:rPr>
        <w:t>ing</w:t>
      </w:r>
      <w:r w:rsidR="00FE0057" w:rsidRPr="002A172B">
        <w:rPr>
          <w:rFonts w:ascii="Times New Roman" w:hAnsi="Times New Roman" w:cs="Times New Roman"/>
        </w:rPr>
        <w:t xml:space="preserve"> expectations over the growth of different markets. </w:t>
      </w:r>
      <w:r w:rsidR="00C5105C" w:rsidRPr="002A172B">
        <w:rPr>
          <w:rFonts w:ascii="Times New Roman" w:hAnsi="Times New Roman" w:cs="Times New Roman"/>
        </w:rPr>
        <w:t>These changes should re-allocate resources</w:t>
      </w:r>
      <w:r w:rsidR="00C5105C" w:rsidRPr="00194893">
        <w:rPr>
          <w:rFonts w:ascii="Times New Roman" w:hAnsi="Times New Roman" w:cs="Times New Roman"/>
        </w:rPr>
        <w:t xml:space="preserve"> to innovation towards those technologies where the expected profitability of innovation expenditures is higher</w:t>
      </w:r>
      <w:r w:rsidR="00C5105C" w:rsidRPr="00007658">
        <w:rPr>
          <w:rFonts w:ascii="Times New Roman" w:hAnsi="Times New Roman" w:cs="Times New Roman"/>
        </w:rPr>
        <w:t>.</w:t>
      </w:r>
      <w:r w:rsidR="00C5105C">
        <w:rPr>
          <w:rFonts w:ascii="Times New Roman" w:hAnsi="Times New Roman" w:cs="Times New Roman"/>
        </w:rPr>
        <w:t xml:space="preserve"> </w:t>
      </w:r>
      <w:r w:rsidR="00C5105C" w:rsidRPr="00007658">
        <w:rPr>
          <w:rFonts w:ascii="Times New Roman" w:hAnsi="Times New Roman" w:cs="Times New Roman"/>
        </w:rPr>
        <w:t xml:space="preserve">In </w:t>
      </w:r>
      <w:r w:rsidR="00FE0057">
        <w:rPr>
          <w:rFonts w:ascii="Times New Roman" w:hAnsi="Times New Roman" w:cs="Times New Roman"/>
        </w:rPr>
        <w:t xml:space="preserve">addition, </w:t>
      </w:r>
      <w:r w:rsidR="00E25580">
        <w:rPr>
          <w:rFonts w:ascii="Times New Roman" w:hAnsi="Times New Roman" w:cs="Times New Roman"/>
        </w:rPr>
        <w:t xml:space="preserve">market </w:t>
      </w:r>
      <w:r w:rsidR="00FE0057">
        <w:rPr>
          <w:rFonts w:ascii="Times New Roman" w:hAnsi="Times New Roman" w:cs="Times New Roman"/>
        </w:rPr>
        <w:t>integration may foster</w:t>
      </w:r>
      <w:r w:rsidR="00C5105C" w:rsidRPr="00007658">
        <w:rPr>
          <w:rFonts w:ascii="Times New Roman" w:hAnsi="Times New Roman" w:cs="Times New Roman"/>
        </w:rPr>
        <w:t xml:space="preserve"> </w:t>
      </w:r>
      <w:r w:rsidR="00FE0057" w:rsidRPr="00007658">
        <w:rPr>
          <w:rFonts w:ascii="Times New Roman" w:hAnsi="Times New Roman" w:cs="Times New Roman"/>
        </w:rPr>
        <w:t xml:space="preserve">changes </w:t>
      </w:r>
      <w:r w:rsidR="00FE0057">
        <w:rPr>
          <w:rFonts w:ascii="Times New Roman" w:hAnsi="Times New Roman" w:cs="Times New Roman"/>
        </w:rPr>
        <w:t xml:space="preserve">in </w:t>
      </w:r>
      <w:r w:rsidR="00C5105C" w:rsidRPr="00007658">
        <w:rPr>
          <w:rFonts w:ascii="Times New Roman" w:hAnsi="Times New Roman" w:cs="Times New Roman"/>
        </w:rPr>
        <w:t xml:space="preserve">economic environments and, </w:t>
      </w:r>
      <w:r w:rsidR="00FE0057">
        <w:rPr>
          <w:rFonts w:ascii="Times New Roman" w:hAnsi="Times New Roman" w:cs="Times New Roman"/>
        </w:rPr>
        <w:t>as a consequence</w:t>
      </w:r>
      <w:r w:rsidR="00C5105C" w:rsidRPr="00007658">
        <w:rPr>
          <w:rFonts w:ascii="Times New Roman" w:hAnsi="Times New Roman" w:cs="Times New Roman"/>
        </w:rPr>
        <w:t xml:space="preserve">, market and non market </w:t>
      </w:r>
      <w:r w:rsidR="00FE0057">
        <w:rPr>
          <w:rFonts w:ascii="Times New Roman" w:hAnsi="Times New Roman" w:cs="Times New Roman"/>
        </w:rPr>
        <w:t xml:space="preserve">selection </w:t>
      </w:r>
      <w:r w:rsidR="00C5105C" w:rsidRPr="00007658">
        <w:rPr>
          <w:rFonts w:ascii="Times New Roman" w:hAnsi="Times New Roman" w:cs="Times New Roman"/>
        </w:rPr>
        <w:t>mechanisms</w:t>
      </w:r>
      <w:r w:rsidR="00FE0057">
        <w:rPr>
          <w:rFonts w:ascii="Times New Roman" w:hAnsi="Times New Roman" w:cs="Times New Roman"/>
        </w:rPr>
        <w:t xml:space="preserve"> should change as well</w:t>
      </w:r>
      <w:r w:rsidR="00C5105C" w:rsidRPr="00007658">
        <w:rPr>
          <w:rFonts w:ascii="Times New Roman" w:hAnsi="Times New Roman" w:cs="Times New Roman"/>
        </w:rPr>
        <w:t xml:space="preserve"> </w:t>
      </w:r>
      <w:r w:rsidR="00FC402F">
        <w:rPr>
          <w:rFonts w:ascii="Times New Roman" w:hAnsi="Times New Roman" w:cs="Times New Roman"/>
        </w:rPr>
        <w:t xml:space="preserve">(users </w:t>
      </w:r>
      <w:r w:rsidR="00FE0057">
        <w:rPr>
          <w:rFonts w:ascii="Times New Roman" w:hAnsi="Times New Roman" w:cs="Times New Roman"/>
        </w:rPr>
        <w:t>requ</w:t>
      </w:r>
      <w:r w:rsidR="00C5105C" w:rsidRPr="00007658">
        <w:rPr>
          <w:rFonts w:ascii="Times New Roman" w:hAnsi="Times New Roman" w:cs="Times New Roman"/>
        </w:rPr>
        <w:t>irements, consumer habits</w:t>
      </w:r>
      <w:r w:rsidR="00FC402F">
        <w:rPr>
          <w:rFonts w:ascii="Times New Roman" w:hAnsi="Times New Roman" w:cs="Times New Roman"/>
        </w:rPr>
        <w:t xml:space="preserve">, </w:t>
      </w:r>
      <w:r w:rsidR="00FE0057">
        <w:rPr>
          <w:rFonts w:ascii="Times New Roman" w:hAnsi="Times New Roman" w:cs="Times New Roman"/>
        </w:rPr>
        <w:t>regulation</w:t>
      </w:r>
      <w:r w:rsidR="00FC402F">
        <w:rPr>
          <w:rFonts w:ascii="Times New Roman" w:hAnsi="Times New Roman" w:cs="Times New Roman"/>
        </w:rPr>
        <w:t>, etc.).</w:t>
      </w:r>
      <w:r w:rsidR="00C5105C" w:rsidRPr="00007658">
        <w:rPr>
          <w:rFonts w:ascii="Times New Roman" w:hAnsi="Times New Roman" w:cs="Times New Roman"/>
        </w:rPr>
        <w:t xml:space="preserve"> </w:t>
      </w:r>
    </w:p>
    <w:p w:rsidR="00CA0936" w:rsidRDefault="001A187A" w:rsidP="0001659F">
      <w:pPr>
        <w:pStyle w:val="Corpodetexto"/>
        <w:rPr>
          <w:rFonts w:ascii="Times New Roman" w:hAnsi="Times New Roman" w:cs="Times New Roman"/>
        </w:rPr>
      </w:pPr>
      <w:r>
        <w:rPr>
          <w:rFonts w:ascii="Times New Roman" w:hAnsi="Times New Roman" w:cs="Times New Roman"/>
        </w:rPr>
        <w:t xml:space="preserve">The structural factors came from the relationships between the </w:t>
      </w:r>
      <w:r>
        <w:rPr>
          <w:rFonts w:ascii="Times New Roman" w:hAnsi="Times New Roman" w:cs="Times New Roman"/>
          <w:i/>
        </w:rPr>
        <w:t xml:space="preserve">technical </w:t>
      </w:r>
      <w:r w:rsidR="00CA0936">
        <w:rPr>
          <w:rFonts w:ascii="Times New Roman" w:hAnsi="Times New Roman" w:cs="Times New Roman"/>
          <w:i/>
        </w:rPr>
        <w:t>structure</w:t>
      </w:r>
      <w:r>
        <w:rPr>
          <w:rFonts w:ascii="Times New Roman" w:hAnsi="Times New Roman" w:cs="Times New Roman"/>
        </w:rPr>
        <w:t xml:space="preserve"> and the </w:t>
      </w:r>
      <w:r>
        <w:rPr>
          <w:rFonts w:ascii="Times New Roman" w:hAnsi="Times New Roman" w:cs="Times New Roman"/>
          <w:i/>
        </w:rPr>
        <w:t xml:space="preserve">productive </w:t>
      </w:r>
      <w:r w:rsidR="00CA0936">
        <w:rPr>
          <w:rFonts w:ascii="Times New Roman" w:hAnsi="Times New Roman" w:cs="Times New Roman"/>
          <w:i/>
        </w:rPr>
        <w:t>structure</w:t>
      </w:r>
      <w:r w:rsidRPr="00F815D0">
        <w:rPr>
          <w:rFonts w:ascii="Times New Roman" w:hAnsi="Times New Roman" w:cs="Times New Roman"/>
          <w:iCs/>
        </w:rPr>
        <w:t>.</w:t>
      </w:r>
      <w:r>
        <w:rPr>
          <w:rFonts w:ascii="Times New Roman" w:hAnsi="Times New Roman" w:cs="Times New Roman"/>
        </w:rPr>
        <w:t xml:space="preserve"> </w:t>
      </w:r>
      <w:r w:rsidR="00CA0936" w:rsidRPr="007A1AE0">
        <w:rPr>
          <w:rFonts w:ascii="Times New Roman" w:hAnsi="Times New Roman"/>
        </w:rPr>
        <w:t xml:space="preserve">Both structures are surely interconnected. </w:t>
      </w:r>
      <w:r w:rsidR="00CA0936" w:rsidRPr="00BC36A2">
        <w:rPr>
          <w:rFonts w:ascii="Times New Roman" w:hAnsi="Times New Roman"/>
        </w:rPr>
        <w:t>On the one hand, industries differ in the allocation of R&amp;D resources and results. So, countries with superior technical base tend to be more specialized in knowledge-intensive industries while countries with inferior technical base tend to be more specialized in labour-intensive industries (Stolpe, 1995: chapter D). On the other hand, technical</w:t>
      </w:r>
      <w:r w:rsidR="00CA0936" w:rsidRPr="007A1AE0">
        <w:rPr>
          <w:rFonts w:ascii="Times New Roman" w:hAnsi="Times New Roman"/>
        </w:rPr>
        <w:t xml:space="preserve"> base is connected with productive base in the extent that the productive base defines specific bases of knowledge for each industry, because it is related to specific products and productive processes</w:t>
      </w:r>
      <w:r w:rsidR="00CA0936">
        <w:rPr>
          <w:rFonts w:ascii="Times New Roman" w:hAnsi="Times New Roman"/>
        </w:rPr>
        <w:t xml:space="preserve"> </w:t>
      </w:r>
      <w:r w:rsidR="00CA0936" w:rsidRPr="00F815D0">
        <w:rPr>
          <w:rFonts w:ascii="Times New Roman" w:hAnsi="Times New Roman" w:cs="Times New Roman"/>
          <w:iCs/>
        </w:rPr>
        <w:t>(Malerba and Montobbio, 2003</w:t>
      </w:r>
      <w:r w:rsidR="00CA0936">
        <w:rPr>
          <w:rFonts w:ascii="Times New Roman" w:hAnsi="Times New Roman" w:cs="Times New Roman"/>
          <w:iCs/>
        </w:rPr>
        <w:t>)</w:t>
      </w:r>
      <w:r w:rsidR="00CA0936" w:rsidRPr="007A1AE0">
        <w:rPr>
          <w:rFonts w:ascii="Times New Roman" w:hAnsi="Times New Roman"/>
        </w:rPr>
        <w:t>. Over these bases of knowledge, technological competences are built. Spillovers between technologies are also connected with the industrial interactions, given that the productive chains share high technological complementarities. Finally, interactions between innovators are highly related to the interactions betw</w:t>
      </w:r>
      <w:r w:rsidR="00CA0936">
        <w:rPr>
          <w:rFonts w:ascii="Times New Roman" w:hAnsi="Times New Roman"/>
        </w:rPr>
        <w:t>een competitors in so many ways:</w:t>
      </w:r>
      <w:r w:rsidR="00CA0936" w:rsidRPr="007A1AE0">
        <w:rPr>
          <w:rFonts w:ascii="Times New Roman" w:hAnsi="Times New Roman"/>
        </w:rPr>
        <w:t xml:space="preserve"> collaborative ag</w:t>
      </w:r>
      <w:r w:rsidR="00CA0936">
        <w:rPr>
          <w:rFonts w:ascii="Times New Roman" w:hAnsi="Times New Roman"/>
        </w:rPr>
        <w:t>reements, joint-ventures, first-</w:t>
      </w:r>
      <w:r w:rsidR="00CA0936" w:rsidRPr="007A1AE0">
        <w:rPr>
          <w:rFonts w:ascii="Times New Roman" w:hAnsi="Times New Roman"/>
        </w:rPr>
        <w:t>mover advantages and market power, etc. are good examples of it.</w:t>
      </w:r>
    </w:p>
    <w:p w:rsidR="00CA0936" w:rsidRPr="007A1AE0" w:rsidRDefault="00CA0936" w:rsidP="0001659F">
      <w:pPr>
        <w:pStyle w:val="Corpodetexto"/>
        <w:rPr>
          <w:rFonts w:ascii="Times New Roman" w:hAnsi="Times New Roman"/>
        </w:rPr>
      </w:pPr>
      <w:r w:rsidRPr="00BC36A2">
        <w:rPr>
          <w:rFonts w:ascii="Times New Roman" w:hAnsi="Times New Roman"/>
        </w:rPr>
        <w:t>Considering the strong links between productive and technological structures, it is plausible that impacts of market integration on productive structure have some reflection on technological structure for several reasons. Firstly, the theories on international trade predict that commercial integration should</w:t>
      </w:r>
      <w:r w:rsidRPr="007A1AE0">
        <w:rPr>
          <w:rFonts w:ascii="Times New Roman" w:hAnsi="Times New Roman"/>
        </w:rPr>
        <w:t xml:space="preserve"> </w:t>
      </w:r>
      <w:r w:rsidRPr="007A1AE0">
        <w:rPr>
          <w:rFonts w:ascii="Times New Roman" w:hAnsi="Times New Roman"/>
        </w:rPr>
        <w:lastRenderedPageBreak/>
        <w:t>change the national productive structure, making countries more specialized in those activities where they already have productive advantages usually linked to factor endowment advantages</w:t>
      </w:r>
      <w:r w:rsidRPr="00BC36A2">
        <w:rPr>
          <w:rFonts w:ascii="Times New Roman" w:hAnsi="Times New Roman"/>
        </w:rPr>
        <w:t>. As the technical base accompanies the productive base, it is expected that the coun</w:t>
      </w:r>
      <w:r w:rsidRPr="007A1AE0">
        <w:rPr>
          <w:rFonts w:ascii="Times New Roman" w:hAnsi="Times New Roman"/>
        </w:rPr>
        <w:t>try registers also mobility towards the technologies that compose the technical base of the new productive</w:t>
      </w:r>
      <w:r>
        <w:rPr>
          <w:rFonts w:ascii="Times New Roman" w:hAnsi="Times New Roman"/>
        </w:rPr>
        <w:t xml:space="preserve"> base. This kind of movement is</w:t>
      </w:r>
      <w:r w:rsidRPr="007A1AE0">
        <w:rPr>
          <w:rFonts w:ascii="Times New Roman" w:hAnsi="Times New Roman"/>
        </w:rPr>
        <w:t xml:space="preserve"> especially expected in small economies, which are already very specialized. If this phenomenon happens in </w:t>
      </w:r>
      <w:r w:rsidRPr="00740AE1">
        <w:rPr>
          <w:rFonts w:ascii="Times New Roman" w:hAnsi="Times New Roman"/>
        </w:rPr>
        <w:t>all countries, the total effect will be more specialization with convergence, if specialization is in the same technical fields, or with divergence, if specialization is in different technical fields</w:t>
      </w:r>
      <w:r w:rsidRPr="00740AE1">
        <w:rPr>
          <w:rStyle w:val="Refdenotaderodap"/>
          <w:rFonts w:ascii="Times New Roman" w:hAnsi="Times New Roman"/>
        </w:rPr>
        <w:footnoteReference w:id="4"/>
      </w:r>
      <w:r w:rsidRPr="00740AE1">
        <w:rPr>
          <w:rFonts w:ascii="Times New Roman" w:hAnsi="Times New Roman"/>
        </w:rPr>
        <w:t xml:space="preserve">. </w:t>
      </w:r>
      <w:r w:rsidRPr="00BC36A2">
        <w:rPr>
          <w:rFonts w:ascii="Times New Roman" w:hAnsi="Times New Roman"/>
        </w:rPr>
        <w:t xml:space="preserve">Secondly, according to Stolpe (1999: chapter D), under open market environments, </w:t>
      </w:r>
      <w:r w:rsidRPr="00BC36A2">
        <w:rPr>
          <w:rFonts w:ascii="Times New Roman" w:hAnsi="Times New Roman"/>
          <w:bCs/>
        </w:rPr>
        <w:t>allocation of resources in R&amp;D activities can respond to changes in the factor endowments relative to the trading partners by “shifting the pattern of specialization to those activities for which factor endowment relations constitute a source of a comparative advantage”. Thirdly</w:t>
      </w:r>
      <w:r w:rsidRPr="00C02C14">
        <w:rPr>
          <w:rFonts w:ascii="Times New Roman" w:hAnsi="Times New Roman"/>
          <w:bCs/>
          <w:color w:val="4F81BD"/>
        </w:rPr>
        <w:t>,</w:t>
      </w:r>
      <w:r w:rsidRPr="008F083A">
        <w:rPr>
          <w:rFonts w:ascii="Times New Roman" w:hAnsi="Times New Roman"/>
          <w:bCs/>
          <w:color w:val="FF0000"/>
        </w:rPr>
        <w:t xml:space="preserve"> </w:t>
      </w:r>
      <w:r w:rsidRPr="00740AE1">
        <w:rPr>
          <w:rFonts w:ascii="Times New Roman" w:hAnsi="Times New Roman"/>
        </w:rPr>
        <w:t>integrated markets make easier the access to knowledge and technologies, facilitating</w:t>
      </w:r>
      <w:r w:rsidRPr="007A1AE0">
        <w:rPr>
          <w:rFonts w:ascii="Times New Roman" w:hAnsi="Times New Roman"/>
        </w:rPr>
        <w:t xml:space="preserve"> the technological catch-up. Imports of incorporated technologies in goods become cheaper and direct investment flows can be accompanied by technology transfer between multinational corporations units across countries (Camerona et al., 2005). Catch-up would become more accelerated, especially in countries with lower level of technological development. A faster process of catch up can even drive these countries to develop technological competences in new fields of knowledge and in their related fields and, so, to a higher level of technological diversification, pushing them to converge with leaders. Both effects can happen simultaneously. Given that both follow opposite directions, it would be necessary to establish measures to identify which is more important and which prevails over the other. </w:t>
      </w:r>
    </w:p>
    <w:p w:rsidR="00CA0936" w:rsidRDefault="00433504" w:rsidP="00433504">
      <w:pPr>
        <w:rPr>
          <w:rFonts w:ascii="Times New Roman" w:hAnsi="Times New Roman"/>
        </w:rPr>
      </w:pPr>
      <w:r>
        <w:rPr>
          <w:rFonts w:ascii="Times New Roman" w:hAnsi="Times New Roman"/>
        </w:rPr>
        <w:t>As a last effect, t</w:t>
      </w:r>
      <w:r w:rsidR="00CA0936" w:rsidRPr="00BC36A2">
        <w:rPr>
          <w:rFonts w:ascii="Times New Roman" w:hAnsi="Times New Roman"/>
        </w:rPr>
        <w:t>he path of specialization in technology can follow the path of specialization in production along the process of technological development and growth. It has been tested empirically that productive specialization moves on different stages along the</w:t>
      </w:r>
      <w:r w:rsidR="00CA0936" w:rsidRPr="007A1AE0">
        <w:rPr>
          <w:rFonts w:ascii="Times New Roman" w:hAnsi="Times New Roman"/>
        </w:rPr>
        <w:t xml:space="preserve"> process of economic growth following a U-curve format (Imbs and Wacziarg, 2003). At the beginning, countries are strongly specialized in a few productive activities. Countries become progressively more diversified as their industrialization process advance</w:t>
      </w:r>
      <w:r w:rsidR="00CA0936">
        <w:rPr>
          <w:rFonts w:ascii="Times New Roman" w:hAnsi="Times New Roman"/>
        </w:rPr>
        <w:t>s</w:t>
      </w:r>
      <w:r w:rsidR="00CA0936" w:rsidRPr="007A1AE0">
        <w:rPr>
          <w:rFonts w:ascii="Times New Roman" w:hAnsi="Times New Roman"/>
        </w:rPr>
        <w:t>. But when the industrialization process matures, countries reverse the tendency</w:t>
      </w:r>
      <w:r w:rsidR="00CA0936">
        <w:rPr>
          <w:rFonts w:ascii="Times New Roman" w:hAnsi="Times New Roman"/>
        </w:rPr>
        <w:t>,</w:t>
      </w:r>
      <w:r w:rsidR="00CA0936" w:rsidRPr="007A1AE0">
        <w:rPr>
          <w:rFonts w:ascii="Times New Roman" w:hAnsi="Times New Roman"/>
        </w:rPr>
        <w:t xml:space="preserve"> becoming more specialized again. Some of these effects can be also expected to take </w:t>
      </w:r>
      <w:r w:rsidR="00CA0936" w:rsidRPr="00BC36A2">
        <w:rPr>
          <w:rFonts w:ascii="Times New Roman" w:hAnsi="Times New Roman"/>
        </w:rPr>
        <w:t>place when the process of catch-up, stimulated by market integration, accelerates the technological development in follower countries.</w:t>
      </w:r>
      <w:r w:rsidR="00CA0936" w:rsidRPr="007A1AE0">
        <w:rPr>
          <w:rFonts w:ascii="Times New Roman" w:hAnsi="Times New Roman"/>
        </w:rPr>
        <w:t xml:space="preserve"> Initial stages of technological development correspond to high specialization in a very few technical fields</w:t>
      </w:r>
      <w:r w:rsidR="00CA0936">
        <w:rPr>
          <w:rFonts w:ascii="Times New Roman" w:hAnsi="Times New Roman"/>
        </w:rPr>
        <w:t xml:space="preserve"> </w:t>
      </w:r>
      <w:r w:rsidR="00CA0936" w:rsidRPr="00BC36A2">
        <w:rPr>
          <w:rFonts w:ascii="Times New Roman" w:hAnsi="Times New Roman"/>
        </w:rPr>
        <w:t>and high de-specialization in so many technical fields. This</w:t>
      </w:r>
      <w:r w:rsidR="00CA0936" w:rsidRPr="007A1AE0">
        <w:rPr>
          <w:rFonts w:ascii="Times New Roman" w:hAnsi="Times New Roman"/>
        </w:rPr>
        <w:t xml:space="preserve"> performance must change as countries progressively achieve higher levels of technological development (by catch-up progress or by internal leaderships) and a more diversified productive base</w:t>
      </w:r>
      <w:r w:rsidR="00CA0936">
        <w:rPr>
          <w:rFonts w:ascii="Times New Roman" w:hAnsi="Times New Roman"/>
        </w:rPr>
        <w:t>. Therefore</w:t>
      </w:r>
      <w:r w:rsidR="00CA0936" w:rsidRPr="007A1AE0">
        <w:rPr>
          <w:rFonts w:ascii="Times New Roman" w:hAnsi="Times New Roman"/>
        </w:rPr>
        <w:t>, a rise of the technological diversification is expected. But as technological opportunities are exhausted or matured, it would be possible a return to the concentration of specialization initiating a new cycle in the pattern of specialization from new technological opportunities</w:t>
      </w:r>
      <w:r w:rsidR="00CA0936">
        <w:rPr>
          <w:rFonts w:ascii="Times New Roman" w:hAnsi="Times New Roman"/>
        </w:rPr>
        <w:t>.</w:t>
      </w:r>
    </w:p>
    <w:p w:rsidR="00C5105C" w:rsidRDefault="00C5105C" w:rsidP="0001659F">
      <w:pPr>
        <w:rPr>
          <w:rFonts w:ascii="Times New Roman" w:hAnsi="Times New Roman" w:cs="Times New Roman"/>
        </w:rPr>
      </w:pPr>
      <w:r>
        <w:rPr>
          <w:rFonts w:ascii="Times New Roman" w:hAnsi="Times New Roman" w:cs="Times New Roman"/>
        </w:rPr>
        <w:t>F</w:t>
      </w:r>
      <w:r w:rsidRPr="00007658">
        <w:rPr>
          <w:rFonts w:ascii="Times New Roman" w:hAnsi="Times New Roman" w:cs="Times New Roman"/>
        </w:rPr>
        <w:t xml:space="preserve">inally, National Innovation Systems (NIS) and </w:t>
      </w:r>
      <w:bookmarkStart w:id="12" w:name="OLE_LINK1"/>
      <w:bookmarkStart w:id="13" w:name="OLE_LINK2"/>
      <w:r w:rsidRPr="00007658">
        <w:rPr>
          <w:rFonts w:ascii="Times New Roman" w:hAnsi="Times New Roman" w:cs="Times New Roman"/>
        </w:rPr>
        <w:t xml:space="preserve">Technology Policies </w:t>
      </w:r>
      <w:bookmarkEnd w:id="12"/>
      <w:bookmarkEnd w:id="13"/>
      <w:r w:rsidRPr="00007658">
        <w:rPr>
          <w:rFonts w:ascii="Times New Roman" w:hAnsi="Times New Roman" w:cs="Times New Roman"/>
        </w:rPr>
        <w:t xml:space="preserve">represent </w:t>
      </w:r>
      <w:r w:rsidRPr="00433504">
        <w:rPr>
          <w:rFonts w:ascii="Times New Roman" w:hAnsi="Times New Roman" w:cs="Times New Roman"/>
          <w:i/>
          <w:iCs/>
        </w:rPr>
        <w:t>the induced explicative factor</w:t>
      </w:r>
      <w:r w:rsidRPr="00007658">
        <w:rPr>
          <w:rFonts w:ascii="Times New Roman" w:hAnsi="Times New Roman" w:cs="Times New Roman"/>
        </w:rPr>
        <w:t xml:space="preserve"> of the NTS evolution. </w:t>
      </w:r>
      <w:smartTag w:uri="urn:schemas-microsoft-com:office:smarttags" w:element="City">
        <w:smartTag w:uri="urn:schemas-microsoft-com:office:smarttags" w:element="place">
          <w:r w:rsidRPr="00007658">
            <w:rPr>
              <w:rFonts w:ascii="Times New Roman" w:hAnsi="Times New Roman" w:cs="Times New Roman"/>
            </w:rPr>
            <w:t>NIS</w:t>
          </w:r>
        </w:smartTag>
      </w:smartTag>
      <w:r w:rsidRPr="00007658">
        <w:rPr>
          <w:rFonts w:ascii="Times New Roman" w:hAnsi="Times New Roman" w:cs="Times New Roman"/>
        </w:rPr>
        <w:t xml:space="preserve"> are embedded of cultural, historical and social aspects that are highly specific for each country. Idiosyncrasy of </w:t>
      </w:r>
      <w:smartTag w:uri="urn:schemas-microsoft-com:office:smarttags" w:element="City">
        <w:smartTag w:uri="urn:schemas-microsoft-com:office:smarttags" w:element="place">
          <w:r w:rsidRPr="00007658">
            <w:rPr>
              <w:rFonts w:ascii="Times New Roman" w:hAnsi="Times New Roman" w:cs="Times New Roman"/>
            </w:rPr>
            <w:t>NIS</w:t>
          </w:r>
        </w:smartTag>
      </w:smartTag>
      <w:r w:rsidRPr="00007658">
        <w:rPr>
          <w:rFonts w:ascii="Times New Roman" w:hAnsi="Times New Roman" w:cs="Times New Roman"/>
        </w:rPr>
        <w:t xml:space="preserve"> also reflects the specificity of national le</w:t>
      </w:r>
      <w:r>
        <w:rPr>
          <w:rFonts w:ascii="Times New Roman" w:hAnsi="Times New Roman" w:cs="Times New Roman"/>
        </w:rPr>
        <w:t>arning and innovation processes, what</w:t>
      </w:r>
      <w:r w:rsidRPr="00007658">
        <w:rPr>
          <w:rFonts w:ascii="Times New Roman" w:hAnsi="Times New Roman" w:cs="Times New Roman"/>
        </w:rPr>
        <w:t xml:space="preserve"> can be an explanation for the persistenc</w:t>
      </w:r>
      <w:r w:rsidR="00354EFB">
        <w:rPr>
          <w:rFonts w:ascii="Times New Roman" w:hAnsi="Times New Roman" w:cs="Times New Roman"/>
        </w:rPr>
        <w:t>e</w:t>
      </w:r>
      <w:r w:rsidRPr="00007658">
        <w:rPr>
          <w:rFonts w:ascii="Times New Roman" w:hAnsi="Times New Roman" w:cs="Times New Roman"/>
        </w:rPr>
        <w:t xml:space="preserve"> of technological gaps along time. </w:t>
      </w:r>
      <w:r w:rsidR="00741E22">
        <w:rPr>
          <w:rFonts w:ascii="Times New Roman" w:hAnsi="Times New Roman" w:cs="Times New Roman"/>
        </w:rPr>
        <w:t xml:space="preserve">Technology Policies are able to </w:t>
      </w:r>
      <w:r w:rsidRPr="00007658">
        <w:rPr>
          <w:rFonts w:ascii="Times New Roman" w:hAnsi="Times New Roman" w:cs="Times New Roman"/>
        </w:rPr>
        <w:t>re-allocat</w:t>
      </w:r>
      <w:r w:rsidR="00741E22">
        <w:rPr>
          <w:rFonts w:ascii="Times New Roman" w:hAnsi="Times New Roman" w:cs="Times New Roman"/>
        </w:rPr>
        <w:t>e</w:t>
      </w:r>
      <w:r w:rsidRPr="00007658">
        <w:rPr>
          <w:rFonts w:ascii="Times New Roman" w:hAnsi="Times New Roman" w:cs="Times New Roman"/>
        </w:rPr>
        <w:t xml:space="preserve"> resources to innovation and </w:t>
      </w:r>
      <w:r w:rsidR="00741E22">
        <w:rPr>
          <w:rFonts w:ascii="Times New Roman" w:hAnsi="Times New Roman" w:cs="Times New Roman"/>
        </w:rPr>
        <w:t xml:space="preserve">to </w:t>
      </w:r>
      <w:r w:rsidRPr="00007658">
        <w:rPr>
          <w:rFonts w:ascii="Times New Roman" w:hAnsi="Times New Roman" w:cs="Times New Roman"/>
        </w:rPr>
        <w:t>creat</w:t>
      </w:r>
      <w:r w:rsidR="00741E22">
        <w:rPr>
          <w:rFonts w:ascii="Times New Roman" w:hAnsi="Times New Roman" w:cs="Times New Roman"/>
        </w:rPr>
        <w:t>e</w:t>
      </w:r>
      <w:r w:rsidRPr="00007658">
        <w:rPr>
          <w:rFonts w:ascii="Times New Roman" w:hAnsi="Times New Roman" w:cs="Times New Roman"/>
        </w:rPr>
        <w:t xml:space="preserve"> </w:t>
      </w:r>
      <w:r w:rsidRPr="002A172B">
        <w:rPr>
          <w:rFonts w:ascii="Times New Roman" w:hAnsi="Times New Roman" w:cs="Times New Roman"/>
        </w:rPr>
        <w:t>absorptive capacity in fields of knowledge</w:t>
      </w:r>
      <w:r w:rsidR="00354EFB" w:rsidRPr="002A172B">
        <w:rPr>
          <w:rFonts w:ascii="Times New Roman" w:hAnsi="Times New Roman" w:cs="Times New Roman"/>
        </w:rPr>
        <w:t xml:space="preserve"> where countries hold weak capabilities</w:t>
      </w:r>
      <w:r w:rsidRPr="002A172B">
        <w:rPr>
          <w:rFonts w:ascii="Times New Roman" w:hAnsi="Times New Roman" w:cs="Times New Roman"/>
        </w:rPr>
        <w:t xml:space="preserve">, making </w:t>
      </w:r>
      <w:r w:rsidR="00CB3626" w:rsidRPr="002A172B">
        <w:rPr>
          <w:rFonts w:ascii="Times New Roman" w:hAnsi="Times New Roman" w:cs="Times New Roman"/>
        </w:rPr>
        <w:t xml:space="preserve">technological catch-up </w:t>
      </w:r>
      <w:r w:rsidR="00741E22" w:rsidRPr="002A172B">
        <w:rPr>
          <w:rFonts w:ascii="Times New Roman" w:hAnsi="Times New Roman" w:cs="Times New Roman"/>
        </w:rPr>
        <w:t>possible</w:t>
      </w:r>
      <w:r w:rsidR="003D1444" w:rsidRPr="002A172B">
        <w:rPr>
          <w:rFonts w:ascii="Times New Roman" w:hAnsi="Times New Roman" w:cs="Times New Roman"/>
        </w:rPr>
        <w:t>. That</w:t>
      </w:r>
      <w:r w:rsidR="00741E22" w:rsidRPr="002A172B">
        <w:rPr>
          <w:rFonts w:ascii="Times New Roman" w:hAnsi="Times New Roman" w:cs="Times New Roman"/>
        </w:rPr>
        <w:t xml:space="preserve"> can explain </w:t>
      </w:r>
      <w:r w:rsidRPr="002A172B">
        <w:rPr>
          <w:rFonts w:ascii="Times New Roman" w:hAnsi="Times New Roman" w:cs="Times New Roman"/>
        </w:rPr>
        <w:t>unexpected move</w:t>
      </w:r>
      <w:r w:rsidR="00A42F76" w:rsidRPr="002A172B">
        <w:rPr>
          <w:rFonts w:ascii="Times New Roman" w:hAnsi="Times New Roman" w:cs="Times New Roman"/>
        </w:rPr>
        <w:t>ments</w:t>
      </w:r>
      <w:r w:rsidRPr="002A172B">
        <w:rPr>
          <w:rFonts w:ascii="Times New Roman" w:hAnsi="Times New Roman" w:cs="Times New Roman"/>
        </w:rPr>
        <w:t xml:space="preserve"> f</w:t>
      </w:r>
      <w:r w:rsidR="00741E22" w:rsidRPr="002A172B">
        <w:rPr>
          <w:rFonts w:ascii="Times New Roman" w:hAnsi="Times New Roman" w:cs="Times New Roman"/>
        </w:rPr>
        <w:t xml:space="preserve">rom some technologies to others </w:t>
      </w:r>
      <w:bookmarkStart w:id="14" w:name="OLE_LINK23"/>
      <w:bookmarkStart w:id="15" w:name="OLE_LINK24"/>
      <w:r w:rsidR="00741E22" w:rsidRPr="002A172B">
        <w:rPr>
          <w:rFonts w:ascii="Times New Roman" w:hAnsi="Times New Roman" w:cs="Times New Roman"/>
        </w:rPr>
        <w:t>(Mancusi, 200</w:t>
      </w:r>
      <w:r w:rsidR="00ED2D04" w:rsidRPr="002A172B">
        <w:rPr>
          <w:rFonts w:ascii="Times New Roman" w:hAnsi="Times New Roman" w:cs="Times New Roman"/>
        </w:rPr>
        <w:t>3</w:t>
      </w:r>
      <w:r w:rsidR="00741E22" w:rsidRPr="002A172B">
        <w:rPr>
          <w:rFonts w:ascii="Times New Roman" w:hAnsi="Times New Roman" w:cs="Times New Roman"/>
        </w:rPr>
        <w:t>; Vertova, 2001; Brusoni and Geuna, 2003).</w:t>
      </w:r>
    </w:p>
    <w:p w:rsidR="006A4404" w:rsidRDefault="006A4404" w:rsidP="0001659F">
      <w:pPr>
        <w:pStyle w:val="Corpodetexto"/>
      </w:pPr>
    </w:p>
    <w:p w:rsidR="0001659F" w:rsidRDefault="0001659F" w:rsidP="0001659F">
      <w:pPr>
        <w:pStyle w:val="Corpodetexto"/>
      </w:pPr>
    </w:p>
    <w:p w:rsidR="0001659F" w:rsidRPr="006A4404" w:rsidRDefault="0001659F" w:rsidP="0001659F">
      <w:pPr>
        <w:pStyle w:val="Corpodetexto"/>
      </w:pPr>
    </w:p>
    <w:bookmarkEnd w:id="14"/>
    <w:bookmarkEnd w:id="15"/>
    <w:p w:rsidR="00C5105C" w:rsidRPr="0001659F" w:rsidRDefault="0001659F" w:rsidP="0001659F">
      <w:pPr>
        <w:pStyle w:val="Corpodetexto"/>
        <w:numPr>
          <w:ilvl w:val="0"/>
          <w:numId w:val="5"/>
        </w:numPr>
        <w:rPr>
          <w:rFonts w:ascii="Times New Roman" w:hAnsi="Times New Roman" w:cs="Times New Roman"/>
          <w:iCs/>
          <w:u w:val="single"/>
        </w:rPr>
      </w:pPr>
      <w:r w:rsidRPr="0001659F">
        <w:rPr>
          <w:rFonts w:ascii="Times New Roman" w:hAnsi="Times New Roman" w:cs="Times New Roman"/>
          <w:b/>
          <w:iCs/>
        </w:rPr>
        <w:t>The d</w:t>
      </w:r>
      <w:r w:rsidR="00C5105C" w:rsidRPr="0001659F">
        <w:rPr>
          <w:rFonts w:ascii="Times New Roman" w:hAnsi="Times New Roman" w:cs="Times New Roman"/>
          <w:b/>
          <w:iCs/>
        </w:rPr>
        <w:t>ata sources</w:t>
      </w:r>
      <w:r w:rsidR="00C5105C" w:rsidRPr="0001659F">
        <w:rPr>
          <w:rFonts w:ascii="Times New Roman" w:hAnsi="Times New Roman" w:cs="Times New Roman"/>
          <w:iCs/>
        </w:rPr>
        <w:t>.</w:t>
      </w:r>
    </w:p>
    <w:p w:rsidR="00A4194A" w:rsidRDefault="00A4194A" w:rsidP="0001659F">
      <w:pPr>
        <w:contextualSpacing/>
        <w:rPr>
          <w:rFonts w:ascii="Times New Roman" w:hAnsi="Times New Roman"/>
        </w:rPr>
      </w:pPr>
      <w:bookmarkStart w:id="16" w:name="OLE_LINK13"/>
      <w:bookmarkStart w:id="17" w:name="OLE_LINK14"/>
    </w:p>
    <w:p w:rsidR="0001659F" w:rsidRPr="00847EEA" w:rsidRDefault="0001659F" w:rsidP="00A4194A">
      <w:pPr>
        <w:rPr>
          <w:rFonts w:ascii="Times New Roman" w:hAnsi="Times New Roman"/>
        </w:rPr>
      </w:pPr>
      <w:r>
        <w:rPr>
          <w:rFonts w:ascii="Times New Roman" w:hAnsi="Times New Roman"/>
        </w:rPr>
        <w:t>T</w:t>
      </w:r>
      <w:r w:rsidRPr="007A1AE0">
        <w:rPr>
          <w:rFonts w:ascii="Times New Roman" w:hAnsi="Times New Roman"/>
        </w:rPr>
        <w:t xml:space="preserve">his work uses patent data filed in the European Patent Office (EPO) between 1980 and 2008. Patents are largely used by literature to analyze technological competences at national (and firm) level because they represent results of formal or informal innovation efforts. They provide detailed data in a regular and long time series that may be grouped by firm, country, geographic location or technical fields </w:t>
      </w:r>
      <w:bookmarkStart w:id="18" w:name="OLE_LINK33"/>
      <w:bookmarkStart w:id="19" w:name="OLE_LINK34"/>
      <w:r w:rsidRPr="007A1AE0">
        <w:rPr>
          <w:rFonts w:ascii="Times New Roman" w:hAnsi="Times New Roman"/>
        </w:rPr>
        <w:t>(Patel and Pavitt, 1991).</w:t>
      </w:r>
      <w:r w:rsidRPr="00C61776">
        <w:rPr>
          <w:rFonts w:ascii="Times New Roman" w:hAnsi="Times New Roman"/>
          <w:color w:val="FF0000"/>
        </w:rPr>
        <w:t xml:space="preserve"> </w:t>
      </w:r>
      <w:r w:rsidRPr="00847EEA">
        <w:rPr>
          <w:rFonts w:ascii="Times New Roman" w:hAnsi="Times New Roman"/>
        </w:rPr>
        <w:t>But there are also some limitations of patent data as a source of information to build indicators on national technological specialization and to analyze the technological transformation as a part of structural change. Firstly, patents reveal distributions of competences across technical fields but not distributions of capabilities in the Archibugi and Coco’s (2005) sense. Measures of capabilities should include indicators on</w:t>
      </w:r>
      <w:r w:rsidRPr="00847EEA">
        <w:rPr>
          <w:sz w:val="20"/>
          <w:szCs w:val="20"/>
        </w:rPr>
        <w:t xml:space="preserve"> </w:t>
      </w:r>
      <w:r w:rsidRPr="00847EEA">
        <w:rPr>
          <w:rFonts w:ascii="Times New Roman" w:hAnsi="Times New Roman"/>
        </w:rPr>
        <w:t>Embodied and Disembodied knowledge, Codified and Tacit knowledge and Generation and Diffusion of knowledge. Patent deposits only give information on disembodied technologies and codified knowledge. So, even under the assumption that it does exist complementarities between all three categories, the only use of patents underestimates the set of aspects that transform a competence into a capability. Secondly, patents underestimate the contribution or closeness of scientific bases to the creation of the technical bases because of “the lack of engineering capabilities to embody scientific results in profitable products” (Brusoni and Geuna, 2003). By the opposite, it is possible that a country have strong competences and capabilities in development weakly supported by basic knowledge (</w:t>
      </w:r>
      <w:r w:rsidRPr="00847EEA">
        <w:rPr>
          <w:rFonts w:ascii="Times New Roman" w:hAnsi="Times New Roman"/>
          <w:i/>
          <w:iCs/>
        </w:rPr>
        <w:t>ibidem</w:t>
      </w:r>
      <w:r w:rsidRPr="00847EEA">
        <w:rPr>
          <w:rFonts w:ascii="Times New Roman" w:hAnsi="Times New Roman"/>
        </w:rPr>
        <w:t>). Thirdly, measuring technological specialization to the development of specific products and industries can involve a classification of technological fields that does not respond to the usual ones in patent classifications. And fourthly, some national technological competences can be underestimated when they are built on non patenteable technologies (or bases of knowledge) or on technologies that are not protected by patents.</w:t>
      </w:r>
    </w:p>
    <w:p w:rsidR="0001659F" w:rsidRPr="007A1AE0" w:rsidRDefault="0001659F" w:rsidP="00A4194A">
      <w:pPr>
        <w:rPr>
          <w:rFonts w:ascii="Times New Roman" w:hAnsi="Times New Roman"/>
        </w:rPr>
      </w:pPr>
      <w:r w:rsidRPr="007A1AE0">
        <w:rPr>
          <w:rFonts w:ascii="Times New Roman" w:hAnsi="Times New Roman"/>
        </w:rPr>
        <w:t xml:space="preserve">EPO database presents some advantages when compared with UPSTO (American patent office) for international comparisons (Le Bas and Sierra, 2002; Grupp and Schmoch, 1999; Zeebroeck et al, 2006). </w:t>
      </w:r>
      <w:bookmarkEnd w:id="18"/>
      <w:bookmarkEnd w:id="19"/>
      <w:r w:rsidRPr="007A1AE0">
        <w:rPr>
          <w:rFonts w:ascii="Times New Roman" w:hAnsi="Times New Roman"/>
        </w:rPr>
        <w:t>Firstly, EPO is the most internationalized patent office in the world, because a simple patent is extensible to all Munich Convention member countries. This means that there is no country bias, that i</w:t>
      </w:r>
      <w:r>
        <w:rPr>
          <w:rFonts w:ascii="Times New Roman" w:hAnsi="Times New Roman"/>
        </w:rPr>
        <w:t>s, there is no ‘domestic effect’</w:t>
      </w:r>
      <w:r w:rsidRPr="007A1AE0">
        <w:rPr>
          <w:rFonts w:ascii="Times New Roman" w:hAnsi="Times New Roman"/>
        </w:rPr>
        <w:t>. UPSTO is only valid in United-States territory, which introduces domestic bias to the USA market. Secondly, fees applications are relatively higher in EPO. This acts as an economic filter and eliminates low industrial value patents. Thirdly, EPO publishes grants and deposits of patents eighteen months after the application (by mean), while UPSTO only publishes after two years (by mean).</w:t>
      </w:r>
    </w:p>
    <w:p w:rsidR="0001659F" w:rsidRPr="007A1AE0" w:rsidRDefault="0001659F" w:rsidP="0001659F">
      <w:pPr>
        <w:contextualSpacing/>
        <w:rPr>
          <w:rFonts w:ascii="Times New Roman" w:hAnsi="Times New Roman"/>
        </w:rPr>
      </w:pPr>
      <w:r w:rsidRPr="00BF4BF8">
        <w:rPr>
          <w:rFonts w:ascii="Times New Roman" w:hAnsi="Times New Roman"/>
        </w:rPr>
        <w:t xml:space="preserve">Three major methodological aspects worth to be noted: 1) patent </w:t>
      </w:r>
      <w:r w:rsidRPr="00023BA5">
        <w:rPr>
          <w:rFonts w:ascii="Times New Roman" w:hAnsi="Times New Roman"/>
          <w:i/>
          <w:iCs/>
        </w:rPr>
        <w:t>applications</w:t>
      </w:r>
      <w:r w:rsidRPr="00BF4BF8">
        <w:rPr>
          <w:rFonts w:ascii="Times New Roman" w:hAnsi="Times New Roman"/>
        </w:rPr>
        <w:t xml:space="preserve"> have been used for statistical reasons (see Mancusi</w:t>
      </w:r>
      <w:r>
        <w:rPr>
          <w:rFonts w:ascii="Times New Roman" w:hAnsi="Times New Roman"/>
        </w:rPr>
        <w:t>,</w:t>
      </w:r>
      <w:r w:rsidRPr="00BF4BF8">
        <w:rPr>
          <w:rFonts w:ascii="Times New Roman" w:hAnsi="Times New Roman"/>
        </w:rPr>
        <w:t xml:space="preserve"> 2003); 2)</w:t>
      </w:r>
      <w:r w:rsidRPr="007A1AE0">
        <w:rPr>
          <w:rFonts w:ascii="Times New Roman" w:hAnsi="Times New Roman"/>
        </w:rPr>
        <w:t xml:space="preserve"> the inventor residence gives the nationality to the patent; </w:t>
      </w:r>
      <w:r>
        <w:rPr>
          <w:rFonts w:ascii="Times New Roman" w:hAnsi="Times New Roman"/>
        </w:rPr>
        <w:t>3</w:t>
      </w:r>
      <w:r w:rsidRPr="007A1AE0">
        <w:rPr>
          <w:rFonts w:ascii="Times New Roman" w:hAnsi="Times New Roman"/>
        </w:rPr>
        <w:t>) although some works select only patent</w:t>
      </w:r>
      <w:r>
        <w:rPr>
          <w:rFonts w:ascii="Times New Roman" w:hAnsi="Times New Roman"/>
        </w:rPr>
        <w:t>s</w:t>
      </w:r>
      <w:r w:rsidRPr="007A1AE0">
        <w:rPr>
          <w:rFonts w:ascii="Times New Roman" w:hAnsi="Times New Roman"/>
        </w:rPr>
        <w:t xml:space="preserve"> filed by firms to estimate NTS (for example Mancusi (2001) and (2003)), this work includes all the patents independently of who the applicant</w:t>
      </w:r>
      <w:r w:rsidRPr="00843A60">
        <w:rPr>
          <w:rFonts w:ascii="Times New Roman" w:hAnsi="Times New Roman"/>
        </w:rPr>
        <w:t xml:space="preserve"> </w:t>
      </w:r>
      <w:r w:rsidRPr="007A1AE0">
        <w:rPr>
          <w:rFonts w:ascii="Times New Roman" w:hAnsi="Times New Roman"/>
        </w:rPr>
        <w:t>is. This is due to the assumption that national competences are built by the whole national efforts, including universities, public research centers, government agencies and independent inventors (Brusoni and Geuna, 2003).</w:t>
      </w:r>
    </w:p>
    <w:p w:rsidR="00C5105C" w:rsidRPr="00007658" w:rsidRDefault="00C5105C" w:rsidP="0001659F">
      <w:pPr>
        <w:pStyle w:val="Corpodetexto"/>
        <w:ind w:firstLine="708"/>
        <w:rPr>
          <w:rFonts w:ascii="Times New Roman" w:hAnsi="Times New Roman" w:cs="Times New Roman"/>
        </w:rPr>
      </w:pPr>
      <w:r w:rsidRPr="00007658">
        <w:rPr>
          <w:rFonts w:ascii="Times New Roman" w:hAnsi="Times New Roman" w:cs="Times New Roman"/>
        </w:rPr>
        <w:t xml:space="preserve">The European countries </w:t>
      </w:r>
      <w:r w:rsidR="00AB22C8">
        <w:rPr>
          <w:rFonts w:ascii="Times New Roman" w:hAnsi="Times New Roman" w:cs="Times New Roman"/>
        </w:rPr>
        <w:t xml:space="preserve">are those defined as </w:t>
      </w:r>
      <w:r w:rsidRPr="00007658">
        <w:rPr>
          <w:rFonts w:ascii="Times New Roman" w:hAnsi="Times New Roman" w:cs="Times New Roman"/>
        </w:rPr>
        <w:t xml:space="preserve">UE-15. </w:t>
      </w:r>
      <w:smartTag w:uri="urn:schemas-microsoft-com:office:smarttags" w:element="country-region">
        <w:smartTag w:uri="urn:schemas-microsoft-com:office:smarttags" w:element="place">
          <w:r w:rsidRPr="00007658">
            <w:rPr>
              <w:rFonts w:ascii="Times New Roman" w:hAnsi="Times New Roman" w:cs="Times New Roman"/>
            </w:rPr>
            <w:t>Belgium</w:t>
          </w:r>
        </w:smartTag>
      </w:smartTag>
      <w:r w:rsidRPr="00007658">
        <w:rPr>
          <w:rFonts w:ascii="Times New Roman" w:hAnsi="Times New Roman" w:cs="Times New Roman"/>
        </w:rPr>
        <w:t xml:space="preserve"> and Luxemburg </w:t>
      </w:r>
      <w:r w:rsidR="00AB22C8">
        <w:rPr>
          <w:rFonts w:ascii="Times New Roman" w:hAnsi="Times New Roman" w:cs="Times New Roman"/>
        </w:rPr>
        <w:t xml:space="preserve">have been aggregated </w:t>
      </w:r>
      <w:r w:rsidRPr="00007658">
        <w:rPr>
          <w:rFonts w:ascii="Times New Roman" w:hAnsi="Times New Roman" w:cs="Times New Roman"/>
        </w:rPr>
        <w:t xml:space="preserve">as one single country (Bel-Lux). The pre and post integration periods were 1985-1993 and 2000-2008 respectively. </w:t>
      </w:r>
      <w:r w:rsidR="00AB22C8">
        <w:rPr>
          <w:rFonts w:ascii="Times New Roman" w:hAnsi="Times New Roman" w:cs="Times New Roman"/>
        </w:rPr>
        <w:t>To tackle t</w:t>
      </w:r>
      <w:r w:rsidRPr="00007658">
        <w:rPr>
          <w:rFonts w:ascii="Times New Roman" w:hAnsi="Times New Roman" w:cs="Times New Roman"/>
        </w:rPr>
        <w:t xml:space="preserve">he Latin American </w:t>
      </w:r>
      <w:r w:rsidR="00AB22C8">
        <w:rPr>
          <w:rFonts w:ascii="Times New Roman" w:hAnsi="Times New Roman" w:cs="Times New Roman"/>
        </w:rPr>
        <w:t>case, the paper analyzes</w:t>
      </w:r>
      <w:r w:rsidRPr="00007658">
        <w:rPr>
          <w:rFonts w:ascii="Times New Roman" w:hAnsi="Times New Roman" w:cs="Times New Roman"/>
        </w:rPr>
        <w:t xml:space="preserve"> </w:t>
      </w:r>
      <w:smartTag w:uri="urn:schemas-microsoft-com:office:smarttags" w:element="country-region">
        <w:r w:rsidRPr="00007658">
          <w:rPr>
            <w:rFonts w:ascii="Times New Roman" w:hAnsi="Times New Roman" w:cs="Times New Roman"/>
          </w:rPr>
          <w:t>Argentina</w:t>
        </w:r>
      </w:smartTag>
      <w:r w:rsidRPr="00007658">
        <w:rPr>
          <w:rFonts w:ascii="Times New Roman" w:hAnsi="Times New Roman" w:cs="Times New Roman"/>
        </w:rPr>
        <w:t xml:space="preserve">, </w:t>
      </w:r>
      <w:smartTag w:uri="urn:schemas-microsoft-com:office:smarttags" w:element="country-region">
        <w:r w:rsidRPr="00007658">
          <w:rPr>
            <w:rFonts w:ascii="Times New Roman" w:hAnsi="Times New Roman" w:cs="Times New Roman"/>
          </w:rPr>
          <w:t>Brazil</w:t>
        </w:r>
      </w:smartTag>
      <w:r w:rsidRPr="00007658">
        <w:rPr>
          <w:rFonts w:ascii="Times New Roman" w:hAnsi="Times New Roman" w:cs="Times New Roman"/>
        </w:rPr>
        <w:t xml:space="preserve">, </w:t>
      </w:r>
      <w:smartTag w:uri="urn:schemas-microsoft-com:office:smarttags" w:element="country-region">
        <w:r w:rsidRPr="00007658">
          <w:rPr>
            <w:rFonts w:ascii="Times New Roman" w:hAnsi="Times New Roman" w:cs="Times New Roman"/>
          </w:rPr>
          <w:t>Mexico</w:t>
        </w:r>
      </w:smartTag>
      <w:r w:rsidRPr="00007658">
        <w:rPr>
          <w:rFonts w:ascii="Times New Roman" w:hAnsi="Times New Roman" w:cs="Times New Roman"/>
        </w:rPr>
        <w:t xml:space="preserve"> and </w:t>
      </w:r>
      <w:smartTag w:uri="urn:schemas-microsoft-com:office:smarttags" w:element="country-region">
        <w:smartTag w:uri="urn:schemas-microsoft-com:office:smarttags" w:element="place">
          <w:r w:rsidRPr="00007658">
            <w:rPr>
              <w:rFonts w:ascii="Times New Roman" w:hAnsi="Times New Roman" w:cs="Times New Roman"/>
            </w:rPr>
            <w:t>Chile</w:t>
          </w:r>
        </w:smartTag>
      </w:smartTag>
      <w:r w:rsidRPr="00007658">
        <w:rPr>
          <w:rFonts w:ascii="Times New Roman" w:hAnsi="Times New Roman" w:cs="Times New Roman"/>
        </w:rPr>
        <w:t xml:space="preserve">. Other countries were disregarded due to the small number of </w:t>
      </w:r>
      <w:r w:rsidR="00AB22C8">
        <w:rPr>
          <w:rFonts w:ascii="Times New Roman" w:hAnsi="Times New Roman" w:cs="Times New Roman"/>
        </w:rPr>
        <w:t xml:space="preserve">deposits </w:t>
      </w:r>
      <w:r w:rsidRPr="00007658">
        <w:rPr>
          <w:rFonts w:ascii="Times New Roman" w:hAnsi="Times New Roman" w:cs="Times New Roman"/>
        </w:rPr>
        <w:t>in EPO. The pre and post integration periods for AL-4 were 1980-1994 and 1999-2008.</w:t>
      </w:r>
      <w:r w:rsidR="002C566E">
        <w:rPr>
          <w:rFonts w:ascii="Times New Roman" w:hAnsi="Times New Roman" w:cs="Times New Roman"/>
        </w:rPr>
        <w:t xml:space="preserve"> The choose for the periods attended two criteria: to account a significant number of patents and the transition towards a higher level of integration in the international markets. </w:t>
      </w:r>
      <w:r w:rsidRPr="00007658">
        <w:rPr>
          <w:rFonts w:ascii="Times New Roman" w:hAnsi="Times New Roman" w:cs="Times New Roman"/>
        </w:rPr>
        <w:t xml:space="preserve">The area of reference for European countries is the </w:t>
      </w:r>
      <w:r>
        <w:rPr>
          <w:rFonts w:ascii="Times New Roman" w:hAnsi="Times New Roman" w:cs="Times New Roman"/>
        </w:rPr>
        <w:t xml:space="preserve">aggregation for </w:t>
      </w:r>
      <w:r w:rsidRPr="00007658">
        <w:rPr>
          <w:rFonts w:ascii="Times New Roman" w:hAnsi="Times New Roman" w:cs="Times New Roman"/>
        </w:rPr>
        <w:t xml:space="preserve">UE-15 and </w:t>
      </w:r>
      <w:r w:rsidR="002C566E">
        <w:rPr>
          <w:rFonts w:ascii="Times New Roman" w:hAnsi="Times New Roman" w:cs="Times New Roman"/>
        </w:rPr>
        <w:t>for Latin American and Asian countries</w:t>
      </w:r>
      <w:r w:rsidR="002C566E" w:rsidRPr="00007658">
        <w:rPr>
          <w:rFonts w:ascii="Times New Roman" w:hAnsi="Times New Roman" w:cs="Times New Roman"/>
        </w:rPr>
        <w:t xml:space="preserve"> </w:t>
      </w:r>
      <w:r w:rsidR="002C566E">
        <w:rPr>
          <w:rFonts w:ascii="Times New Roman" w:hAnsi="Times New Roman" w:cs="Times New Roman"/>
        </w:rPr>
        <w:t xml:space="preserve">is </w:t>
      </w:r>
      <w:r w:rsidRPr="00007658">
        <w:rPr>
          <w:rFonts w:ascii="Times New Roman" w:hAnsi="Times New Roman" w:cs="Times New Roman"/>
        </w:rPr>
        <w:t xml:space="preserve">the whole world. </w:t>
      </w:r>
    </w:p>
    <w:bookmarkEnd w:id="16"/>
    <w:bookmarkEnd w:id="17"/>
    <w:p w:rsidR="00C5105C" w:rsidRDefault="00C5105C" w:rsidP="0001659F">
      <w:pPr>
        <w:pStyle w:val="Corpodetexto"/>
        <w:ind w:firstLine="0"/>
        <w:rPr>
          <w:rFonts w:ascii="Times New Roman" w:hAnsi="Times New Roman" w:cs="Times New Roman"/>
          <w:i/>
        </w:rPr>
      </w:pPr>
    </w:p>
    <w:p w:rsidR="00433504" w:rsidRDefault="00433504" w:rsidP="0001659F">
      <w:pPr>
        <w:pStyle w:val="Corpodetexto"/>
        <w:ind w:firstLine="0"/>
        <w:rPr>
          <w:rFonts w:ascii="Times New Roman" w:hAnsi="Times New Roman" w:cs="Times New Roman"/>
          <w:i/>
        </w:rPr>
      </w:pPr>
    </w:p>
    <w:p w:rsidR="0001659F" w:rsidRPr="00007658" w:rsidRDefault="00C55FB9" w:rsidP="00C4397F">
      <w:pPr>
        <w:pStyle w:val="Corpodetexto"/>
        <w:numPr>
          <w:ilvl w:val="0"/>
          <w:numId w:val="5"/>
        </w:numPr>
        <w:rPr>
          <w:rFonts w:ascii="Times New Roman" w:hAnsi="Times New Roman" w:cs="Times New Roman"/>
          <w:i/>
        </w:rPr>
      </w:pPr>
      <w:r>
        <w:rPr>
          <w:rFonts w:ascii="Times New Roman" w:hAnsi="Times New Roman" w:cs="Times New Roman"/>
          <w:b/>
        </w:rPr>
        <w:lastRenderedPageBreak/>
        <w:t>Testing changes in technological structures under market integration</w:t>
      </w:r>
    </w:p>
    <w:p w:rsidR="00C55FB9" w:rsidRDefault="00C55FB9" w:rsidP="00C55FB9">
      <w:pPr>
        <w:ind w:firstLine="0"/>
        <w:rPr>
          <w:rFonts w:ascii="Times New Roman" w:hAnsi="Times New Roman"/>
          <w:color w:val="FF0000"/>
        </w:rPr>
      </w:pPr>
    </w:p>
    <w:p w:rsidR="00C55FB9" w:rsidRDefault="00C55FB9" w:rsidP="003B1AAC">
      <w:pPr>
        <w:rPr>
          <w:rFonts w:ascii="Times New Roman" w:hAnsi="Times New Roman"/>
        </w:rPr>
      </w:pPr>
      <w:r w:rsidRPr="003B1AAC">
        <w:rPr>
          <w:rFonts w:ascii="Times New Roman" w:hAnsi="Times New Roman"/>
        </w:rPr>
        <w:t>Shift-share analysis is a tool that permits to evaluate the changes of the relative position of a country´s growth with respect to a set of countries and to decompose that growth by components. In terms of technological dynamism, the decomposition of the growth of patents share allows to identify: (i) some evidence on changes in technological structures between two period of time; (ii) the role of technological opportunity (TO) to guide the direction of technological efforts; and (iii) the extent through which the technological dynamism is characterized by movements across technological fields according to the dynamicity of their technological opportunity</w:t>
      </w:r>
      <w:r w:rsidRPr="00C55FB9">
        <w:rPr>
          <w:rFonts w:ascii="Times New Roman" w:hAnsi="Times New Roman"/>
          <w:color w:val="FF0000"/>
        </w:rPr>
        <w:t xml:space="preserve">. </w:t>
      </w:r>
      <w:r>
        <w:rPr>
          <w:rFonts w:ascii="Times New Roman" w:hAnsi="Times New Roman"/>
        </w:rPr>
        <w:t>D</w:t>
      </w:r>
      <w:r w:rsidRPr="00645FDD">
        <w:rPr>
          <w:rFonts w:ascii="Times New Roman" w:hAnsi="Times New Roman"/>
        </w:rPr>
        <w:t xml:space="preserve">enoting </w:t>
      </w:r>
      <w:r w:rsidRPr="00645FDD">
        <w:rPr>
          <w:rFonts w:ascii="Times New Roman" w:hAnsi="Times New Roman"/>
          <w:i/>
          <w:iCs/>
        </w:rPr>
        <w:t>p</w:t>
      </w:r>
      <w:r w:rsidRPr="00645FDD">
        <w:rPr>
          <w:rFonts w:ascii="Times New Roman" w:hAnsi="Times New Roman"/>
          <w:i/>
          <w:iCs/>
          <w:vertAlign w:val="subscript"/>
        </w:rPr>
        <w:t>j</w:t>
      </w:r>
      <w:r w:rsidRPr="00645FDD">
        <w:rPr>
          <w:rFonts w:ascii="Times New Roman" w:hAnsi="Times New Roman"/>
        </w:rPr>
        <w:t xml:space="preserve"> as the share of patents of the </w:t>
      </w:r>
      <w:r w:rsidRPr="00645FDD">
        <w:rPr>
          <w:rFonts w:ascii="Times New Roman" w:hAnsi="Times New Roman"/>
          <w:i/>
          <w:iCs/>
        </w:rPr>
        <w:t>j</w:t>
      </w:r>
      <w:r w:rsidRPr="00645FDD">
        <w:rPr>
          <w:rFonts w:ascii="Times New Roman" w:hAnsi="Times New Roman"/>
        </w:rPr>
        <w:t xml:space="preserve">-country in the </w:t>
      </w:r>
      <w:r>
        <w:rPr>
          <w:rFonts w:ascii="Times New Roman" w:hAnsi="Times New Roman"/>
        </w:rPr>
        <w:t>world</w:t>
      </w:r>
      <w:r w:rsidRPr="00645FDD">
        <w:rPr>
          <w:rFonts w:ascii="Times New Roman" w:hAnsi="Times New Roman"/>
        </w:rPr>
        <w:t xml:space="preserve">; </w:t>
      </w:r>
      <w:r w:rsidRPr="00645FDD">
        <w:rPr>
          <w:rFonts w:ascii="Times New Roman" w:hAnsi="Times New Roman"/>
          <w:i/>
          <w:iCs/>
        </w:rPr>
        <w:t>p</w:t>
      </w:r>
      <w:r w:rsidRPr="00645FDD">
        <w:rPr>
          <w:rFonts w:ascii="Times New Roman" w:hAnsi="Times New Roman"/>
          <w:i/>
          <w:iCs/>
          <w:vertAlign w:val="subscript"/>
        </w:rPr>
        <w:t>ij</w:t>
      </w:r>
      <w:r w:rsidRPr="00645FDD">
        <w:rPr>
          <w:rFonts w:ascii="Times New Roman" w:hAnsi="Times New Roman"/>
        </w:rPr>
        <w:t xml:space="preserve"> </w:t>
      </w:r>
      <w:r>
        <w:rPr>
          <w:rFonts w:ascii="Times New Roman" w:hAnsi="Times New Roman"/>
        </w:rPr>
        <w:t xml:space="preserve">as </w:t>
      </w:r>
      <w:r w:rsidRPr="00645FDD">
        <w:rPr>
          <w:rFonts w:ascii="Times New Roman" w:hAnsi="Times New Roman"/>
        </w:rPr>
        <w:t xml:space="preserve">the share of patents of the </w:t>
      </w:r>
      <w:r w:rsidRPr="00645FDD">
        <w:rPr>
          <w:rFonts w:ascii="Times New Roman" w:hAnsi="Times New Roman"/>
          <w:i/>
          <w:iCs/>
        </w:rPr>
        <w:t>j</w:t>
      </w:r>
      <w:r w:rsidRPr="00645FDD">
        <w:rPr>
          <w:rFonts w:ascii="Times New Roman" w:hAnsi="Times New Roman"/>
        </w:rPr>
        <w:t xml:space="preserve">-country in the </w:t>
      </w:r>
      <w:r w:rsidRPr="00645FDD">
        <w:rPr>
          <w:rFonts w:ascii="Times New Roman" w:hAnsi="Times New Roman"/>
          <w:i/>
          <w:iCs/>
        </w:rPr>
        <w:t>i</w:t>
      </w:r>
      <w:r w:rsidRPr="00645FDD">
        <w:rPr>
          <w:rFonts w:ascii="Times New Roman" w:hAnsi="Times New Roman"/>
        </w:rPr>
        <w:t>-technical field</w:t>
      </w:r>
      <w:r>
        <w:rPr>
          <w:rFonts w:ascii="Times New Roman" w:hAnsi="Times New Roman"/>
        </w:rPr>
        <w:t xml:space="preserve"> over the same technical field in the world</w:t>
      </w:r>
      <w:r w:rsidRPr="00645FDD">
        <w:rPr>
          <w:rFonts w:ascii="Times New Roman" w:hAnsi="Times New Roman"/>
        </w:rPr>
        <w:t xml:space="preserve">; </w:t>
      </w:r>
      <w:r w:rsidRPr="00645FDD">
        <w:rPr>
          <w:rFonts w:ascii="Times New Roman" w:hAnsi="Times New Roman"/>
          <w:i/>
          <w:iCs/>
        </w:rPr>
        <w:t>o</w:t>
      </w:r>
      <w:r w:rsidRPr="00645FDD">
        <w:rPr>
          <w:rFonts w:ascii="Times New Roman" w:hAnsi="Times New Roman"/>
          <w:i/>
          <w:iCs/>
          <w:vertAlign w:val="subscript"/>
        </w:rPr>
        <w:t>i</w:t>
      </w:r>
      <w:r w:rsidRPr="00645FDD">
        <w:rPr>
          <w:rFonts w:ascii="Times New Roman" w:hAnsi="Times New Roman"/>
        </w:rPr>
        <w:t xml:space="preserve">, the share of patents of the </w:t>
      </w:r>
      <w:r w:rsidRPr="00341FC6">
        <w:rPr>
          <w:rFonts w:ascii="Times New Roman" w:hAnsi="Times New Roman"/>
          <w:i/>
          <w:iCs/>
        </w:rPr>
        <w:t>i</w:t>
      </w:r>
      <w:r w:rsidRPr="00645FDD">
        <w:rPr>
          <w:rFonts w:ascii="Times New Roman" w:hAnsi="Times New Roman"/>
        </w:rPr>
        <w:t>-technical field in the w</w:t>
      </w:r>
      <w:r>
        <w:rPr>
          <w:rFonts w:ascii="Times New Roman" w:hAnsi="Times New Roman"/>
        </w:rPr>
        <w:t>orld</w:t>
      </w:r>
      <w:r w:rsidRPr="00645FDD">
        <w:rPr>
          <w:rFonts w:ascii="Times New Roman" w:hAnsi="Times New Roman"/>
        </w:rPr>
        <w:t xml:space="preserve">; </w:t>
      </w:r>
      <w:r w:rsidRPr="00564AE6">
        <w:rPr>
          <w:rFonts w:ascii="Times New Roman" w:hAnsi="Times New Roman"/>
          <w:i/>
          <w:iCs/>
        </w:rPr>
        <w:t>s</w:t>
      </w:r>
      <w:r w:rsidRPr="00564AE6">
        <w:rPr>
          <w:rFonts w:ascii="Times New Roman" w:hAnsi="Times New Roman"/>
          <w:i/>
          <w:iCs/>
          <w:vertAlign w:val="subscript"/>
        </w:rPr>
        <w:t>ij</w:t>
      </w:r>
      <w:r w:rsidRPr="00564AE6">
        <w:rPr>
          <w:rFonts w:ascii="Times New Roman" w:hAnsi="Times New Roman"/>
          <w:vertAlign w:val="subscript"/>
        </w:rPr>
        <w:t xml:space="preserve"> </w:t>
      </w:r>
      <w:r>
        <w:rPr>
          <w:rFonts w:ascii="Times New Roman" w:hAnsi="Times New Roman"/>
        </w:rPr>
        <w:t xml:space="preserve">the patents share distribution of the </w:t>
      </w:r>
      <w:r w:rsidRPr="00341FC6">
        <w:rPr>
          <w:rFonts w:ascii="Times New Roman" w:hAnsi="Times New Roman"/>
          <w:i/>
          <w:iCs/>
        </w:rPr>
        <w:t>j</w:t>
      </w:r>
      <w:r>
        <w:rPr>
          <w:rFonts w:ascii="Times New Roman" w:hAnsi="Times New Roman"/>
        </w:rPr>
        <w:t xml:space="preserve">-country by </w:t>
      </w:r>
      <w:r w:rsidRPr="00341FC6">
        <w:rPr>
          <w:rFonts w:ascii="Times New Roman" w:hAnsi="Times New Roman"/>
          <w:i/>
          <w:iCs/>
        </w:rPr>
        <w:t>i</w:t>
      </w:r>
      <w:r>
        <w:rPr>
          <w:rFonts w:ascii="Times New Roman" w:hAnsi="Times New Roman"/>
        </w:rPr>
        <w:t xml:space="preserve">-technical fields </w:t>
      </w:r>
      <w:r w:rsidRPr="00645FDD">
        <w:rPr>
          <w:rFonts w:ascii="Times New Roman" w:hAnsi="Times New Roman"/>
        </w:rPr>
        <w:t>and (t-1) the initial period of analysis, the growth of the patent shares between two periods can be decomposed as follows;</w:t>
      </w:r>
    </w:p>
    <w:p w:rsidR="00C55FB9" w:rsidRPr="00645FDD" w:rsidRDefault="00415CD2" w:rsidP="00C55FB9">
      <w:pPr>
        <w:spacing w:line="360" w:lineRule="auto"/>
        <w:rPr>
          <w:rFonts w:ascii="Times New Roman" w:hAnsi="Times New Roman"/>
        </w:rPr>
      </w:pPr>
      <m:oMathPara>
        <m:oMath>
          <m:acc>
            <m:accPr>
              <m:chr m:val="̇"/>
              <m:ctrlPr>
                <w:rPr>
                  <w:rFonts w:ascii="Cambria Math" w:hAnsi="Cambria Math"/>
                  <w:i/>
                </w:rPr>
              </m:ctrlPr>
            </m:accPr>
            <m:e>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j</m:t>
                      </m:r>
                    </m:sub>
                  </m:sSub>
                </m:e>
              </m:acc>
              <m:r>
                <w:rPr>
                  <w:rFonts w:ascii="Cambria Math" w:hAnsi="Cambria Math"/>
                </w:rPr>
                <m:t>=</m:t>
              </m:r>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s</m:t>
                      </m:r>
                    </m:e>
                    <m:sub>
                      <m:r>
                        <w:rPr>
                          <w:rFonts w:ascii="Cambria Math" w:hAnsi="Cambria Math"/>
                        </w:rPr>
                        <m:t>ij</m:t>
                      </m:r>
                    </m:sub>
                    <m:sup>
                      <m:r>
                        <w:rPr>
                          <w:rFonts w:ascii="Cambria Math" w:hAnsi="Cambria Math"/>
                        </w:rPr>
                        <m:t>t-1</m:t>
                      </m:r>
                    </m:sup>
                  </m:sSubSup>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ij</m:t>
                          </m:r>
                        </m:sub>
                      </m:sSub>
                    </m:e>
                  </m:acc>
                </m:e>
              </m:nary>
            </m:e>
          </m:acc>
          <m:r>
            <w:rPr>
              <w:rFonts w:ascii="Cambria Math" w:hAnsi="Cambria Math"/>
            </w:rPr>
            <m:t>+</m:t>
          </m:r>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s</m:t>
                  </m:r>
                </m:e>
                <m:sub>
                  <m:r>
                    <w:rPr>
                      <w:rFonts w:ascii="Cambria Math" w:hAnsi="Cambria Math"/>
                    </w:rPr>
                    <m:t>ij</m:t>
                  </m:r>
                </m:sub>
                <m:sup>
                  <m:r>
                    <w:rPr>
                      <w:rFonts w:ascii="Cambria Math" w:hAnsi="Cambria Math"/>
                    </w:rPr>
                    <m:t>t-1</m:t>
                  </m:r>
                </m:sup>
              </m:sSubSup>
            </m:e>
          </m:nary>
          <m:acc>
            <m:accPr>
              <m:chr m:val="̇"/>
              <m:ctrlPr>
                <w:rPr>
                  <w:rFonts w:ascii="Cambria Math" w:hAnsi="Cambria Math"/>
                  <w:i/>
                </w:rPr>
              </m:ctrlPr>
            </m:accPr>
            <m:e>
              <m:sSub>
                <m:sSubPr>
                  <m:ctrlPr>
                    <w:rPr>
                      <w:rFonts w:ascii="Cambria Math" w:hAnsi="Cambria Math"/>
                      <w:i/>
                    </w:rPr>
                  </m:ctrlPr>
                </m:sSubPr>
                <m:e>
                  <m:r>
                    <w:rPr>
                      <w:rFonts w:ascii="Cambria Math" w:hAnsi="Cambria Math"/>
                    </w:rPr>
                    <m:t>o</m:t>
                  </m:r>
                </m:e>
                <m:sub>
                  <m:r>
                    <w:rPr>
                      <w:rFonts w:ascii="Cambria Math" w:hAnsi="Cambria Math"/>
                    </w:rPr>
                    <m:t>ij</m:t>
                  </m:r>
                </m:sub>
              </m:sSub>
            </m:e>
          </m:acc>
          <m:r>
            <w:rPr>
              <w:rFonts w:ascii="Cambria Math" w:hAnsi="Cambria Math"/>
            </w:rPr>
            <m:t>+</m:t>
          </m:r>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s</m:t>
                  </m:r>
                </m:e>
                <m:sub>
                  <m:r>
                    <w:rPr>
                      <w:rFonts w:ascii="Cambria Math" w:hAnsi="Cambria Math"/>
                    </w:rPr>
                    <m:t>ij</m:t>
                  </m:r>
                </m:sub>
                <m:sup>
                  <m:r>
                    <w:rPr>
                      <w:rFonts w:ascii="Cambria Math" w:hAnsi="Cambria Math"/>
                    </w:rPr>
                    <m:t>t-1</m:t>
                  </m:r>
                </m:sup>
              </m:sSubSup>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ij</m:t>
                      </m:r>
                    </m:sub>
                  </m:sSub>
                </m:e>
              </m:acc>
              <m:acc>
                <m:accPr>
                  <m:chr m:val="̇"/>
                  <m:ctrlPr>
                    <w:rPr>
                      <w:rFonts w:ascii="Cambria Math" w:hAnsi="Cambria Math"/>
                      <w:i/>
                    </w:rPr>
                  </m:ctrlPr>
                </m:accPr>
                <m:e>
                  <m:sSub>
                    <m:sSubPr>
                      <m:ctrlPr>
                        <w:rPr>
                          <w:rFonts w:ascii="Cambria Math" w:hAnsi="Cambria Math"/>
                          <w:i/>
                        </w:rPr>
                      </m:ctrlPr>
                    </m:sSubPr>
                    <m:e>
                      <m:r>
                        <w:rPr>
                          <w:rFonts w:ascii="Cambria Math" w:hAnsi="Cambria Math"/>
                        </w:rPr>
                        <m:t>o</m:t>
                      </m:r>
                    </m:e>
                    <m:sub>
                      <m:r>
                        <w:rPr>
                          <w:rFonts w:ascii="Cambria Math" w:hAnsi="Cambria Math"/>
                        </w:rPr>
                        <m:t>ij</m:t>
                      </m:r>
                    </m:sub>
                  </m:sSub>
                </m:e>
              </m:acc>
            </m:e>
          </m:nary>
        </m:oMath>
      </m:oMathPara>
    </w:p>
    <w:p w:rsidR="0001659F" w:rsidRDefault="00C55FB9" w:rsidP="00983896">
      <w:pPr>
        <w:ind w:firstLine="708"/>
        <w:rPr>
          <w:rFonts w:ascii="Times New Roman" w:hAnsi="Times New Roman"/>
        </w:rPr>
      </w:pPr>
      <w:r>
        <w:rPr>
          <w:rFonts w:ascii="Times New Roman" w:hAnsi="Times New Roman" w:cs="Times New Roman"/>
        </w:rPr>
        <w:t xml:space="preserve">According to </w:t>
      </w:r>
      <w:r>
        <w:rPr>
          <w:rFonts w:asciiTheme="majorBidi" w:hAnsiTheme="majorBidi" w:cstheme="majorBidi"/>
        </w:rPr>
        <w:t xml:space="preserve">Laursen (1999) if the growth of patents is a proxy of technological opportunity, the decomposition of TO in technology share effect, structural technology effect and technology adaptation effect allows the measurement of the access of a country to sectors with high levels of technological opportunity. </w:t>
      </w:r>
      <w:r w:rsidRPr="00645FDD">
        <w:rPr>
          <w:rFonts w:ascii="Times New Roman" w:hAnsi="Times New Roman"/>
        </w:rPr>
        <w:t xml:space="preserve">The first factor </w:t>
      </w:r>
      <m:oMath>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s</m:t>
                </m:r>
              </m:e>
              <m:sub>
                <m:r>
                  <w:rPr>
                    <w:rFonts w:ascii="Cambria Math" w:hAnsi="Cambria Math"/>
                  </w:rPr>
                  <m:t>ij</m:t>
                </m:r>
              </m:sub>
              <m:sup>
                <m:r>
                  <w:rPr>
                    <w:rFonts w:ascii="Cambria Math" w:hAnsi="Cambria Math"/>
                  </w:rPr>
                  <m:t>t-1</m:t>
                </m:r>
              </m:sup>
            </m:sSubSup>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ij</m:t>
                    </m:r>
                  </m:sub>
                </m:sSub>
              </m:e>
            </m:acc>
          </m:e>
        </m:nary>
      </m:oMath>
      <w:r>
        <w:rPr>
          <w:rFonts w:ascii="Times New Roman" w:eastAsiaTheme="minorEastAsia" w:hAnsi="Times New Roman"/>
        </w:rPr>
        <w:t xml:space="preserve"> </w:t>
      </w:r>
      <w:r w:rsidRPr="00645FDD">
        <w:rPr>
          <w:rFonts w:ascii="Times New Roman" w:hAnsi="Times New Roman"/>
        </w:rPr>
        <w:t xml:space="preserve">represents the ‘technology share effect’ and measures the fraction of growth due to the dynamism of patenting activity strictly (technological activity in the wide sense), keeping constant the weight of the technical field in the initial period. The second factor </w:t>
      </w:r>
      <m:oMath>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s</m:t>
                </m:r>
              </m:e>
              <m:sub>
                <m:r>
                  <w:rPr>
                    <w:rFonts w:ascii="Cambria Math" w:hAnsi="Cambria Math"/>
                  </w:rPr>
                  <m:t>ij</m:t>
                </m:r>
              </m:sub>
              <m:sup>
                <m:r>
                  <w:rPr>
                    <w:rFonts w:ascii="Cambria Math" w:hAnsi="Cambria Math"/>
                  </w:rPr>
                  <m:t>t-1</m:t>
                </m:r>
              </m:sup>
            </m:sSubSup>
          </m:e>
        </m:nary>
        <m:acc>
          <m:accPr>
            <m:chr m:val="̇"/>
            <m:ctrlPr>
              <w:rPr>
                <w:rFonts w:ascii="Cambria Math" w:hAnsi="Cambria Math"/>
                <w:i/>
              </w:rPr>
            </m:ctrlPr>
          </m:accPr>
          <m:e>
            <m:sSub>
              <m:sSubPr>
                <m:ctrlPr>
                  <w:rPr>
                    <w:rFonts w:ascii="Cambria Math" w:hAnsi="Cambria Math"/>
                    <w:i/>
                  </w:rPr>
                </m:ctrlPr>
              </m:sSubPr>
              <m:e>
                <m:r>
                  <w:rPr>
                    <w:rFonts w:ascii="Cambria Math" w:hAnsi="Cambria Math"/>
                  </w:rPr>
                  <m:t>o</m:t>
                </m:r>
              </m:e>
              <m:sub>
                <m:r>
                  <w:rPr>
                    <w:rFonts w:ascii="Cambria Math" w:hAnsi="Cambria Math"/>
                  </w:rPr>
                  <m:t>ij</m:t>
                </m:r>
              </m:sub>
            </m:sSub>
          </m:e>
        </m:acc>
      </m:oMath>
      <w:r w:rsidRPr="00645FDD">
        <w:rPr>
          <w:rFonts w:ascii="Times New Roman" w:hAnsi="Times New Roman"/>
        </w:rPr>
        <w:t xml:space="preserve"> measures the “structural technology effect”, or the fraction of growth due to a ‘correct’ (or ‘incorrect’) pre-integration specialization pattern. Th</w:t>
      </w:r>
      <w:r>
        <w:rPr>
          <w:rFonts w:ascii="Times New Roman" w:hAnsi="Times New Roman"/>
        </w:rPr>
        <w:t>at</w:t>
      </w:r>
      <w:r w:rsidRPr="00645FDD">
        <w:rPr>
          <w:rFonts w:ascii="Times New Roman" w:hAnsi="Times New Roman"/>
        </w:rPr>
        <w:t xml:space="preserve"> is</w:t>
      </w:r>
      <w:r>
        <w:rPr>
          <w:rFonts w:ascii="Times New Roman" w:hAnsi="Times New Roman"/>
        </w:rPr>
        <w:t>,</w:t>
      </w:r>
      <w:r w:rsidRPr="00645FDD">
        <w:rPr>
          <w:rFonts w:ascii="Times New Roman" w:hAnsi="Times New Roman"/>
        </w:rPr>
        <w:t xml:space="preserve"> if the country took advantages for being previously specialized (or de-specialized) in technical fields that were dynamic (or stag</w:t>
      </w:r>
      <w:r>
        <w:rPr>
          <w:rFonts w:ascii="Times New Roman" w:hAnsi="Times New Roman"/>
        </w:rPr>
        <w:t>nat</w:t>
      </w:r>
      <w:r w:rsidRPr="00645FDD">
        <w:rPr>
          <w:rFonts w:ascii="Times New Roman" w:hAnsi="Times New Roman"/>
        </w:rPr>
        <w:t xml:space="preserve">ed) between periods. As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o</m:t>
                </m:r>
              </m:e>
              <m:sub>
                <m:r>
                  <w:rPr>
                    <w:rFonts w:ascii="Cambria Math" w:hAnsi="Cambria Math"/>
                  </w:rPr>
                  <m:t>ij</m:t>
                </m:r>
              </m:sub>
            </m:sSub>
          </m:e>
        </m:acc>
      </m:oMath>
      <w:r w:rsidRPr="00645FDD">
        <w:rPr>
          <w:rFonts w:ascii="Times New Roman" w:hAnsi="Times New Roman"/>
        </w:rPr>
        <w:t xml:space="preserve"> represent</w:t>
      </w:r>
      <w:r>
        <w:rPr>
          <w:rFonts w:ascii="Times New Roman" w:hAnsi="Times New Roman"/>
        </w:rPr>
        <w:t>s</w:t>
      </w:r>
      <w:r w:rsidRPr="00645FDD">
        <w:rPr>
          <w:rFonts w:ascii="Times New Roman" w:hAnsi="Times New Roman"/>
        </w:rPr>
        <w:t xml:space="preserve"> a measure of technological opportunity, this factor can be interpreted as a measure of the technological opportunity contribution over the growth of the national share of patents. The third factor </w:t>
      </w:r>
      <m:oMath>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s</m:t>
                </m:r>
              </m:e>
              <m:sub>
                <m:r>
                  <w:rPr>
                    <w:rFonts w:ascii="Cambria Math" w:hAnsi="Cambria Math"/>
                  </w:rPr>
                  <m:t>ij</m:t>
                </m:r>
              </m:sub>
              <m:sup>
                <m:r>
                  <w:rPr>
                    <w:rFonts w:ascii="Cambria Math" w:hAnsi="Cambria Math"/>
                  </w:rPr>
                  <m:t>t-1</m:t>
                </m:r>
              </m:sup>
            </m:sSubSup>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ij</m:t>
                    </m:r>
                  </m:sub>
                </m:sSub>
              </m:e>
            </m:acc>
            <m:acc>
              <m:accPr>
                <m:chr m:val="̇"/>
                <m:ctrlPr>
                  <w:rPr>
                    <w:rFonts w:ascii="Cambria Math" w:hAnsi="Cambria Math"/>
                    <w:i/>
                  </w:rPr>
                </m:ctrlPr>
              </m:accPr>
              <m:e>
                <m:sSub>
                  <m:sSubPr>
                    <m:ctrlPr>
                      <w:rPr>
                        <w:rFonts w:ascii="Cambria Math" w:hAnsi="Cambria Math"/>
                        <w:i/>
                      </w:rPr>
                    </m:ctrlPr>
                  </m:sSubPr>
                  <m:e>
                    <m:r>
                      <w:rPr>
                        <w:rFonts w:ascii="Cambria Math" w:hAnsi="Cambria Math"/>
                      </w:rPr>
                      <m:t>o</m:t>
                    </m:r>
                  </m:e>
                  <m:sub>
                    <m:r>
                      <w:rPr>
                        <w:rFonts w:ascii="Cambria Math" w:hAnsi="Cambria Math"/>
                      </w:rPr>
                      <m:t>ij</m:t>
                    </m:r>
                  </m:sub>
                </m:sSub>
              </m:e>
            </m:acc>
          </m:e>
        </m:nary>
      </m:oMath>
      <w:r>
        <w:rPr>
          <w:rFonts w:ascii="Times New Roman" w:eastAsiaTheme="minorEastAsia" w:hAnsi="Times New Roman"/>
        </w:rPr>
        <w:t xml:space="preserve"> </w:t>
      </w:r>
      <w:r w:rsidRPr="00645FDD">
        <w:rPr>
          <w:rFonts w:ascii="Times New Roman" w:hAnsi="Times New Roman"/>
        </w:rPr>
        <w:t>shape</w:t>
      </w:r>
      <w:r>
        <w:rPr>
          <w:rFonts w:ascii="Times New Roman" w:hAnsi="Times New Roman"/>
        </w:rPr>
        <w:t>s</w:t>
      </w:r>
      <w:r w:rsidRPr="00645FDD">
        <w:rPr>
          <w:rFonts w:ascii="Times New Roman" w:hAnsi="Times New Roman"/>
        </w:rPr>
        <w:t xml:space="preserve"> a residual effect called ‘technology adaptation effect’. It takes negative values when the country left high OT fields (or went into staged OT fields); and takes positive values when the country went into high OT fields (or went out staged OT fields). That factor represents a measure of the contribution of the mixed effect of technological opportunity and patenting activity (in the strict sense) to the patent share growth</w:t>
      </w:r>
      <w:r w:rsidR="00543DA4">
        <w:rPr>
          <w:rFonts w:ascii="Times New Roman" w:hAnsi="Times New Roman"/>
        </w:rPr>
        <w:t>.</w:t>
      </w:r>
    </w:p>
    <w:p w:rsidR="00543DA4" w:rsidRPr="00543DA4" w:rsidRDefault="00543DA4" w:rsidP="00433504">
      <w:pPr>
        <w:pStyle w:val="Corpodetexto"/>
      </w:pPr>
      <w:r w:rsidRPr="007A1AE0">
        <w:rPr>
          <w:rFonts w:ascii="Times New Roman" w:hAnsi="Times New Roman"/>
        </w:rPr>
        <w:t>European countries were classified in three different groups: leaders, whose pre-integration share of patents was superior to 10%; medium technological level, whose pre-integration share of paten</w:t>
      </w:r>
      <w:r>
        <w:rPr>
          <w:rFonts w:ascii="Times New Roman" w:hAnsi="Times New Roman"/>
        </w:rPr>
        <w:t>t</w:t>
      </w:r>
      <w:r w:rsidRPr="007A1AE0">
        <w:rPr>
          <w:rFonts w:ascii="Times New Roman" w:hAnsi="Times New Roman"/>
        </w:rPr>
        <w:t>s was between 1% and 10%; and delayed countries, whose pre-integration share of patents was inferior to 1%. Even though this classification has not considered the country size, it is compatible with other criteria like P&amp;D intensity or number of patents by people</w:t>
      </w:r>
      <w:r>
        <w:rPr>
          <w:rFonts w:ascii="Times New Roman" w:hAnsi="Times New Roman"/>
        </w:rPr>
        <w:t>.</w:t>
      </w:r>
    </w:p>
    <w:p w:rsidR="001556E4" w:rsidRDefault="0040529B" w:rsidP="0001659F">
      <w:pPr>
        <w:rPr>
          <w:rFonts w:ascii="Times New Roman" w:hAnsi="Times New Roman" w:cs="Times New Roman"/>
        </w:rPr>
      </w:pPr>
      <w:r w:rsidRPr="00433504">
        <w:rPr>
          <w:rFonts w:ascii="Times New Roman" w:hAnsi="Times New Roman"/>
        </w:rPr>
        <w:t>European leaders reduced their share of patents between pre and post-integration periods, specially France (-13,8%) and Great Britain (-21,8%). This was a consequence of the fall observed in the ‘technological share effect’. Germany also shows a loss in its share of patents, but it was due to the structural effect, that is, it had a ‘wrong’ initial specialization in technological fields that remain stagnant between periods. UE Medium technological levels show moderate rates of growth in their shares of patents. The more dynamic cases were Finland (91,0%) and Denmark (62,0%). The technological dynamism is the main responsible for this tendency which compensate</w:t>
      </w:r>
      <w:r w:rsidR="00FD2536" w:rsidRPr="00433504">
        <w:rPr>
          <w:rFonts w:ascii="Times New Roman" w:hAnsi="Times New Roman"/>
        </w:rPr>
        <w:t>d</w:t>
      </w:r>
      <w:r w:rsidRPr="00433504">
        <w:rPr>
          <w:rFonts w:ascii="Times New Roman" w:hAnsi="Times New Roman"/>
        </w:rPr>
        <w:t xml:space="preserve"> the negative effect of an adverse initial specialization in the cases of Austria, Belux and Italy. In Finland, the adaptation effect was also quite relevant, which means that the country re-oriented its technological efforts towards more dynamic areas, giving up those with low OT. The Delayed UE-countries show a strong growth of their share of patents, which is especially relevant in Portugal (215,8%).</w:t>
      </w:r>
      <w:r>
        <w:rPr>
          <w:rFonts w:ascii="Times New Roman" w:hAnsi="Times New Roman"/>
          <w:color w:val="FF0000"/>
        </w:rPr>
        <w:t xml:space="preserve"> </w:t>
      </w:r>
      <w:r w:rsidR="001556E4" w:rsidRPr="00007658">
        <w:rPr>
          <w:rFonts w:ascii="Times New Roman" w:hAnsi="Times New Roman" w:cs="Times New Roman"/>
        </w:rPr>
        <w:t xml:space="preserve">This result is </w:t>
      </w:r>
      <w:r w:rsidR="001556E4">
        <w:rPr>
          <w:rFonts w:ascii="Times New Roman" w:hAnsi="Times New Roman" w:cs="Times New Roman"/>
        </w:rPr>
        <w:t>consequence of a</w:t>
      </w:r>
      <w:r w:rsidR="001556E4" w:rsidRPr="00007658">
        <w:rPr>
          <w:rFonts w:ascii="Times New Roman" w:hAnsi="Times New Roman" w:cs="Times New Roman"/>
        </w:rPr>
        <w:t xml:space="preserve"> combination of </w:t>
      </w:r>
      <w:r w:rsidR="001556E4" w:rsidRPr="00007658">
        <w:rPr>
          <w:rFonts w:ascii="Times New Roman" w:hAnsi="Times New Roman" w:cs="Times New Roman"/>
        </w:rPr>
        <w:lastRenderedPageBreak/>
        <w:t>strong technolog</w:t>
      </w:r>
      <w:r w:rsidR="001556E4">
        <w:rPr>
          <w:rFonts w:ascii="Times New Roman" w:hAnsi="Times New Roman" w:cs="Times New Roman"/>
        </w:rPr>
        <w:t>ical</w:t>
      </w:r>
      <w:r w:rsidR="001556E4" w:rsidRPr="00007658">
        <w:rPr>
          <w:rFonts w:ascii="Times New Roman" w:hAnsi="Times New Roman" w:cs="Times New Roman"/>
        </w:rPr>
        <w:t xml:space="preserve"> dynamism and </w:t>
      </w:r>
      <w:r w:rsidR="001556E4">
        <w:rPr>
          <w:rFonts w:ascii="Times New Roman" w:hAnsi="Times New Roman" w:cs="Times New Roman"/>
        </w:rPr>
        <w:t xml:space="preserve">of </w:t>
      </w:r>
      <w:r w:rsidR="001556E4" w:rsidRPr="00007658">
        <w:rPr>
          <w:rFonts w:ascii="Times New Roman" w:hAnsi="Times New Roman" w:cs="Times New Roman"/>
        </w:rPr>
        <w:t xml:space="preserve">taking advantage of their initial specialization, which compensate the negative value of </w:t>
      </w:r>
      <w:r w:rsidR="001556E4">
        <w:rPr>
          <w:rFonts w:ascii="Times New Roman" w:hAnsi="Times New Roman" w:cs="Times New Roman"/>
        </w:rPr>
        <w:t xml:space="preserve">the </w:t>
      </w:r>
      <w:r w:rsidR="001556E4" w:rsidRPr="00007658">
        <w:rPr>
          <w:rFonts w:ascii="Times New Roman" w:hAnsi="Times New Roman" w:cs="Times New Roman"/>
        </w:rPr>
        <w:t xml:space="preserve">adaptation effect </w:t>
      </w:r>
      <w:r w:rsidR="001556E4">
        <w:rPr>
          <w:rFonts w:ascii="Times New Roman" w:hAnsi="Times New Roman" w:cs="Times New Roman"/>
        </w:rPr>
        <w:t xml:space="preserve">of </w:t>
      </w:r>
      <w:r w:rsidR="001556E4" w:rsidRPr="00007658">
        <w:rPr>
          <w:rFonts w:ascii="Times New Roman" w:hAnsi="Times New Roman" w:cs="Times New Roman"/>
        </w:rPr>
        <w:t xml:space="preserve">all four countries. </w:t>
      </w:r>
    </w:p>
    <w:p w:rsidR="003D2709" w:rsidRDefault="003D2709" w:rsidP="0001659F">
      <w:pPr>
        <w:pStyle w:val="Corpodetexto"/>
        <w:rPr>
          <w:rFonts w:ascii="Times New Roman" w:hAnsi="Times New Roman" w:cs="Times New Roman"/>
        </w:rPr>
      </w:pPr>
      <w:r>
        <w:rPr>
          <w:rFonts w:ascii="Times New Roman" w:hAnsi="Times New Roman" w:cs="Times New Roman"/>
        </w:rPr>
        <w:t xml:space="preserve">Latin American countries register also high growths of their share of patents in the world, mainly Chile (138,2%) and Brazil (126,0%). The technological effect is the main explanatory driver for this high dynamism compensating their unfavorable initial specialization. </w:t>
      </w:r>
      <w:smartTag w:uri="urn:schemas-microsoft-com:office:smarttags" w:element="place">
        <w:smartTag w:uri="urn:schemas-microsoft-com:office:smarttags" w:element="country-region">
          <w:r>
            <w:rPr>
              <w:rFonts w:ascii="Times New Roman" w:hAnsi="Times New Roman" w:cs="Times New Roman"/>
            </w:rPr>
            <w:t>Mexico</w:t>
          </w:r>
        </w:smartTag>
      </w:smartTag>
      <w:r>
        <w:rPr>
          <w:rFonts w:ascii="Times New Roman" w:hAnsi="Times New Roman" w:cs="Times New Roman"/>
        </w:rPr>
        <w:t xml:space="preserve"> also shows high rates of growth with respect to both areas of references: the whole world and NAFTA (121,0% and 113,8% respectively). In the four countries the adaptive effect is negative. This finding means that the technological dynamism did not take advantage of the dynamicity of the high TO fields. By the contrary, all the countries tended to move towards more stagnant technological TO fields or to leave the most dynamic ones.</w:t>
      </w:r>
    </w:p>
    <w:p w:rsidR="00983896" w:rsidRDefault="00983896" w:rsidP="0001659F">
      <w:pPr>
        <w:pStyle w:val="Corpodetexto"/>
        <w:rPr>
          <w:rFonts w:ascii="Times New Roman" w:hAnsi="Times New Roman" w:cs="Times New Roman"/>
        </w:rPr>
      </w:pPr>
    </w:p>
    <w:p w:rsidR="00C5105C" w:rsidRDefault="00C5105C" w:rsidP="0001659F">
      <w:pPr>
        <w:jc w:val="center"/>
        <w:rPr>
          <w:rFonts w:ascii="Times New Roman" w:hAnsi="Times New Roman" w:cs="Times New Roman"/>
        </w:rPr>
      </w:pPr>
      <w:r w:rsidRPr="00007658">
        <w:rPr>
          <w:rFonts w:ascii="Times New Roman" w:hAnsi="Times New Roman" w:cs="Times New Roman"/>
        </w:rPr>
        <w:t>Table 1. – Growth of the patent shares between periods and decomposition of growth by shift-share analysis</w:t>
      </w:r>
      <w:r>
        <w:rPr>
          <w:rFonts w:ascii="Times New Roman" w:hAnsi="Times New Roman" w:cs="Times New Roman"/>
        </w:rPr>
        <w:t>.</w:t>
      </w:r>
    </w:p>
    <w:tbl>
      <w:tblPr>
        <w:tblW w:w="7960" w:type="dxa"/>
        <w:jc w:val="center"/>
        <w:tblInd w:w="60" w:type="dxa"/>
        <w:tblCellMar>
          <w:left w:w="70" w:type="dxa"/>
          <w:right w:w="70" w:type="dxa"/>
        </w:tblCellMar>
        <w:tblLook w:val="04A0"/>
      </w:tblPr>
      <w:tblGrid>
        <w:gridCol w:w="740"/>
        <w:gridCol w:w="1600"/>
        <w:gridCol w:w="1400"/>
        <w:gridCol w:w="1711"/>
        <w:gridCol w:w="1189"/>
        <w:gridCol w:w="1320"/>
      </w:tblGrid>
      <w:tr w:rsidR="0040529B" w:rsidRPr="0040529B" w:rsidTr="0040529B">
        <w:trPr>
          <w:trHeight w:val="170"/>
          <w:jc w:val="center"/>
        </w:trPr>
        <w:tc>
          <w:tcPr>
            <w:tcW w:w="740" w:type="dxa"/>
            <w:tcBorders>
              <w:top w:val="single" w:sz="4" w:space="0" w:color="auto"/>
              <w:left w:val="nil"/>
              <w:bottom w:val="nil"/>
              <w:right w:val="nil"/>
            </w:tcBorders>
            <w:shd w:val="clear" w:color="auto" w:fill="auto"/>
            <w:noWrap/>
            <w:vAlign w:val="bottom"/>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p>
        </w:tc>
        <w:tc>
          <w:tcPr>
            <w:tcW w:w="1600" w:type="dxa"/>
            <w:tcBorders>
              <w:top w:val="single" w:sz="4" w:space="0" w:color="auto"/>
              <w:left w:val="nil"/>
              <w:bottom w:val="nil"/>
              <w:right w:val="nil"/>
            </w:tcBorders>
            <w:shd w:val="clear" w:color="auto" w:fill="auto"/>
            <w:noWrap/>
            <w:vAlign w:val="bottom"/>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 </w:t>
            </w:r>
          </w:p>
        </w:tc>
        <w:tc>
          <w:tcPr>
            <w:tcW w:w="1400" w:type="dxa"/>
            <w:vMerge w:val="restart"/>
            <w:tcBorders>
              <w:top w:val="single" w:sz="4" w:space="0" w:color="auto"/>
              <w:left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20"/>
                <w:szCs w:val="20"/>
                <w:lang w:eastAsia="es-ES"/>
              </w:rPr>
            </w:pPr>
            <w:r w:rsidRPr="0040529B">
              <w:rPr>
                <w:rFonts w:ascii="Times New Roman" w:hAnsi="Times New Roman" w:cs="Times New Roman"/>
                <w:color w:val="000000"/>
                <w:sz w:val="20"/>
                <w:szCs w:val="20"/>
                <w:lang w:eastAsia="es-ES"/>
              </w:rPr>
              <w:t>Patent share growth</w:t>
            </w:r>
          </w:p>
        </w:tc>
        <w:tc>
          <w:tcPr>
            <w:tcW w:w="4220" w:type="dxa"/>
            <w:gridSpan w:val="3"/>
            <w:tcBorders>
              <w:top w:val="single" w:sz="4" w:space="0" w:color="auto"/>
              <w:left w:val="single" w:sz="4" w:space="0" w:color="auto"/>
              <w:bottom w:val="nil"/>
              <w:right w:val="nil"/>
            </w:tcBorders>
            <w:shd w:val="clear" w:color="auto" w:fill="auto"/>
            <w:noWrap/>
            <w:vAlign w:val="bottom"/>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Components of growth</w:t>
            </w:r>
          </w:p>
        </w:tc>
      </w:tr>
      <w:tr w:rsidR="0040529B" w:rsidRPr="0040529B" w:rsidTr="0040529B">
        <w:trPr>
          <w:trHeight w:val="170"/>
          <w:jc w:val="center"/>
        </w:trPr>
        <w:tc>
          <w:tcPr>
            <w:tcW w:w="740" w:type="dxa"/>
            <w:tcBorders>
              <w:top w:val="nil"/>
              <w:left w:val="nil"/>
              <w:bottom w:val="single" w:sz="4" w:space="0" w:color="auto"/>
              <w:right w:val="nil"/>
            </w:tcBorders>
            <w:shd w:val="clear" w:color="auto" w:fill="auto"/>
            <w:noWrap/>
            <w:vAlign w:val="bottom"/>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 </w:t>
            </w:r>
          </w:p>
        </w:tc>
        <w:tc>
          <w:tcPr>
            <w:tcW w:w="1600" w:type="dxa"/>
            <w:tcBorders>
              <w:top w:val="nil"/>
              <w:left w:val="nil"/>
              <w:bottom w:val="single" w:sz="4" w:space="0" w:color="auto"/>
              <w:right w:val="nil"/>
            </w:tcBorders>
            <w:shd w:val="clear" w:color="auto" w:fill="auto"/>
            <w:noWrap/>
            <w:vAlign w:val="bottom"/>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 </w:t>
            </w:r>
          </w:p>
        </w:tc>
        <w:tc>
          <w:tcPr>
            <w:tcW w:w="1400" w:type="dxa"/>
            <w:vMerge/>
            <w:tcBorders>
              <w:left w:val="single" w:sz="4" w:space="0" w:color="auto"/>
              <w:bottom w:val="single" w:sz="4" w:space="0" w:color="auto"/>
              <w:right w:val="nil"/>
            </w:tcBorders>
            <w:shd w:val="clear" w:color="auto" w:fill="auto"/>
            <w:noWrap/>
            <w:vAlign w:val="bottom"/>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20"/>
                <w:szCs w:val="20"/>
                <w:lang w:eastAsia="es-ES"/>
              </w:rPr>
            </w:pPr>
          </w:p>
        </w:tc>
        <w:tc>
          <w:tcPr>
            <w:tcW w:w="1711" w:type="dxa"/>
            <w:tcBorders>
              <w:top w:val="nil"/>
              <w:left w:val="single" w:sz="4" w:space="0" w:color="auto"/>
              <w:bottom w:val="single" w:sz="4" w:space="0" w:color="auto"/>
              <w:right w:val="nil"/>
            </w:tcBorders>
            <w:shd w:val="clear" w:color="auto" w:fill="auto"/>
            <w:noWrap/>
            <w:vAlign w:val="bottom"/>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20"/>
                <w:szCs w:val="20"/>
                <w:lang w:eastAsia="es-ES"/>
              </w:rPr>
            </w:pPr>
            <w:r w:rsidRPr="0040529B">
              <w:rPr>
                <w:rFonts w:ascii="Times New Roman" w:hAnsi="Times New Roman" w:cs="Times New Roman"/>
                <w:color w:val="000000"/>
                <w:sz w:val="20"/>
                <w:szCs w:val="20"/>
                <w:lang w:eastAsia="es-ES"/>
              </w:rPr>
              <w:t>Technological</w:t>
            </w:r>
          </w:p>
        </w:tc>
        <w:tc>
          <w:tcPr>
            <w:tcW w:w="1189" w:type="dxa"/>
            <w:tcBorders>
              <w:top w:val="nil"/>
              <w:left w:val="nil"/>
              <w:bottom w:val="single" w:sz="4" w:space="0" w:color="auto"/>
              <w:right w:val="nil"/>
            </w:tcBorders>
            <w:shd w:val="clear" w:color="auto" w:fill="auto"/>
            <w:noWrap/>
            <w:vAlign w:val="bottom"/>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20"/>
                <w:szCs w:val="20"/>
                <w:lang w:eastAsia="es-ES"/>
              </w:rPr>
            </w:pPr>
            <w:r w:rsidRPr="0040529B">
              <w:rPr>
                <w:rFonts w:ascii="Times New Roman" w:hAnsi="Times New Roman" w:cs="Times New Roman"/>
                <w:color w:val="000000"/>
                <w:sz w:val="20"/>
                <w:szCs w:val="20"/>
                <w:lang w:eastAsia="es-ES"/>
              </w:rPr>
              <w:t>Structural</w:t>
            </w:r>
          </w:p>
        </w:tc>
        <w:tc>
          <w:tcPr>
            <w:tcW w:w="1320" w:type="dxa"/>
            <w:tcBorders>
              <w:top w:val="nil"/>
              <w:left w:val="nil"/>
              <w:bottom w:val="single" w:sz="4" w:space="0" w:color="auto"/>
              <w:right w:val="nil"/>
            </w:tcBorders>
            <w:shd w:val="clear" w:color="auto" w:fill="auto"/>
            <w:noWrap/>
            <w:vAlign w:val="bottom"/>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20"/>
                <w:szCs w:val="20"/>
                <w:lang w:eastAsia="es-ES"/>
              </w:rPr>
            </w:pPr>
            <w:r w:rsidRPr="0040529B">
              <w:rPr>
                <w:rFonts w:ascii="Times New Roman" w:hAnsi="Times New Roman" w:cs="Times New Roman"/>
                <w:color w:val="000000"/>
                <w:sz w:val="20"/>
                <w:szCs w:val="20"/>
                <w:lang w:eastAsia="es-ES"/>
              </w:rPr>
              <w:t>Adaptation</w:t>
            </w:r>
          </w:p>
        </w:tc>
      </w:tr>
      <w:tr w:rsidR="0040529B" w:rsidRPr="0040529B" w:rsidTr="0040529B">
        <w:trPr>
          <w:trHeight w:val="170"/>
          <w:jc w:val="center"/>
        </w:trPr>
        <w:tc>
          <w:tcPr>
            <w:tcW w:w="740" w:type="dxa"/>
            <w:vMerge w:val="restart"/>
            <w:tcBorders>
              <w:top w:val="nil"/>
              <w:left w:val="nil"/>
              <w:bottom w:val="single" w:sz="4" w:space="0" w:color="000000"/>
              <w:right w:val="nil"/>
            </w:tcBorders>
            <w:shd w:val="clear" w:color="auto" w:fill="auto"/>
            <w:textDirection w:val="btLr"/>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UE</w:t>
            </w:r>
          </w:p>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Leaders</w:t>
            </w: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Germany</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-1,70</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0,34</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-3,66</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1,63</w:t>
            </w:r>
          </w:p>
        </w:tc>
      </w:tr>
      <w:tr w:rsidR="0040529B" w:rsidRPr="0040529B" w:rsidTr="0040529B">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France</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-13,85</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-16,82</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5,62</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-2,64</w:t>
            </w:r>
          </w:p>
        </w:tc>
      </w:tr>
      <w:tr w:rsidR="0040529B" w:rsidRPr="0040529B" w:rsidTr="0040529B">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Great Britain</w:t>
            </w:r>
          </w:p>
        </w:tc>
        <w:tc>
          <w:tcPr>
            <w:tcW w:w="1400" w:type="dxa"/>
            <w:tcBorders>
              <w:top w:val="nil"/>
              <w:left w:val="single" w:sz="4" w:space="0" w:color="auto"/>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-21,79</w:t>
            </w:r>
          </w:p>
        </w:tc>
        <w:tc>
          <w:tcPr>
            <w:tcW w:w="1711" w:type="dxa"/>
            <w:tcBorders>
              <w:top w:val="nil"/>
              <w:left w:val="single" w:sz="4" w:space="0" w:color="auto"/>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-25,67</w:t>
            </w:r>
          </w:p>
        </w:tc>
        <w:tc>
          <w:tcPr>
            <w:tcW w:w="1189" w:type="dxa"/>
            <w:tcBorders>
              <w:top w:val="nil"/>
              <w:left w:val="nil"/>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6,52</w:t>
            </w:r>
          </w:p>
        </w:tc>
        <w:tc>
          <w:tcPr>
            <w:tcW w:w="1320" w:type="dxa"/>
            <w:tcBorders>
              <w:top w:val="nil"/>
              <w:left w:val="nil"/>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-2,64</w:t>
            </w:r>
          </w:p>
        </w:tc>
      </w:tr>
      <w:tr w:rsidR="0040529B" w:rsidRPr="0040529B" w:rsidTr="0040529B">
        <w:trPr>
          <w:trHeight w:val="170"/>
          <w:jc w:val="center"/>
        </w:trPr>
        <w:tc>
          <w:tcPr>
            <w:tcW w:w="740" w:type="dxa"/>
            <w:vMerge w:val="restart"/>
            <w:tcBorders>
              <w:top w:val="nil"/>
              <w:left w:val="nil"/>
              <w:bottom w:val="single" w:sz="4" w:space="0" w:color="000000"/>
              <w:right w:val="nil"/>
            </w:tcBorders>
            <w:shd w:val="clear" w:color="auto" w:fill="auto"/>
            <w:textDirection w:val="btLr"/>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UE-Medium technological level</w:t>
            </w: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Austria</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10,28</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19,19</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-7,61</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-1,29</w:t>
            </w:r>
          </w:p>
        </w:tc>
      </w:tr>
      <w:tr w:rsidR="0040529B" w:rsidRPr="0040529B" w:rsidTr="0040529B">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Belgium-Lux</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28,30</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38,94</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-6,84</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-3,79</w:t>
            </w:r>
          </w:p>
        </w:tc>
      </w:tr>
      <w:tr w:rsidR="0040529B" w:rsidRPr="0040529B" w:rsidTr="0040529B">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Italy</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5,36</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14,92</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-3,84</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-5,71</w:t>
            </w:r>
          </w:p>
        </w:tc>
      </w:tr>
      <w:tr w:rsidR="0040529B" w:rsidRPr="0040529B" w:rsidTr="0040529B">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Netherlands</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16,41</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14,80</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0,55</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1,06</w:t>
            </w:r>
          </w:p>
        </w:tc>
      </w:tr>
      <w:tr w:rsidR="0040529B" w:rsidRPr="0040529B" w:rsidTr="0040529B">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Sweden</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10,09</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2,59</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2,54</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4,96</w:t>
            </w:r>
          </w:p>
        </w:tc>
      </w:tr>
      <w:tr w:rsidR="0040529B" w:rsidRPr="0040529B" w:rsidTr="0040529B">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Denmark</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62,08</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56,81</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-0,44</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5,71</w:t>
            </w:r>
          </w:p>
        </w:tc>
      </w:tr>
      <w:tr w:rsidR="0040529B" w:rsidRPr="0040529B" w:rsidTr="0040529B">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Finland</w:t>
            </w:r>
          </w:p>
        </w:tc>
        <w:tc>
          <w:tcPr>
            <w:tcW w:w="1400" w:type="dxa"/>
            <w:tcBorders>
              <w:top w:val="nil"/>
              <w:left w:val="single" w:sz="4" w:space="0" w:color="auto"/>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91,02</w:t>
            </w:r>
          </w:p>
        </w:tc>
        <w:tc>
          <w:tcPr>
            <w:tcW w:w="1711" w:type="dxa"/>
            <w:tcBorders>
              <w:top w:val="nil"/>
              <w:left w:val="single" w:sz="4" w:space="0" w:color="auto"/>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46,37</w:t>
            </w:r>
          </w:p>
        </w:tc>
        <w:tc>
          <w:tcPr>
            <w:tcW w:w="1189" w:type="dxa"/>
            <w:tcBorders>
              <w:top w:val="nil"/>
              <w:left w:val="nil"/>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9,77</w:t>
            </w:r>
          </w:p>
        </w:tc>
        <w:tc>
          <w:tcPr>
            <w:tcW w:w="1320" w:type="dxa"/>
            <w:tcBorders>
              <w:top w:val="nil"/>
              <w:left w:val="nil"/>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34,87</w:t>
            </w:r>
          </w:p>
        </w:tc>
      </w:tr>
      <w:tr w:rsidR="0040529B" w:rsidRPr="0040529B" w:rsidTr="0040529B">
        <w:trPr>
          <w:trHeight w:val="170"/>
          <w:jc w:val="center"/>
        </w:trPr>
        <w:tc>
          <w:tcPr>
            <w:tcW w:w="740" w:type="dxa"/>
            <w:vMerge w:val="restart"/>
            <w:tcBorders>
              <w:top w:val="nil"/>
              <w:left w:val="nil"/>
              <w:bottom w:val="single" w:sz="4" w:space="0" w:color="000000"/>
              <w:right w:val="nil"/>
            </w:tcBorders>
            <w:shd w:val="clear" w:color="auto" w:fill="auto"/>
            <w:textDirection w:val="btLr"/>
            <w:vAlign w:val="center"/>
            <w:hideMark/>
          </w:tcPr>
          <w:p w:rsid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UE</w:t>
            </w:r>
          </w:p>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Pr>
                <w:rFonts w:ascii="Times New Roman" w:hAnsi="Times New Roman" w:cs="Times New Roman"/>
                <w:color w:val="000000"/>
                <w:sz w:val="18"/>
                <w:szCs w:val="18"/>
                <w:lang w:eastAsia="es-ES"/>
              </w:rPr>
              <w:t>D</w:t>
            </w:r>
            <w:r w:rsidRPr="0040529B">
              <w:rPr>
                <w:rFonts w:ascii="Times New Roman" w:hAnsi="Times New Roman" w:cs="Times New Roman"/>
                <w:color w:val="000000"/>
                <w:sz w:val="18"/>
                <w:szCs w:val="18"/>
                <w:lang w:eastAsia="es-ES"/>
              </w:rPr>
              <w:t>elayers</w:t>
            </w: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Spain</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140,19</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144,15</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2,42</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-6,38</w:t>
            </w:r>
          </w:p>
        </w:tc>
      </w:tr>
      <w:tr w:rsidR="0040529B" w:rsidRPr="0040529B" w:rsidTr="0040529B">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Greece</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97,33</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100,77</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-0,27</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-3,18</w:t>
            </w:r>
          </w:p>
        </w:tc>
      </w:tr>
      <w:tr w:rsidR="0040529B" w:rsidRPr="0040529B" w:rsidTr="0040529B">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Ireland</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101,80</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83,75</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22,30</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-4,25</w:t>
            </w:r>
          </w:p>
        </w:tc>
      </w:tr>
      <w:tr w:rsidR="0040529B" w:rsidRPr="0040529B" w:rsidTr="0040529B">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Portugal</w:t>
            </w:r>
          </w:p>
        </w:tc>
        <w:tc>
          <w:tcPr>
            <w:tcW w:w="1400" w:type="dxa"/>
            <w:tcBorders>
              <w:top w:val="nil"/>
              <w:left w:val="single" w:sz="4" w:space="0" w:color="auto"/>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215,87</w:t>
            </w:r>
          </w:p>
        </w:tc>
        <w:tc>
          <w:tcPr>
            <w:tcW w:w="1711" w:type="dxa"/>
            <w:tcBorders>
              <w:top w:val="nil"/>
              <w:left w:val="single" w:sz="4" w:space="0" w:color="auto"/>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196,66</w:t>
            </w:r>
          </w:p>
        </w:tc>
        <w:tc>
          <w:tcPr>
            <w:tcW w:w="1189" w:type="dxa"/>
            <w:tcBorders>
              <w:top w:val="nil"/>
              <w:left w:val="nil"/>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22,26</w:t>
            </w:r>
          </w:p>
        </w:tc>
        <w:tc>
          <w:tcPr>
            <w:tcW w:w="1320" w:type="dxa"/>
            <w:tcBorders>
              <w:top w:val="nil"/>
              <w:left w:val="nil"/>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-3,05</w:t>
            </w:r>
          </w:p>
        </w:tc>
      </w:tr>
      <w:tr w:rsidR="0040529B" w:rsidRPr="0040529B" w:rsidTr="0040529B">
        <w:trPr>
          <w:trHeight w:val="170"/>
          <w:jc w:val="center"/>
        </w:trPr>
        <w:tc>
          <w:tcPr>
            <w:tcW w:w="740" w:type="dxa"/>
            <w:vMerge w:val="restart"/>
            <w:tcBorders>
              <w:top w:val="nil"/>
              <w:left w:val="nil"/>
              <w:bottom w:val="single" w:sz="4" w:space="0" w:color="000000"/>
              <w:right w:val="nil"/>
            </w:tcBorders>
            <w:shd w:val="clear" w:color="auto" w:fill="auto"/>
            <w:textDirection w:val="btLr"/>
            <w:vAlign w:val="center"/>
            <w:hideMark/>
          </w:tcPr>
          <w:p w:rsidR="00FD2536"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Latin</w:t>
            </w:r>
          </w:p>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 xml:space="preserve"> America</w:t>
            </w: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Mexico (W)</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121,03</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149,93</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9,01</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-37,91</w:t>
            </w:r>
          </w:p>
        </w:tc>
      </w:tr>
      <w:tr w:rsidR="0040529B" w:rsidRPr="0040529B" w:rsidTr="0040529B">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Argentina</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109,39</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106,66</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7,61</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-4,87</w:t>
            </w:r>
          </w:p>
        </w:tc>
      </w:tr>
      <w:tr w:rsidR="0040529B" w:rsidRPr="0040529B" w:rsidTr="0040529B">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Brazil</w:t>
            </w:r>
          </w:p>
        </w:tc>
        <w:tc>
          <w:tcPr>
            <w:tcW w:w="1400"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126,03</w:t>
            </w:r>
          </w:p>
        </w:tc>
        <w:tc>
          <w:tcPr>
            <w:tcW w:w="1711" w:type="dxa"/>
            <w:tcBorders>
              <w:top w:val="nil"/>
              <w:left w:val="single" w:sz="4" w:space="0" w:color="auto"/>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148,89</w:t>
            </w:r>
          </w:p>
        </w:tc>
        <w:tc>
          <w:tcPr>
            <w:tcW w:w="1189"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-2,68</w:t>
            </w:r>
          </w:p>
        </w:tc>
        <w:tc>
          <w:tcPr>
            <w:tcW w:w="1320" w:type="dxa"/>
            <w:tcBorders>
              <w:top w:val="nil"/>
              <w:left w:val="nil"/>
              <w:bottom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-20,18</w:t>
            </w:r>
          </w:p>
        </w:tc>
      </w:tr>
      <w:tr w:rsidR="0040529B" w:rsidRPr="0040529B" w:rsidTr="00FD2536">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Chile</w:t>
            </w:r>
          </w:p>
        </w:tc>
        <w:tc>
          <w:tcPr>
            <w:tcW w:w="1400" w:type="dxa"/>
            <w:tcBorders>
              <w:top w:val="nil"/>
              <w:left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138,17</w:t>
            </w:r>
          </w:p>
        </w:tc>
        <w:tc>
          <w:tcPr>
            <w:tcW w:w="1711" w:type="dxa"/>
            <w:tcBorders>
              <w:top w:val="nil"/>
              <w:left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214,99</w:t>
            </w:r>
          </w:p>
        </w:tc>
        <w:tc>
          <w:tcPr>
            <w:tcW w:w="1189" w:type="dxa"/>
            <w:tcBorders>
              <w:top w:val="nil"/>
              <w:left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-7,32</w:t>
            </w:r>
          </w:p>
        </w:tc>
        <w:tc>
          <w:tcPr>
            <w:tcW w:w="1320" w:type="dxa"/>
            <w:tcBorders>
              <w:top w:val="nil"/>
              <w:left w:val="nil"/>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-69,50</w:t>
            </w:r>
          </w:p>
        </w:tc>
      </w:tr>
      <w:tr w:rsidR="0040529B" w:rsidRPr="0040529B" w:rsidTr="00FD2536">
        <w:trPr>
          <w:trHeight w:val="170"/>
          <w:jc w:val="center"/>
        </w:trPr>
        <w:tc>
          <w:tcPr>
            <w:tcW w:w="740" w:type="dxa"/>
            <w:vMerge/>
            <w:tcBorders>
              <w:top w:val="nil"/>
              <w:left w:val="nil"/>
              <w:bottom w:val="single" w:sz="4" w:space="0" w:color="000000"/>
              <w:right w:val="nil"/>
            </w:tcBorders>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600" w:type="dxa"/>
            <w:tcBorders>
              <w:top w:val="nil"/>
              <w:left w:val="nil"/>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Mexico (NAFTA)</w:t>
            </w:r>
          </w:p>
        </w:tc>
        <w:tc>
          <w:tcPr>
            <w:tcW w:w="1400" w:type="dxa"/>
            <w:tcBorders>
              <w:top w:val="nil"/>
              <w:left w:val="single" w:sz="4" w:space="0" w:color="auto"/>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40529B">
              <w:rPr>
                <w:rFonts w:ascii="Times New Roman" w:hAnsi="Times New Roman" w:cs="Times New Roman"/>
                <w:color w:val="000000"/>
                <w:sz w:val="18"/>
                <w:szCs w:val="18"/>
                <w:lang w:eastAsia="es-ES"/>
              </w:rPr>
              <w:t>113,78</w:t>
            </w:r>
          </w:p>
        </w:tc>
        <w:tc>
          <w:tcPr>
            <w:tcW w:w="1711" w:type="dxa"/>
            <w:tcBorders>
              <w:top w:val="nil"/>
              <w:left w:val="single" w:sz="4" w:space="0" w:color="auto"/>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171,00</w:t>
            </w:r>
          </w:p>
        </w:tc>
        <w:tc>
          <w:tcPr>
            <w:tcW w:w="1189" w:type="dxa"/>
            <w:tcBorders>
              <w:top w:val="nil"/>
              <w:left w:val="nil"/>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8,66</w:t>
            </w:r>
          </w:p>
        </w:tc>
        <w:tc>
          <w:tcPr>
            <w:tcW w:w="1320" w:type="dxa"/>
            <w:tcBorders>
              <w:top w:val="nil"/>
              <w:left w:val="nil"/>
              <w:bottom w:val="single" w:sz="4" w:space="0" w:color="auto"/>
              <w:right w:val="nil"/>
            </w:tcBorders>
            <w:shd w:val="clear" w:color="auto" w:fill="auto"/>
            <w:noWrap/>
            <w:vAlign w:val="center"/>
            <w:hideMark/>
          </w:tcPr>
          <w:p w:rsidR="0040529B" w:rsidRPr="0040529B" w:rsidRDefault="0040529B" w:rsidP="0001659F">
            <w:pPr>
              <w:autoSpaceDE/>
              <w:autoSpaceDN/>
              <w:adjustRightInd/>
              <w:spacing w:before="0" w:after="0"/>
              <w:ind w:firstLine="0"/>
              <w:jc w:val="center"/>
              <w:rPr>
                <w:rFonts w:ascii="Times New Roman" w:hAnsi="Times New Roman" w:cs="Times New Roman"/>
                <w:color w:val="974807"/>
                <w:sz w:val="18"/>
                <w:szCs w:val="18"/>
                <w:lang w:eastAsia="es-ES"/>
              </w:rPr>
            </w:pPr>
            <w:r w:rsidRPr="0040529B">
              <w:rPr>
                <w:rFonts w:ascii="Times New Roman" w:hAnsi="Times New Roman" w:cs="Times New Roman"/>
                <w:color w:val="974807"/>
                <w:sz w:val="18"/>
                <w:szCs w:val="18"/>
                <w:lang w:eastAsia="es-ES"/>
              </w:rPr>
              <w:t>-65,87</w:t>
            </w:r>
          </w:p>
        </w:tc>
      </w:tr>
    </w:tbl>
    <w:p w:rsidR="00C5105C" w:rsidRPr="00007658" w:rsidRDefault="00C5105C" w:rsidP="00262E73">
      <w:pPr>
        <w:pStyle w:val="Corpodetexto"/>
        <w:ind w:left="1134" w:firstLine="0"/>
        <w:rPr>
          <w:rFonts w:ascii="Times New Roman" w:hAnsi="Times New Roman" w:cs="Times New Roman"/>
        </w:rPr>
      </w:pPr>
      <w:r w:rsidRPr="00FA155E">
        <w:rPr>
          <w:rFonts w:ascii="Times New Roman" w:hAnsi="Times New Roman" w:cs="Times New Roman"/>
          <w:sz w:val="18"/>
          <w:szCs w:val="18"/>
        </w:rPr>
        <w:t>Source: EPO</w:t>
      </w:r>
      <w:r w:rsidR="00983896">
        <w:rPr>
          <w:rFonts w:ascii="Times New Roman" w:hAnsi="Times New Roman" w:cs="Times New Roman"/>
          <w:sz w:val="18"/>
          <w:szCs w:val="18"/>
        </w:rPr>
        <w:t>, Space Bulletin 1978-2008 and</w:t>
      </w:r>
      <w:r w:rsidRPr="00FA155E">
        <w:rPr>
          <w:rFonts w:ascii="Times New Roman" w:hAnsi="Times New Roman" w:cs="Times New Roman"/>
          <w:sz w:val="18"/>
          <w:szCs w:val="18"/>
        </w:rPr>
        <w:t xml:space="preserve"> own elaboration</w:t>
      </w:r>
      <w:r w:rsidRPr="00007658">
        <w:rPr>
          <w:rFonts w:ascii="Times New Roman" w:hAnsi="Times New Roman" w:cs="Times New Roman"/>
        </w:rPr>
        <w:t>.</w:t>
      </w:r>
    </w:p>
    <w:p w:rsidR="00983896" w:rsidRDefault="00983896" w:rsidP="00262E73">
      <w:pPr>
        <w:rPr>
          <w:rFonts w:ascii="Times New Roman" w:hAnsi="Times New Roman"/>
        </w:rPr>
      </w:pPr>
    </w:p>
    <w:p w:rsidR="00433504" w:rsidRPr="00262E73" w:rsidRDefault="00433504" w:rsidP="00262E73">
      <w:pPr>
        <w:rPr>
          <w:rFonts w:ascii="Times New Roman" w:hAnsi="Times New Roman"/>
        </w:rPr>
      </w:pPr>
      <w:r w:rsidRPr="00262E73">
        <w:rPr>
          <w:rFonts w:ascii="Times New Roman" w:hAnsi="Times New Roman"/>
        </w:rPr>
        <w:t>The three components of the shift-share analysis can be used to estimate the role of technological opportunity on structural technological change and technological dynamism. The Pearson correlation of Structural Effect with Total and Technological Effects permits to know if initial correct or incorrect positions can be associated to the future technological dynamism and patenting activity respectively. The Pearson correlation of Adaptation Effect with Total and Technological Effects tells about how the technological dynamism and patent activity is associated positively with movements towards fields of dynamic OT or negatively to movements towards stagnant OT fields. Finally, Pearson correlations between Structural and Adaptation effects measure the degree of association between initial ‘correct’ or ‘wrong’ and movements towards the ‘correct’ or ‘wrong’ technological fields.</w:t>
      </w:r>
    </w:p>
    <w:p w:rsidR="00262E73" w:rsidRDefault="00262E73" w:rsidP="00262E73">
      <w:pPr>
        <w:rPr>
          <w:rFonts w:ascii="Times New Roman" w:hAnsi="Times New Roman"/>
          <w:color w:val="548DD4"/>
        </w:rPr>
      </w:pPr>
      <w:r w:rsidRPr="00262E73">
        <w:rPr>
          <w:rFonts w:ascii="Times New Roman" w:hAnsi="Times New Roman"/>
        </w:rPr>
        <w:t xml:space="preserve">The results show that there is no significant association between the Structural effect and Total-Technological effects (table </w:t>
      </w:r>
      <w:r>
        <w:rPr>
          <w:rFonts w:ascii="Times New Roman" w:hAnsi="Times New Roman"/>
        </w:rPr>
        <w:t>2</w:t>
      </w:r>
      <w:r w:rsidRPr="00262E73">
        <w:rPr>
          <w:rFonts w:ascii="Times New Roman" w:hAnsi="Times New Roman"/>
        </w:rPr>
        <w:t>). In developing countries, apart from not significant, the signal became still negative. Only for EU15 countries, the structural effect is significantly associated to Total and Technological effects.</w:t>
      </w:r>
      <w:r w:rsidRPr="00BF4BF8">
        <w:rPr>
          <w:rFonts w:ascii="Times New Roman" w:hAnsi="Times New Roman"/>
        </w:rPr>
        <w:t xml:space="preserve"> Along with Laursen</w:t>
      </w:r>
      <w:r>
        <w:rPr>
          <w:rFonts w:ascii="Times New Roman" w:hAnsi="Times New Roman"/>
        </w:rPr>
        <w:t xml:space="preserve"> </w:t>
      </w:r>
      <w:r w:rsidRPr="00BF4BF8">
        <w:rPr>
          <w:rFonts w:ascii="Times New Roman" w:hAnsi="Times New Roman"/>
        </w:rPr>
        <w:t>(1999)</w:t>
      </w:r>
      <w:r w:rsidRPr="00847EEA">
        <w:rPr>
          <w:rFonts w:ascii="Times New Roman" w:hAnsi="Times New Roman"/>
        </w:rPr>
        <w:t>’s  findings, those results mean that, even with ‘wrong’ initial specializations, catch up really happens and high levels of technological dynamism can be achieved. So, it seems that the role of absorptive capacity (in</w:t>
      </w:r>
      <w:r w:rsidRPr="007A1AE0">
        <w:rPr>
          <w:rFonts w:ascii="Times New Roman" w:hAnsi="Times New Roman"/>
        </w:rPr>
        <w:t xml:space="preserve"> terms of the level of qualification of human capital and technical-scientific infrastructures (Castellaci, 2008)) should prevail over </w:t>
      </w:r>
      <w:r>
        <w:rPr>
          <w:rFonts w:ascii="Times New Roman" w:hAnsi="Times New Roman"/>
        </w:rPr>
        <w:t xml:space="preserve">initial </w:t>
      </w:r>
      <w:r w:rsidRPr="007A1AE0">
        <w:rPr>
          <w:rFonts w:ascii="Times New Roman" w:hAnsi="Times New Roman"/>
        </w:rPr>
        <w:t>NTS patterns as a driving force of convergen</w:t>
      </w:r>
      <w:r>
        <w:rPr>
          <w:rFonts w:ascii="Times New Roman" w:hAnsi="Times New Roman"/>
        </w:rPr>
        <w:t>ce. Catch</w:t>
      </w:r>
      <w:r w:rsidRPr="007A1AE0">
        <w:rPr>
          <w:rFonts w:ascii="Times New Roman" w:hAnsi="Times New Roman"/>
        </w:rPr>
        <w:t>-up can still be stimulated by the possibilities that emerge in integration processes, reducing the effects of technological determinism.</w:t>
      </w:r>
      <w:r w:rsidRPr="003B6E20">
        <w:rPr>
          <w:rFonts w:ascii="Times New Roman" w:hAnsi="Times New Roman"/>
          <w:color w:val="548DD4"/>
        </w:rPr>
        <w:t xml:space="preserve"> </w:t>
      </w:r>
    </w:p>
    <w:p w:rsidR="00262E73" w:rsidRDefault="00262E73" w:rsidP="00262E73">
      <w:pPr>
        <w:pStyle w:val="Corpodetexto"/>
      </w:pPr>
    </w:p>
    <w:p w:rsidR="00262E73" w:rsidRDefault="00262E73" w:rsidP="00262E73">
      <w:pPr>
        <w:pStyle w:val="Corpodetexto"/>
        <w:ind w:firstLine="0"/>
        <w:jc w:val="center"/>
        <w:rPr>
          <w:rFonts w:ascii="Times New Roman" w:hAnsi="Times New Roman" w:cs="Times New Roman"/>
          <w:color w:val="000000"/>
          <w:lang w:eastAsia="es-ES"/>
        </w:rPr>
      </w:pPr>
      <w:r>
        <w:rPr>
          <w:rFonts w:ascii="Times New Roman" w:hAnsi="Times New Roman" w:cs="Times New Roman"/>
        </w:rPr>
        <w:t xml:space="preserve">Table 2. Association between structural effect and dynamism. </w:t>
      </w:r>
      <w:r w:rsidRPr="008635BF">
        <w:rPr>
          <w:rFonts w:ascii="Times New Roman" w:hAnsi="Times New Roman" w:cs="Times New Roman"/>
          <w:color w:val="000000"/>
          <w:lang w:eastAsia="es-ES"/>
        </w:rPr>
        <w:t>Pearson correlation indexes</w:t>
      </w:r>
    </w:p>
    <w:tbl>
      <w:tblPr>
        <w:tblW w:w="7480" w:type="dxa"/>
        <w:jc w:val="center"/>
        <w:tblInd w:w="60" w:type="dxa"/>
        <w:tblCellMar>
          <w:left w:w="70" w:type="dxa"/>
          <w:right w:w="70" w:type="dxa"/>
        </w:tblCellMar>
        <w:tblLook w:val="04A0"/>
      </w:tblPr>
      <w:tblGrid>
        <w:gridCol w:w="1480"/>
        <w:gridCol w:w="1057"/>
        <w:gridCol w:w="1343"/>
        <w:gridCol w:w="1200"/>
        <w:gridCol w:w="1200"/>
        <w:gridCol w:w="1200"/>
      </w:tblGrid>
      <w:tr w:rsidR="00262E73" w:rsidRPr="00262E73" w:rsidTr="00262E73">
        <w:trPr>
          <w:trHeight w:val="315"/>
          <w:jc w:val="center"/>
        </w:trPr>
        <w:tc>
          <w:tcPr>
            <w:tcW w:w="1480" w:type="dxa"/>
            <w:tcBorders>
              <w:top w:val="single" w:sz="8" w:space="0" w:color="auto"/>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left"/>
              <w:rPr>
                <w:rFonts w:ascii="Calibri" w:hAnsi="Calibri" w:cs="Calibri"/>
                <w:color w:val="000000"/>
                <w:sz w:val="22"/>
                <w:szCs w:val="22"/>
                <w:lang w:val="es-ES" w:eastAsia="es-ES"/>
              </w:rPr>
            </w:pPr>
            <w:r w:rsidRPr="00262E73">
              <w:rPr>
                <w:rFonts w:ascii="Calibri" w:hAnsi="Calibri" w:cs="Calibri"/>
                <w:color w:val="000000"/>
                <w:sz w:val="22"/>
                <w:szCs w:val="22"/>
                <w:lang w:val="es-ES" w:eastAsia="es-ES"/>
              </w:rPr>
              <w:t>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Structural Effect with..</w:t>
            </w:r>
          </w:p>
        </w:tc>
        <w:tc>
          <w:tcPr>
            <w:tcW w:w="2400" w:type="dxa"/>
            <w:gridSpan w:val="2"/>
            <w:tcBorders>
              <w:top w:val="single" w:sz="8" w:space="0" w:color="auto"/>
              <w:left w:val="nil"/>
              <w:bottom w:val="single" w:sz="8" w:space="0" w:color="auto"/>
              <w:right w:val="single" w:sz="8" w:space="0" w:color="000000"/>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Adaptation Effect with ..</w:t>
            </w:r>
          </w:p>
        </w:tc>
        <w:tc>
          <w:tcPr>
            <w:tcW w:w="1200" w:type="dxa"/>
            <w:vMerge w:val="restart"/>
            <w:tcBorders>
              <w:top w:val="single" w:sz="8" w:space="0" w:color="auto"/>
              <w:left w:val="single" w:sz="8" w:space="0" w:color="auto"/>
              <w:bottom w:val="single" w:sz="8" w:space="0" w:color="000000"/>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Adaptation with Structural Effect</w:t>
            </w:r>
          </w:p>
        </w:tc>
      </w:tr>
      <w:tr w:rsidR="00262E73" w:rsidRPr="00262E73" w:rsidTr="00262E73">
        <w:trPr>
          <w:trHeight w:val="495"/>
          <w:jc w:val="center"/>
        </w:trPr>
        <w:tc>
          <w:tcPr>
            <w:tcW w:w="1480" w:type="dxa"/>
            <w:tcBorders>
              <w:top w:val="nil"/>
              <w:left w:val="nil"/>
              <w:bottom w:val="single" w:sz="8" w:space="0" w:color="auto"/>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left"/>
              <w:rPr>
                <w:rFonts w:ascii="Calibri" w:hAnsi="Calibri" w:cs="Calibri"/>
                <w:color w:val="000000"/>
                <w:sz w:val="22"/>
                <w:szCs w:val="22"/>
                <w:lang w:val="es-ES" w:eastAsia="es-ES"/>
              </w:rPr>
            </w:pPr>
            <w:r w:rsidRPr="00262E73">
              <w:rPr>
                <w:rFonts w:ascii="Calibri" w:hAnsi="Calibri" w:cs="Calibri"/>
                <w:color w:val="000000"/>
                <w:sz w:val="22"/>
                <w:szCs w:val="22"/>
                <w:lang w:val="es-ES" w:eastAsia="es-ES"/>
              </w:rPr>
              <w:t> </w:t>
            </w:r>
          </w:p>
        </w:tc>
        <w:tc>
          <w:tcPr>
            <w:tcW w:w="1057" w:type="dxa"/>
            <w:tcBorders>
              <w:top w:val="nil"/>
              <w:left w:val="nil"/>
              <w:bottom w:val="single" w:sz="8" w:space="0" w:color="auto"/>
              <w:right w:val="single" w:sz="8" w:space="0" w:color="auto"/>
            </w:tcBorders>
            <w:shd w:val="clear" w:color="auto" w:fill="auto"/>
            <w:noWrap/>
            <w:vAlign w:val="center"/>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Total Effect</w:t>
            </w:r>
          </w:p>
        </w:tc>
        <w:tc>
          <w:tcPr>
            <w:tcW w:w="1343" w:type="dxa"/>
            <w:tcBorders>
              <w:top w:val="nil"/>
              <w:left w:val="nil"/>
              <w:bottom w:val="single" w:sz="8" w:space="0" w:color="auto"/>
              <w:right w:val="single" w:sz="8" w:space="0" w:color="auto"/>
            </w:tcBorders>
            <w:shd w:val="clear" w:color="auto" w:fill="auto"/>
            <w:vAlign w:val="center"/>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Technological Effect</w:t>
            </w:r>
          </w:p>
        </w:tc>
        <w:tc>
          <w:tcPr>
            <w:tcW w:w="1200" w:type="dxa"/>
            <w:tcBorders>
              <w:top w:val="nil"/>
              <w:left w:val="nil"/>
              <w:bottom w:val="single" w:sz="8" w:space="0" w:color="auto"/>
              <w:right w:val="single" w:sz="8" w:space="0" w:color="auto"/>
            </w:tcBorders>
            <w:shd w:val="clear" w:color="auto" w:fill="auto"/>
            <w:noWrap/>
            <w:vAlign w:val="center"/>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Total Effect</w:t>
            </w:r>
          </w:p>
        </w:tc>
        <w:tc>
          <w:tcPr>
            <w:tcW w:w="1200" w:type="dxa"/>
            <w:tcBorders>
              <w:top w:val="nil"/>
              <w:left w:val="nil"/>
              <w:bottom w:val="single" w:sz="8" w:space="0" w:color="auto"/>
              <w:right w:val="single" w:sz="8" w:space="0" w:color="auto"/>
            </w:tcBorders>
            <w:shd w:val="clear" w:color="auto" w:fill="auto"/>
            <w:vAlign w:val="center"/>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Technological Effect</w:t>
            </w:r>
          </w:p>
        </w:tc>
        <w:tc>
          <w:tcPr>
            <w:tcW w:w="1200" w:type="dxa"/>
            <w:vMerge/>
            <w:tcBorders>
              <w:top w:val="single" w:sz="8" w:space="0" w:color="auto"/>
              <w:left w:val="single" w:sz="8" w:space="0" w:color="auto"/>
              <w:bottom w:val="single" w:sz="8" w:space="0" w:color="000000"/>
              <w:right w:val="nil"/>
            </w:tcBorders>
            <w:vAlign w:val="center"/>
            <w:hideMark/>
          </w:tcPr>
          <w:p w:rsidR="00262E73" w:rsidRPr="00262E73" w:rsidRDefault="00262E73" w:rsidP="00262E73">
            <w:pPr>
              <w:autoSpaceDE/>
              <w:autoSpaceDN/>
              <w:adjustRightInd/>
              <w:spacing w:before="0" w:after="0"/>
              <w:ind w:firstLine="0"/>
              <w:jc w:val="left"/>
              <w:rPr>
                <w:rFonts w:ascii="Times New Roman" w:hAnsi="Times New Roman" w:cs="Times New Roman"/>
                <w:color w:val="000000"/>
                <w:sz w:val="18"/>
                <w:szCs w:val="18"/>
                <w:lang w:val="es-ES" w:eastAsia="es-ES"/>
              </w:rPr>
            </w:pPr>
          </w:p>
        </w:tc>
      </w:tr>
      <w:tr w:rsidR="00262E73" w:rsidRPr="00262E73" w:rsidTr="00262E73">
        <w:trPr>
          <w:trHeight w:val="300"/>
          <w:jc w:val="center"/>
        </w:trPr>
        <w:tc>
          <w:tcPr>
            <w:tcW w:w="1480"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left"/>
              <w:rPr>
                <w:rFonts w:ascii="Times New Roman" w:hAnsi="Times New Roman" w:cs="Times New Roman"/>
                <w:color w:val="000000"/>
                <w:sz w:val="20"/>
                <w:szCs w:val="20"/>
                <w:lang w:val="es-ES" w:eastAsia="es-ES"/>
              </w:rPr>
            </w:pPr>
            <w:r w:rsidRPr="00262E73">
              <w:rPr>
                <w:rFonts w:ascii="Times New Roman" w:hAnsi="Times New Roman" w:cs="Times New Roman"/>
                <w:color w:val="000000"/>
                <w:sz w:val="20"/>
                <w:szCs w:val="20"/>
                <w:lang w:eastAsia="es-ES"/>
              </w:rPr>
              <w:t>Total countries</w:t>
            </w:r>
            <w:r>
              <w:rPr>
                <w:rFonts w:ascii="Times New Roman" w:hAnsi="Times New Roman" w:cs="Times New Roman"/>
                <w:color w:val="000000"/>
                <w:sz w:val="20"/>
                <w:szCs w:val="20"/>
                <w:lang w:eastAsia="es-ES"/>
              </w:rPr>
              <w:t>*</w:t>
            </w:r>
          </w:p>
        </w:tc>
        <w:tc>
          <w:tcPr>
            <w:tcW w:w="1057"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0.3547</w:t>
            </w:r>
          </w:p>
        </w:tc>
        <w:tc>
          <w:tcPr>
            <w:tcW w:w="1343"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0.1433</w:t>
            </w:r>
          </w:p>
        </w:tc>
        <w:tc>
          <w:tcPr>
            <w:tcW w:w="1200" w:type="dxa"/>
            <w:tcBorders>
              <w:top w:val="nil"/>
              <w:left w:val="nil"/>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-0.3173</w:t>
            </w:r>
          </w:p>
        </w:tc>
        <w:tc>
          <w:tcPr>
            <w:tcW w:w="1200" w:type="dxa"/>
            <w:tcBorders>
              <w:top w:val="nil"/>
              <w:left w:val="single" w:sz="8" w:space="0" w:color="auto"/>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-0.5881</w:t>
            </w:r>
          </w:p>
        </w:tc>
        <w:tc>
          <w:tcPr>
            <w:tcW w:w="1200" w:type="dxa"/>
            <w:tcBorders>
              <w:top w:val="nil"/>
              <w:left w:val="single" w:sz="8" w:space="0" w:color="auto"/>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0,1633</w:t>
            </w:r>
          </w:p>
        </w:tc>
      </w:tr>
      <w:tr w:rsidR="00262E73" w:rsidRPr="00262E73" w:rsidTr="00262E73">
        <w:trPr>
          <w:trHeight w:val="300"/>
          <w:jc w:val="center"/>
        </w:trPr>
        <w:tc>
          <w:tcPr>
            <w:tcW w:w="1480"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left"/>
              <w:rPr>
                <w:rFonts w:ascii="Times New Roman" w:hAnsi="Times New Roman" w:cs="Times New Roman"/>
                <w:i/>
                <w:iCs/>
                <w:color w:val="000000"/>
                <w:sz w:val="20"/>
                <w:szCs w:val="20"/>
                <w:lang w:val="es-ES" w:eastAsia="es-ES"/>
              </w:rPr>
            </w:pPr>
            <w:r w:rsidRPr="00262E73">
              <w:rPr>
                <w:rFonts w:ascii="Times New Roman" w:hAnsi="Times New Roman" w:cs="Times New Roman"/>
                <w:i/>
                <w:iCs/>
                <w:color w:val="000000"/>
                <w:sz w:val="20"/>
                <w:szCs w:val="20"/>
                <w:lang w:eastAsia="es-ES"/>
              </w:rPr>
              <w:t xml:space="preserve">    P-value</w:t>
            </w:r>
          </w:p>
        </w:tc>
        <w:tc>
          <w:tcPr>
            <w:tcW w:w="1057"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262E73">
              <w:rPr>
                <w:rFonts w:ascii="Times New Roman" w:hAnsi="Times New Roman" w:cs="Times New Roman"/>
                <w:i/>
                <w:iCs/>
                <w:color w:val="000000"/>
                <w:sz w:val="18"/>
                <w:szCs w:val="18"/>
                <w:lang w:eastAsia="es-ES"/>
              </w:rPr>
              <w:t>(0.1362)</w:t>
            </w:r>
          </w:p>
        </w:tc>
        <w:tc>
          <w:tcPr>
            <w:tcW w:w="1343"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262E73">
              <w:rPr>
                <w:rFonts w:ascii="Times New Roman" w:hAnsi="Times New Roman" w:cs="Times New Roman"/>
                <w:i/>
                <w:iCs/>
                <w:color w:val="000000"/>
                <w:sz w:val="18"/>
                <w:szCs w:val="18"/>
                <w:lang w:eastAsia="es-ES"/>
              </w:rPr>
              <w:t>(0.5582)</w:t>
            </w:r>
          </w:p>
        </w:tc>
        <w:tc>
          <w:tcPr>
            <w:tcW w:w="1200" w:type="dxa"/>
            <w:tcBorders>
              <w:top w:val="nil"/>
              <w:left w:val="nil"/>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262E73">
              <w:rPr>
                <w:rFonts w:ascii="Times New Roman" w:hAnsi="Times New Roman" w:cs="Times New Roman"/>
                <w:i/>
                <w:iCs/>
                <w:color w:val="000000"/>
                <w:sz w:val="18"/>
                <w:szCs w:val="18"/>
                <w:lang w:eastAsia="es-ES"/>
              </w:rPr>
              <w:t>(0.1856)</w:t>
            </w:r>
          </w:p>
        </w:tc>
        <w:tc>
          <w:tcPr>
            <w:tcW w:w="1200" w:type="dxa"/>
            <w:tcBorders>
              <w:top w:val="nil"/>
              <w:left w:val="single" w:sz="8" w:space="0" w:color="auto"/>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262E73">
              <w:rPr>
                <w:rFonts w:ascii="Times New Roman" w:hAnsi="Times New Roman" w:cs="Times New Roman"/>
                <w:i/>
                <w:iCs/>
                <w:color w:val="000000"/>
                <w:sz w:val="18"/>
                <w:szCs w:val="18"/>
                <w:lang w:eastAsia="es-ES"/>
              </w:rPr>
              <w:t>(0.0081)</w:t>
            </w:r>
          </w:p>
        </w:tc>
        <w:tc>
          <w:tcPr>
            <w:tcW w:w="1200" w:type="dxa"/>
            <w:tcBorders>
              <w:top w:val="nil"/>
              <w:left w:val="single" w:sz="8" w:space="0" w:color="auto"/>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262E73">
              <w:rPr>
                <w:rFonts w:ascii="Times New Roman" w:hAnsi="Times New Roman" w:cs="Times New Roman"/>
                <w:i/>
                <w:iCs/>
                <w:color w:val="000000"/>
                <w:sz w:val="18"/>
                <w:szCs w:val="18"/>
                <w:lang w:eastAsia="es-ES"/>
              </w:rPr>
              <w:t>(0.5041)</w:t>
            </w:r>
          </w:p>
        </w:tc>
      </w:tr>
      <w:tr w:rsidR="00262E73" w:rsidRPr="00262E73" w:rsidTr="00262E73">
        <w:trPr>
          <w:trHeight w:val="300"/>
          <w:jc w:val="center"/>
        </w:trPr>
        <w:tc>
          <w:tcPr>
            <w:tcW w:w="1480"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left"/>
              <w:rPr>
                <w:rFonts w:ascii="Times New Roman" w:hAnsi="Times New Roman" w:cs="Times New Roman"/>
                <w:color w:val="000000"/>
                <w:sz w:val="20"/>
                <w:szCs w:val="20"/>
                <w:lang w:val="es-ES" w:eastAsia="es-ES"/>
              </w:rPr>
            </w:pPr>
            <w:r w:rsidRPr="00262E73">
              <w:rPr>
                <w:rFonts w:ascii="Times New Roman" w:hAnsi="Times New Roman" w:cs="Times New Roman"/>
                <w:color w:val="000000"/>
                <w:sz w:val="20"/>
                <w:szCs w:val="20"/>
                <w:lang w:eastAsia="es-ES"/>
              </w:rPr>
              <w:t>EU15</w:t>
            </w:r>
          </w:p>
        </w:tc>
        <w:tc>
          <w:tcPr>
            <w:tcW w:w="1057"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FF0000"/>
                <w:sz w:val="18"/>
                <w:szCs w:val="18"/>
                <w:lang w:val="es-ES" w:eastAsia="es-ES"/>
              </w:rPr>
            </w:pPr>
            <w:r w:rsidRPr="00262E73">
              <w:rPr>
                <w:rFonts w:ascii="Times New Roman" w:hAnsi="Times New Roman" w:cs="Times New Roman"/>
                <w:color w:val="FF0000"/>
                <w:sz w:val="18"/>
                <w:szCs w:val="18"/>
                <w:lang w:eastAsia="es-ES"/>
              </w:rPr>
              <w:t>0.4617</w:t>
            </w:r>
          </w:p>
        </w:tc>
        <w:tc>
          <w:tcPr>
            <w:tcW w:w="1343"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0.3168</w:t>
            </w:r>
          </w:p>
        </w:tc>
        <w:tc>
          <w:tcPr>
            <w:tcW w:w="1200" w:type="dxa"/>
            <w:tcBorders>
              <w:top w:val="nil"/>
              <w:left w:val="nil"/>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0.0703</w:t>
            </w:r>
          </w:p>
        </w:tc>
        <w:tc>
          <w:tcPr>
            <w:tcW w:w="1200" w:type="dxa"/>
            <w:tcBorders>
              <w:top w:val="nil"/>
              <w:left w:val="single" w:sz="8" w:space="0" w:color="auto"/>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-0.0967</w:t>
            </w:r>
          </w:p>
        </w:tc>
        <w:tc>
          <w:tcPr>
            <w:tcW w:w="1200" w:type="dxa"/>
            <w:tcBorders>
              <w:top w:val="nil"/>
              <w:left w:val="single" w:sz="8" w:space="0" w:color="auto"/>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0.0707</w:t>
            </w:r>
          </w:p>
        </w:tc>
      </w:tr>
      <w:tr w:rsidR="00262E73" w:rsidRPr="00262E73" w:rsidTr="00262E73">
        <w:trPr>
          <w:trHeight w:val="300"/>
          <w:jc w:val="center"/>
        </w:trPr>
        <w:tc>
          <w:tcPr>
            <w:tcW w:w="1480"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left"/>
              <w:rPr>
                <w:rFonts w:ascii="Times New Roman" w:hAnsi="Times New Roman" w:cs="Times New Roman"/>
                <w:i/>
                <w:iCs/>
                <w:color w:val="000000"/>
                <w:sz w:val="20"/>
                <w:szCs w:val="20"/>
                <w:lang w:val="es-ES" w:eastAsia="es-ES"/>
              </w:rPr>
            </w:pPr>
            <w:r w:rsidRPr="00262E73">
              <w:rPr>
                <w:rFonts w:ascii="Times New Roman" w:hAnsi="Times New Roman" w:cs="Times New Roman"/>
                <w:i/>
                <w:iCs/>
                <w:color w:val="000000"/>
                <w:sz w:val="20"/>
                <w:szCs w:val="20"/>
                <w:lang w:eastAsia="es-ES"/>
              </w:rPr>
              <w:t xml:space="preserve">    P-value</w:t>
            </w:r>
          </w:p>
        </w:tc>
        <w:tc>
          <w:tcPr>
            <w:tcW w:w="1057"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FF0000"/>
                <w:sz w:val="18"/>
                <w:szCs w:val="18"/>
                <w:lang w:val="es-ES" w:eastAsia="es-ES"/>
              </w:rPr>
            </w:pPr>
            <w:r w:rsidRPr="00262E73">
              <w:rPr>
                <w:rFonts w:ascii="Times New Roman" w:hAnsi="Times New Roman" w:cs="Times New Roman"/>
                <w:i/>
                <w:iCs/>
                <w:color w:val="FF0000"/>
                <w:sz w:val="18"/>
                <w:szCs w:val="18"/>
                <w:lang w:eastAsia="es-ES"/>
              </w:rPr>
              <w:t>(0.0832)</w:t>
            </w:r>
          </w:p>
        </w:tc>
        <w:tc>
          <w:tcPr>
            <w:tcW w:w="1343"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262E73">
              <w:rPr>
                <w:rFonts w:ascii="Times New Roman" w:hAnsi="Times New Roman" w:cs="Times New Roman"/>
                <w:i/>
                <w:iCs/>
                <w:color w:val="000000"/>
                <w:sz w:val="18"/>
                <w:szCs w:val="18"/>
                <w:lang w:eastAsia="es-ES"/>
              </w:rPr>
              <w:t>(0.2500)</w:t>
            </w:r>
          </w:p>
        </w:tc>
        <w:tc>
          <w:tcPr>
            <w:tcW w:w="1200" w:type="dxa"/>
            <w:tcBorders>
              <w:top w:val="nil"/>
              <w:left w:val="nil"/>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262E73">
              <w:rPr>
                <w:rFonts w:ascii="Times New Roman" w:hAnsi="Times New Roman" w:cs="Times New Roman"/>
                <w:i/>
                <w:iCs/>
                <w:color w:val="000000"/>
                <w:sz w:val="18"/>
                <w:szCs w:val="18"/>
                <w:lang w:eastAsia="es-ES"/>
              </w:rPr>
              <w:t>(0.8034)</w:t>
            </w:r>
          </w:p>
        </w:tc>
        <w:tc>
          <w:tcPr>
            <w:tcW w:w="1200" w:type="dxa"/>
            <w:tcBorders>
              <w:top w:val="nil"/>
              <w:left w:val="single" w:sz="8" w:space="0" w:color="auto"/>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262E73">
              <w:rPr>
                <w:rFonts w:ascii="Times New Roman" w:hAnsi="Times New Roman" w:cs="Times New Roman"/>
                <w:i/>
                <w:iCs/>
                <w:color w:val="000000"/>
                <w:sz w:val="18"/>
                <w:szCs w:val="18"/>
                <w:lang w:eastAsia="es-ES"/>
              </w:rPr>
              <w:t>(0.7316)</w:t>
            </w:r>
          </w:p>
        </w:tc>
        <w:tc>
          <w:tcPr>
            <w:tcW w:w="1200" w:type="dxa"/>
            <w:tcBorders>
              <w:top w:val="nil"/>
              <w:left w:val="single" w:sz="8" w:space="0" w:color="auto"/>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262E73">
              <w:rPr>
                <w:rFonts w:ascii="Times New Roman" w:hAnsi="Times New Roman" w:cs="Times New Roman"/>
                <w:i/>
                <w:iCs/>
                <w:color w:val="000000"/>
                <w:sz w:val="18"/>
                <w:szCs w:val="18"/>
                <w:lang w:eastAsia="es-ES"/>
              </w:rPr>
              <w:t>(0.8024)</w:t>
            </w:r>
          </w:p>
        </w:tc>
      </w:tr>
      <w:tr w:rsidR="00262E73" w:rsidRPr="00262E73" w:rsidTr="00262E73">
        <w:trPr>
          <w:trHeight w:val="300"/>
          <w:jc w:val="center"/>
        </w:trPr>
        <w:tc>
          <w:tcPr>
            <w:tcW w:w="1480"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left"/>
              <w:rPr>
                <w:rFonts w:ascii="Times New Roman" w:hAnsi="Times New Roman" w:cs="Times New Roman"/>
                <w:color w:val="000000"/>
                <w:sz w:val="20"/>
                <w:szCs w:val="20"/>
                <w:lang w:val="es-ES" w:eastAsia="es-ES"/>
              </w:rPr>
            </w:pPr>
            <w:r w:rsidRPr="00262E73">
              <w:rPr>
                <w:rFonts w:ascii="Times New Roman" w:hAnsi="Times New Roman" w:cs="Times New Roman"/>
                <w:color w:val="000000"/>
                <w:sz w:val="20"/>
                <w:szCs w:val="20"/>
                <w:lang w:eastAsia="es-ES"/>
              </w:rPr>
              <w:t>EU15+AL4</w:t>
            </w:r>
          </w:p>
        </w:tc>
        <w:tc>
          <w:tcPr>
            <w:tcW w:w="1057"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0.0715</w:t>
            </w:r>
          </w:p>
        </w:tc>
        <w:tc>
          <w:tcPr>
            <w:tcW w:w="1343" w:type="dxa"/>
            <w:tcBorders>
              <w:top w:val="nil"/>
              <w:left w:val="nil"/>
              <w:bottom w:val="nil"/>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0.0227</w:t>
            </w:r>
          </w:p>
        </w:tc>
        <w:tc>
          <w:tcPr>
            <w:tcW w:w="1200" w:type="dxa"/>
            <w:tcBorders>
              <w:top w:val="nil"/>
              <w:left w:val="nil"/>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FF0000"/>
                <w:sz w:val="18"/>
                <w:szCs w:val="18"/>
                <w:lang w:val="es-ES" w:eastAsia="es-ES"/>
              </w:rPr>
            </w:pPr>
            <w:r w:rsidRPr="00262E73">
              <w:rPr>
                <w:rFonts w:ascii="Times New Roman" w:hAnsi="Times New Roman" w:cs="Times New Roman"/>
                <w:color w:val="FF0000"/>
                <w:sz w:val="18"/>
                <w:szCs w:val="18"/>
                <w:lang w:eastAsia="es-ES"/>
              </w:rPr>
              <w:t>0.7744</w:t>
            </w:r>
          </w:p>
        </w:tc>
        <w:tc>
          <w:tcPr>
            <w:tcW w:w="1200" w:type="dxa"/>
            <w:tcBorders>
              <w:top w:val="nil"/>
              <w:left w:val="single" w:sz="8" w:space="0" w:color="auto"/>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FF0000"/>
                <w:sz w:val="18"/>
                <w:szCs w:val="18"/>
                <w:lang w:val="es-ES" w:eastAsia="es-ES"/>
              </w:rPr>
            </w:pPr>
            <w:r w:rsidRPr="00262E73">
              <w:rPr>
                <w:rFonts w:ascii="Times New Roman" w:hAnsi="Times New Roman" w:cs="Times New Roman"/>
                <w:color w:val="FF0000"/>
                <w:sz w:val="18"/>
                <w:szCs w:val="18"/>
                <w:lang w:eastAsia="es-ES"/>
              </w:rPr>
              <w:t>-0.6792</w:t>
            </w:r>
          </w:p>
        </w:tc>
        <w:tc>
          <w:tcPr>
            <w:tcW w:w="1200" w:type="dxa"/>
            <w:tcBorders>
              <w:top w:val="nil"/>
              <w:left w:val="single" w:sz="8" w:space="0" w:color="auto"/>
              <w:bottom w:val="nil"/>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color w:val="000000"/>
                <w:sz w:val="18"/>
                <w:szCs w:val="18"/>
                <w:lang w:val="es-ES" w:eastAsia="es-ES"/>
              </w:rPr>
            </w:pPr>
            <w:r w:rsidRPr="00262E73">
              <w:rPr>
                <w:rFonts w:ascii="Times New Roman" w:hAnsi="Times New Roman" w:cs="Times New Roman"/>
                <w:color w:val="000000"/>
                <w:sz w:val="18"/>
                <w:szCs w:val="18"/>
                <w:lang w:eastAsia="es-ES"/>
              </w:rPr>
              <w:t>0.1254</w:t>
            </w:r>
          </w:p>
        </w:tc>
      </w:tr>
      <w:tr w:rsidR="00262E73" w:rsidRPr="00262E73" w:rsidTr="00262E73">
        <w:trPr>
          <w:trHeight w:val="315"/>
          <w:jc w:val="center"/>
        </w:trPr>
        <w:tc>
          <w:tcPr>
            <w:tcW w:w="1480" w:type="dxa"/>
            <w:tcBorders>
              <w:top w:val="nil"/>
              <w:left w:val="nil"/>
              <w:bottom w:val="single" w:sz="8" w:space="0" w:color="auto"/>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left"/>
              <w:rPr>
                <w:rFonts w:ascii="Times New Roman" w:hAnsi="Times New Roman" w:cs="Times New Roman"/>
                <w:i/>
                <w:iCs/>
                <w:color w:val="000000"/>
                <w:sz w:val="20"/>
                <w:szCs w:val="20"/>
                <w:lang w:val="es-ES" w:eastAsia="es-ES"/>
              </w:rPr>
            </w:pPr>
            <w:r w:rsidRPr="00262E73">
              <w:rPr>
                <w:rFonts w:ascii="Times New Roman" w:hAnsi="Times New Roman" w:cs="Times New Roman"/>
                <w:i/>
                <w:iCs/>
                <w:color w:val="000000"/>
                <w:sz w:val="20"/>
                <w:szCs w:val="20"/>
                <w:lang w:eastAsia="es-ES"/>
              </w:rPr>
              <w:t xml:space="preserve">    P-value</w:t>
            </w:r>
          </w:p>
        </w:tc>
        <w:tc>
          <w:tcPr>
            <w:tcW w:w="1057" w:type="dxa"/>
            <w:tcBorders>
              <w:top w:val="nil"/>
              <w:left w:val="nil"/>
              <w:bottom w:val="single" w:sz="8" w:space="0" w:color="auto"/>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262E73">
              <w:rPr>
                <w:rFonts w:ascii="Times New Roman" w:hAnsi="Times New Roman" w:cs="Times New Roman"/>
                <w:i/>
                <w:iCs/>
                <w:color w:val="000000"/>
                <w:sz w:val="18"/>
                <w:szCs w:val="18"/>
                <w:lang w:eastAsia="es-ES"/>
              </w:rPr>
              <w:t>(0.7340)</w:t>
            </w:r>
          </w:p>
        </w:tc>
        <w:tc>
          <w:tcPr>
            <w:tcW w:w="1343" w:type="dxa"/>
            <w:tcBorders>
              <w:top w:val="nil"/>
              <w:left w:val="nil"/>
              <w:bottom w:val="single" w:sz="8" w:space="0" w:color="auto"/>
              <w:right w:val="single" w:sz="8" w:space="0" w:color="auto"/>
            </w:tcBorders>
            <w:shd w:val="clear" w:color="auto" w:fill="auto"/>
            <w:noWrap/>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262E73">
              <w:rPr>
                <w:rFonts w:ascii="Times New Roman" w:hAnsi="Times New Roman" w:cs="Times New Roman"/>
                <w:i/>
                <w:iCs/>
                <w:color w:val="000000"/>
                <w:sz w:val="18"/>
                <w:szCs w:val="18"/>
                <w:lang w:eastAsia="es-ES"/>
              </w:rPr>
              <w:t>(0.9144)</w:t>
            </w:r>
          </w:p>
        </w:tc>
        <w:tc>
          <w:tcPr>
            <w:tcW w:w="1200" w:type="dxa"/>
            <w:tcBorders>
              <w:top w:val="nil"/>
              <w:left w:val="nil"/>
              <w:bottom w:val="single" w:sz="8" w:space="0" w:color="auto"/>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FF0000"/>
                <w:sz w:val="18"/>
                <w:szCs w:val="18"/>
                <w:lang w:val="es-ES" w:eastAsia="es-ES"/>
              </w:rPr>
            </w:pPr>
            <w:r w:rsidRPr="00262E73">
              <w:rPr>
                <w:rFonts w:ascii="Times New Roman" w:hAnsi="Times New Roman" w:cs="Times New Roman"/>
                <w:i/>
                <w:iCs/>
                <w:color w:val="FF0000"/>
                <w:sz w:val="18"/>
                <w:szCs w:val="18"/>
                <w:lang w:eastAsia="es-ES"/>
              </w:rPr>
              <w:t>(0.0000)</w:t>
            </w:r>
          </w:p>
        </w:tc>
        <w:tc>
          <w:tcPr>
            <w:tcW w:w="1200" w:type="dxa"/>
            <w:tcBorders>
              <w:top w:val="nil"/>
              <w:left w:val="single" w:sz="8" w:space="0" w:color="auto"/>
              <w:bottom w:val="single" w:sz="8" w:space="0" w:color="auto"/>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FF0000"/>
                <w:sz w:val="18"/>
                <w:szCs w:val="18"/>
                <w:lang w:val="es-ES" w:eastAsia="es-ES"/>
              </w:rPr>
            </w:pPr>
            <w:r w:rsidRPr="00262E73">
              <w:rPr>
                <w:rFonts w:ascii="Times New Roman" w:hAnsi="Times New Roman" w:cs="Times New Roman"/>
                <w:i/>
                <w:iCs/>
                <w:color w:val="FF0000"/>
                <w:sz w:val="18"/>
                <w:szCs w:val="18"/>
                <w:lang w:eastAsia="es-ES"/>
              </w:rPr>
              <w:t>(0.0002)</w:t>
            </w:r>
          </w:p>
        </w:tc>
        <w:tc>
          <w:tcPr>
            <w:tcW w:w="1200" w:type="dxa"/>
            <w:tcBorders>
              <w:top w:val="nil"/>
              <w:left w:val="single" w:sz="8" w:space="0" w:color="auto"/>
              <w:bottom w:val="single" w:sz="8" w:space="0" w:color="auto"/>
              <w:right w:val="nil"/>
            </w:tcBorders>
            <w:shd w:val="clear" w:color="auto" w:fill="auto"/>
            <w:vAlign w:val="bottom"/>
            <w:hideMark/>
          </w:tcPr>
          <w:p w:rsidR="00262E73" w:rsidRPr="00262E73" w:rsidRDefault="00262E73" w:rsidP="00262E73">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262E73">
              <w:rPr>
                <w:rFonts w:ascii="Times New Roman" w:hAnsi="Times New Roman" w:cs="Times New Roman"/>
                <w:i/>
                <w:iCs/>
                <w:color w:val="000000"/>
                <w:sz w:val="18"/>
                <w:szCs w:val="18"/>
                <w:lang w:eastAsia="es-ES"/>
              </w:rPr>
              <w:t>(0.5505)</w:t>
            </w:r>
          </w:p>
        </w:tc>
      </w:tr>
    </w:tbl>
    <w:p w:rsidR="00262E73" w:rsidRDefault="00262E73" w:rsidP="007F245F">
      <w:pPr>
        <w:pStyle w:val="Corpodetexto"/>
        <w:ind w:left="1418" w:firstLine="0"/>
        <w:contextualSpacing/>
        <w:rPr>
          <w:rFonts w:ascii="Times New Roman" w:hAnsi="Times New Roman" w:cs="Times New Roman"/>
          <w:sz w:val="18"/>
          <w:szCs w:val="18"/>
        </w:rPr>
      </w:pPr>
      <w:r>
        <w:rPr>
          <w:rFonts w:ascii="Times New Roman" w:hAnsi="Times New Roman" w:cs="Times New Roman"/>
          <w:sz w:val="18"/>
          <w:szCs w:val="18"/>
        </w:rPr>
        <w:t xml:space="preserve"> </w:t>
      </w:r>
      <w:r w:rsidR="007F245F">
        <w:rPr>
          <w:rFonts w:ascii="Times New Roman" w:hAnsi="Times New Roman" w:cs="Times New Roman"/>
          <w:sz w:val="18"/>
          <w:szCs w:val="18"/>
        </w:rPr>
        <w:t>*; includes also six Asian countries: China, Singapure, Hong-Kong, India, Taiwan and South Korea</w:t>
      </w:r>
      <w:r>
        <w:rPr>
          <w:rFonts w:ascii="Times New Roman" w:hAnsi="Times New Roman" w:cs="Times New Roman"/>
          <w:sz w:val="18"/>
          <w:szCs w:val="18"/>
        </w:rPr>
        <w:t xml:space="preserve">. </w:t>
      </w:r>
    </w:p>
    <w:p w:rsidR="00433504" w:rsidRPr="00433504" w:rsidRDefault="00262E73" w:rsidP="00262E73">
      <w:pPr>
        <w:pStyle w:val="Corpodetexto"/>
        <w:ind w:left="1418" w:firstLine="0"/>
      </w:pPr>
      <w:r w:rsidRPr="00B42B97">
        <w:rPr>
          <w:rFonts w:ascii="Times New Roman" w:hAnsi="Times New Roman" w:cs="Times New Roman"/>
          <w:sz w:val="18"/>
          <w:szCs w:val="18"/>
        </w:rPr>
        <w:t xml:space="preserve">Source: </w:t>
      </w:r>
      <w:bookmarkStart w:id="20" w:name="OLE_LINK19"/>
      <w:bookmarkStart w:id="21" w:name="OLE_LINK20"/>
      <w:r w:rsidRPr="00B42B97">
        <w:rPr>
          <w:rFonts w:ascii="Times New Roman" w:hAnsi="Times New Roman" w:cs="Times New Roman"/>
          <w:sz w:val="18"/>
          <w:szCs w:val="18"/>
        </w:rPr>
        <w:t>Space bulletin EPO 1978-2008 and own elaboration</w:t>
      </w:r>
      <w:bookmarkEnd w:id="20"/>
      <w:bookmarkEnd w:id="21"/>
    </w:p>
    <w:p w:rsidR="00433504" w:rsidRPr="005E1CB3" w:rsidRDefault="00433504" w:rsidP="00433504">
      <w:pPr>
        <w:pStyle w:val="Corpodetexto"/>
        <w:contextualSpacing/>
        <w:jc w:val="center"/>
        <w:rPr>
          <w:rFonts w:ascii="Times New Roman" w:hAnsi="Times New Roman" w:cs="Times New Roman"/>
        </w:rPr>
      </w:pPr>
    </w:p>
    <w:p w:rsidR="00433504" w:rsidRPr="005E1CB3" w:rsidRDefault="00433504" w:rsidP="00262E73">
      <w:pPr>
        <w:contextualSpacing/>
        <w:rPr>
          <w:rFonts w:ascii="Times New Roman" w:hAnsi="Times New Roman"/>
        </w:rPr>
      </w:pPr>
      <w:r w:rsidRPr="005E1CB3">
        <w:rPr>
          <w:rFonts w:ascii="Times New Roman" w:hAnsi="Times New Roman"/>
        </w:rPr>
        <w:t xml:space="preserve">Adaptation Effect is positive and significantly associated with Total Effect and negative and also significantly to Technological effect. That means that positive association exists between the ‘correct’ direction of technological efforts and the growth of patent share. But it also means that the direction of technological efforts is negatively correlated with the dynamicity of the technological efforts, this is, countries that performed higher rhythms of patenting activity tended to move towards stagnant TO technical fields or to go out from dynamic TO ones. That observation is still </w:t>
      </w:r>
      <w:r w:rsidR="00262E73" w:rsidRPr="005E1CB3">
        <w:rPr>
          <w:rFonts w:ascii="Times New Roman" w:hAnsi="Times New Roman"/>
        </w:rPr>
        <w:t xml:space="preserve">quite </w:t>
      </w:r>
      <w:r w:rsidRPr="005E1CB3">
        <w:rPr>
          <w:rFonts w:ascii="Times New Roman" w:hAnsi="Times New Roman"/>
        </w:rPr>
        <w:t xml:space="preserve">stronger in European Delayers and Latin-Americans. Only in UE15 countries the association between this kind of efforts is no significant (table </w:t>
      </w:r>
      <w:r w:rsidR="00262E73" w:rsidRPr="005E1CB3">
        <w:rPr>
          <w:rFonts w:ascii="Times New Roman" w:hAnsi="Times New Roman"/>
        </w:rPr>
        <w:t>2</w:t>
      </w:r>
      <w:r w:rsidRPr="005E1CB3">
        <w:rPr>
          <w:rFonts w:ascii="Times New Roman" w:hAnsi="Times New Roman"/>
        </w:rPr>
        <w:t>). The Pearson coefficient between Adaptation and Technological effects takes a positive and significant signal when tested for Asian plus European countries. This means that, in this case, the technological dynamism is positively associated with movements towards dynamic OT fields or from the stagnant ones.</w:t>
      </w:r>
    </w:p>
    <w:p w:rsidR="00433504" w:rsidRPr="005E1CB3" w:rsidRDefault="00433504" w:rsidP="005E1CB3">
      <w:pPr>
        <w:pStyle w:val="Corpodetexto"/>
        <w:rPr>
          <w:rFonts w:ascii="Times New Roman" w:hAnsi="Times New Roman" w:cs="Times New Roman"/>
        </w:rPr>
      </w:pPr>
      <w:r w:rsidRPr="005E1CB3">
        <w:rPr>
          <w:rFonts w:ascii="Times New Roman" w:hAnsi="Times New Roman"/>
        </w:rPr>
        <w:t xml:space="preserve">Finally, data show that there is no significant association between Structural and Adaptation Effect in any context. Taking advantages because of an initial ‘correct’ position is not necessarily linked to higher efforts in patenting activity in the same direction. So, it seems that countries moved towards technological fields where they could explore internal endowments more than towards those that permitted to explore technological opportunities. And, as a consequence, some paradoxical results can be observed; countries with ‘wrong’ initial positions (higher initial shares in stagnant TO fields) were able to move to fields with high TO and countries with ‘wrong’ directions were able to register high dynamism by an extraordinary patenting activity. This finding </w:t>
      </w:r>
      <w:r w:rsidR="005E1CB3" w:rsidRPr="005E1CB3">
        <w:rPr>
          <w:rFonts w:ascii="Times New Roman" w:hAnsi="Times New Roman"/>
        </w:rPr>
        <w:t xml:space="preserve">shows that technological opportunity did not configure a </w:t>
      </w:r>
      <w:r w:rsidR="00847EEA" w:rsidRPr="005E1CB3">
        <w:rPr>
          <w:rFonts w:ascii="Times New Roman" w:hAnsi="Times New Roman"/>
        </w:rPr>
        <w:t>major</w:t>
      </w:r>
      <w:r w:rsidR="005E1CB3" w:rsidRPr="005E1CB3">
        <w:rPr>
          <w:rFonts w:ascii="Times New Roman" w:hAnsi="Times New Roman"/>
        </w:rPr>
        <w:t xml:space="preserve"> factor to explain technological movements along the market integration processes and </w:t>
      </w:r>
      <w:r w:rsidRPr="005E1CB3">
        <w:rPr>
          <w:rFonts w:ascii="Times New Roman" w:hAnsi="Times New Roman"/>
        </w:rPr>
        <w:t>strengthens the idea that the construction of capabilities prevails over the technological determinism as determinant of the rhythms and paths of technological development</w:t>
      </w:r>
      <w:r w:rsidR="005E1CB3" w:rsidRPr="005E1CB3">
        <w:rPr>
          <w:rFonts w:ascii="Times New Roman" w:hAnsi="Times New Roman"/>
        </w:rPr>
        <w:t>.</w:t>
      </w:r>
    </w:p>
    <w:p w:rsidR="00433504" w:rsidRDefault="00433504" w:rsidP="00C55FB9">
      <w:pPr>
        <w:pStyle w:val="Corpodetexto"/>
        <w:rPr>
          <w:rFonts w:ascii="Times New Roman" w:hAnsi="Times New Roman" w:cs="Times New Roman"/>
        </w:rPr>
      </w:pPr>
    </w:p>
    <w:p w:rsidR="00433504" w:rsidRDefault="00433504" w:rsidP="00C55FB9">
      <w:pPr>
        <w:pStyle w:val="Corpodetexto"/>
        <w:rPr>
          <w:rFonts w:ascii="Times New Roman" w:hAnsi="Times New Roman" w:cs="Times New Roman"/>
        </w:rPr>
      </w:pPr>
    </w:p>
    <w:p w:rsidR="00C55FB9" w:rsidRPr="00007658" w:rsidRDefault="00C55FB9" w:rsidP="00C4397F">
      <w:pPr>
        <w:pStyle w:val="Corpodetexto"/>
        <w:numPr>
          <w:ilvl w:val="0"/>
          <w:numId w:val="5"/>
        </w:numPr>
        <w:ind w:left="426" w:hanging="426"/>
        <w:rPr>
          <w:rFonts w:ascii="Times New Roman" w:hAnsi="Times New Roman" w:cs="Times New Roman"/>
          <w:i/>
        </w:rPr>
      </w:pPr>
      <w:r w:rsidRPr="00007658">
        <w:rPr>
          <w:rFonts w:ascii="Times New Roman" w:hAnsi="Times New Roman" w:cs="Times New Roman"/>
          <w:b/>
        </w:rPr>
        <w:t>Analysis convergence between pre and post integration periods</w:t>
      </w:r>
    </w:p>
    <w:p w:rsidR="005E1CB3" w:rsidRDefault="005E1CB3" w:rsidP="00C55FB9">
      <w:pPr>
        <w:pStyle w:val="Corpodetexto"/>
        <w:rPr>
          <w:rFonts w:ascii="Times New Roman" w:hAnsi="Times New Roman" w:cs="Times New Roman"/>
        </w:rPr>
      </w:pPr>
    </w:p>
    <w:p w:rsidR="00C55FB9" w:rsidRPr="002A172B" w:rsidRDefault="00C5105C" w:rsidP="005E1CB3">
      <w:pPr>
        <w:pStyle w:val="Corpodetexto"/>
        <w:rPr>
          <w:rFonts w:ascii="Times New Roman" w:hAnsi="Times New Roman" w:cs="Times New Roman"/>
        </w:rPr>
      </w:pPr>
      <w:r w:rsidRPr="00007658">
        <w:rPr>
          <w:rFonts w:ascii="Times New Roman" w:hAnsi="Times New Roman" w:cs="Times New Roman"/>
        </w:rPr>
        <w:t>Th</w:t>
      </w:r>
      <w:r w:rsidR="005E1CB3">
        <w:rPr>
          <w:rFonts w:ascii="Times New Roman" w:hAnsi="Times New Roman" w:cs="Times New Roman"/>
        </w:rPr>
        <w:t xml:space="preserve">e shift-share analysis drove to the intuitive </w:t>
      </w:r>
      <w:r w:rsidR="00FD78D3">
        <w:rPr>
          <w:rFonts w:ascii="Times New Roman" w:hAnsi="Times New Roman" w:cs="Times New Roman"/>
        </w:rPr>
        <w:t>conclusion</w:t>
      </w:r>
      <w:r w:rsidRPr="00007658">
        <w:rPr>
          <w:rFonts w:ascii="Times New Roman" w:hAnsi="Times New Roman" w:cs="Times New Roman"/>
        </w:rPr>
        <w:t xml:space="preserve"> that, at least in aggregate terms, economic integration led to technological </w:t>
      </w:r>
      <w:r w:rsidRPr="002A172B">
        <w:rPr>
          <w:rFonts w:ascii="Times New Roman" w:hAnsi="Times New Roman" w:cs="Times New Roman"/>
        </w:rPr>
        <w:t xml:space="preserve">convergence between countries: higher dynamism is observed in </w:t>
      </w:r>
      <w:r w:rsidR="00FD78D3" w:rsidRPr="002A172B">
        <w:rPr>
          <w:rFonts w:ascii="Times New Roman" w:hAnsi="Times New Roman" w:cs="Times New Roman"/>
        </w:rPr>
        <w:t>followers</w:t>
      </w:r>
      <w:r w:rsidRPr="002A172B">
        <w:rPr>
          <w:rFonts w:ascii="Times New Roman" w:hAnsi="Times New Roman" w:cs="Times New Roman"/>
        </w:rPr>
        <w:t xml:space="preserve"> and stagnation is observed in leader countries. </w:t>
      </w:r>
      <w:r w:rsidR="00D0516A" w:rsidRPr="002A172B">
        <w:rPr>
          <w:rFonts w:ascii="Times New Roman" w:hAnsi="Times New Roman" w:cs="Times New Roman"/>
        </w:rPr>
        <w:t>But does it means that countries are becoming more similar?</w:t>
      </w:r>
      <w:r w:rsidRPr="002A172B">
        <w:rPr>
          <w:rFonts w:ascii="Times New Roman" w:hAnsi="Times New Roman" w:cs="Times New Roman"/>
        </w:rPr>
        <w:t xml:space="preserve">. </w:t>
      </w:r>
      <w:r w:rsidR="00D0516A" w:rsidRPr="002A172B">
        <w:rPr>
          <w:rFonts w:ascii="Times New Roman" w:hAnsi="Times New Roman" w:cs="Times New Roman"/>
        </w:rPr>
        <w:t xml:space="preserve">If </w:t>
      </w:r>
      <w:r w:rsidR="003D1444" w:rsidRPr="002A172B">
        <w:rPr>
          <w:rFonts w:ascii="Times New Roman" w:hAnsi="Times New Roman" w:cs="Times New Roman"/>
        </w:rPr>
        <w:t xml:space="preserve">country specializations are </w:t>
      </w:r>
      <w:r w:rsidR="00D0516A" w:rsidRPr="002A172B">
        <w:rPr>
          <w:rFonts w:ascii="Times New Roman" w:hAnsi="Times New Roman" w:cs="Times New Roman"/>
        </w:rPr>
        <w:t xml:space="preserve">getting more similar, the </w:t>
      </w:r>
      <w:r w:rsidR="003B4F44" w:rsidRPr="002A172B">
        <w:rPr>
          <w:rFonts w:ascii="Times New Roman" w:hAnsi="Times New Roman" w:cs="Times New Roman"/>
        </w:rPr>
        <w:t xml:space="preserve">international </w:t>
      </w:r>
      <w:r w:rsidR="00CB6A68" w:rsidRPr="002A172B">
        <w:rPr>
          <w:rFonts w:ascii="Times New Roman" w:hAnsi="Times New Roman" w:cs="Times New Roman"/>
        </w:rPr>
        <w:t xml:space="preserve">patterns of </w:t>
      </w:r>
      <w:r w:rsidR="003B4F44" w:rsidRPr="002A172B">
        <w:rPr>
          <w:rFonts w:ascii="Times New Roman" w:hAnsi="Times New Roman" w:cs="Times New Roman"/>
        </w:rPr>
        <w:t xml:space="preserve">technological </w:t>
      </w:r>
      <w:r w:rsidR="00CB6A68" w:rsidRPr="002A172B">
        <w:rPr>
          <w:rFonts w:ascii="Times New Roman" w:hAnsi="Times New Roman" w:cs="Times New Roman"/>
        </w:rPr>
        <w:t>performance is</w:t>
      </w:r>
      <w:r w:rsidR="00D0516A" w:rsidRPr="002A172B">
        <w:rPr>
          <w:rFonts w:ascii="Times New Roman" w:hAnsi="Times New Roman" w:cs="Times New Roman"/>
        </w:rPr>
        <w:t xml:space="preserve"> characterized by</w:t>
      </w:r>
      <w:r w:rsidR="00D41F66" w:rsidRPr="002A172B">
        <w:rPr>
          <w:rFonts w:ascii="Times New Roman" w:hAnsi="Times New Roman" w:cs="Times New Roman"/>
        </w:rPr>
        <w:t xml:space="preserve"> </w:t>
      </w:r>
      <w:r w:rsidR="00D0516A" w:rsidRPr="002A172B">
        <w:rPr>
          <w:rFonts w:ascii="Times New Roman" w:hAnsi="Times New Roman" w:cs="Times New Roman"/>
        </w:rPr>
        <w:t>competition</w:t>
      </w:r>
      <w:r w:rsidR="00490ED7" w:rsidRPr="002A172B">
        <w:rPr>
          <w:rFonts w:ascii="Times New Roman" w:hAnsi="Times New Roman" w:cs="Times New Roman"/>
        </w:rPr>
        <w:t>. I</w:t>
      </w:r>
      <w:r w:rsidR="00CB6A68" w:rsidRPr="002A172B">
        <w:rPr>
          <w:rFonts w:ascii="Times New Roman" w:hAnsi="Times New Roman" w:cs="Times New Roman"/>
        </w:rPr>
        <w:t xml:space="preserve">f they are getting </w:t>
      </w:r>
      <w:r w:rsidR="00D41F66" w:rsidRPr="002A172B">
        <w:rPr>
          <w:rFonts w:ascii="Times New Roman" w:hAnsi="Times New Roman" w:cs="Times New Roman"/>
        </w:rPr>
        <w:t>more dissimilar</w:t>
      </w:r>
      <w:r w:rsidR="00CB6A68" w:rsidRPr="002A172B">
        <w:rPr>
          <w:rFonts w:ascii="Times New Roman" w:hAnsi="Times New Roman" w:cs="Times New Roman"/>
        </w:rPr>
        <w:t xml:space="preserve">, the performance </w:t>
      </w:r>
      <w:r w:rsidR="003D1444" w:rsidRPr="002A172B">
        <w:rPr>
          <w:rFonts w:ascii="Times New Roman" w:hAnsi="Times New Roman" w:cs="Times New Roman"/>
        </w:rPr>
        <w:t>i</w:t>
      </w:r>
      <w:r w:rsidR="00CB6A68" w:rsidRPr="002A172B">
        <w:rPr>
          <w:rFonts w:ascii="Times New Roman" w:hAnsi="Times New Roman" w:cs="Times New Roman"/>
        </w:rPr>
        <w:t xml:space="preserve">s characterized by </w:t>
      </w:r>
      <w:r w:rsidR="00BB26A3" w:rsidRPr="002A172B">
        <w:rPr>
          <w:rFonts w:ascii="Times New Roman" w:hAnsi="Times New Roman" w:cs="Times New Roman"/>
        </w:rPr>
        <w:t>complementarity</w:t>
      </w:r>
      <w:r w:rsidR="003B4F44" w:rsidRPr="002A172B">
        <w:rPr>
          <w:rFonts w:ascii="Times New Roman" w:hAnsi="Times New Roman" w:cs="Times New Roman"/>
        </w:rPr>
        <w:t xml:space="preserve"> and cooperation </w:t>
      </w:r>
      <w:r w:rsidRPr="002A172B">
        <w:rPr>
          <w:rFonts w:ascii="Times New Roman" w:hAnsi="Times New Roman" w:cs="Times New Roman"/>
        </w:rPr>
        <w:t>(Archibugi and Pianta, 1994).</w:t>
      </w:r>
    </w:p>
    <w:p w:rsidR="00C5105C" w:rsidRPr="00007658" w:rsidRDefault="00FD78D3" w:rsidP="0001659F">
      <w:pPr>
        <w:pStyle w:val="Corpodetexto"/>
        <w:rPr>
          <w:rFonts w:ascii="Times New Roman" w:hAnsi="Times New Roman" w:cs="Times New Roman"/>
          <w:color w:val="FF0000"/>
        </w:rPr>
      </w:pPr>
      <w:r>
        <w:rPr>
          <w:rFonts w:ascii="Times New Roman" w:hAnsi="Times New Roman" w:cs="Times New Roman"/>
        </w:rPr>
        <w:lastRenderedPageBreak/>
        <w:t>T</w:t>
      </w:r>
      <w:r w:rsidR="00C5105C" w:rsidRPr="00007658">
        <w:rPr>
          <w:rFonts w:ascii="Times New Roman" w:hAnsi="Times New Roman" w:cs="Times New Roman"/>
        </w:rPr>
        <w:t>echnological convergence in terms of similarity</w:t>
      </w:r>
      <w:r>
        <w:rPr>
          <w:rFonts w:ascii="Times New Roman" w:hAnsi="Times New Roman" w:cs="Times New Roman"/>
        </w:rPr>
        <w:t xml:space="preserve"> will be assessed by a measure of distance represented by</w:t>
      </w:r>
      <w:r w:rsidR="00C5105C" w:rsidRPr="00007658">
        <w:rPr>
          <w:rFonts w:ascii="Times New Roman" w:hAnsi="Times New Roman" w:cs="Times New Roman"/>
        </w:rPr>
        <w:t xml:space="preserve"> the chi-square, (</w:t>
      </w:r>
      <w:r w:rsidR="00C5105C" w:rsidRPr="00007658">
        <w:rPr>
          <w:rFonts w:ascii="Times New Roman" w:hAnsi="Times New Roman" w:cs="Times New Roman"/>
        </w:rPr>
        <w:sym w:font="Symbol" w:char="F063"/>
      </w:r>
      <w:r w:rsidR="00C5105C" w:rsidRPr="00007658">
        <w:rPr>
          <w:rFonts w:ascii="Times New Roman" w:hAnsi="Times New Roman" w:cs="Times New Roman"/>
          <w:vertAlign w:val="superscript"/>
        </w:rPr>
        <w:t>2</w:t>
      </w:r>
      <w:r w:rsidR="00C5105C" w:rsidRPr="00007658">
        <w:rPr>
          <w:rFonts w:ascii="Times New Roman" w:hAnsi="Times New Roman" w:cs="Times New Roman"/>
        </w:rPr>
        <w:t xml:space="preserve"> ), calculated as </w:t>
      </w:r>
      <w:r w:rsidR="00C5105C" w:rsidRPr="00007658">
        <w:rPr>
          <w:rFonts w:ascii="Times New Roman" w:hAnsi="Times New Roman" w:cs="Times New Roman"/>
        </w:rPr>
        <w:sym w:font="Symbol" w:char="F063"/>
      </w:r>
      <w:r w:rsidR="00C5105C" w:rsidRPr="00007658">
        <w:rPr>
          <w:rFonts w:ascii="Times New Roman" w:hAnsi="Times New Roman" w:cs="Times New Roman"/>
          <w:vertAlign w:val="superscript"/>
        </w:rPr>
        <w:t>2</w:t>
      </w:r>
      <w:r w:rsidR="00C5105C" w:rsidRPr="00007658">
        <w:rPr>
          <w:rFonts w:ascii="Times New Roman" w:hAnsi="Times New Roman" w:cs="Times New Roman"/>
        </w:rPr>
        <w:t xml:space="preserve"> = </w:t>
      </w:r>
      <w:r w:rsidR="00490ED7" w:rsidRPr="00007658">
        <w:rPr>
          <w:rFonts w:ascii="Times New Roman" w:hAnsi="Times New Roman" w:cs="Times New Roman"/>
          <w:position w:val="-28"/>
        </w:rPr>
        <w:object w:dxaOrig="13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pt;height:28.25pt" o:ole="" fillcolor="window">
            <v:imagedata r:id="rId8" o:title=""/>
          </v:shape>
          <o:OLEObject Type="Embed" ProgID="Equation.3" ShapeID="_x0000_i1025" DrawAspect="Content" ObjectID="_1371906996" r:id="rId9"/>
        </w:object>
      </w:r>
      <w:r w:rsidR="00C5105C" w:rsidRPr="00007658">
        <w:rPr>
          <w:rFonts w:ascii="Times New Roman" w:hAnsi="Times New Roman" w:cs="Times New Roman"/>
        </w:rPr>
        <w:t xml:space="preserve">,where </w:t>
      </w:r>
      <w:r w:rsidR="00C5105C" w:rsidRPr="00490ED7">
        <w:rPr>
          <w:rFonts w:ascii="Times New Roman" w:hAnsi="Times New Roman" w:cs="Times New Roman"/>
          <w:i/>
          <w:iCs/>
        </w:rPr>
        <w:t>p</w:t>
      </w:r>
      <w:r w:rsidR="00C5105C" w:rsidRPr="00490ED7">
        <w:rPr>
          <w:rFonts w:ascii="Times New Roman" w:hAnsi="Times New Roman" w:cs="Times New Roman"/>
          <w:i/>
          <w:iCs/>
          <w:vertAlign w:val="subscript"/>
        </w:rPr>
        <w:t>ij</w:t>
      </w:r>
      <w:r w:rsidR="00C5105C" w:rsidRPr="00007658">
        <w:rPr>
          <w:rFonts w:ascii="Times New Roman" w:hAnsi="Times New Roman" w:cs="Times New Roman"/>
        </w:rPr>
        <w:t xml:space="preserve"> is the j-country share or patents in i-technical field and </w:t>
      </w:r>
      <w:r w:rsidR="00C5105C" w:rsidRPr="00490ED7">
        <w:rPr>
          <w:rFonts w:ascii="Times New Roman" w:hAnsi="Times New Roman" w:cs="Times New Roman"/>
          <w:i/>
          <w:iCs/>
        </w:rPr>
        <w:t>p</w:t>
      </w:r>
      <w:r w:rsidR="00C5105C" w:rsidRPr="00490ED7">
        <w:rPr>
          <w:rFonts w:ascii="Times New Roman" w:hAnsi="Times New Roman" w:cs="Times New Roman"/>
          <w:i/>
          <w:iCs/>
          <w:vertAlign w:val="subscript"/>
        </w:rPr>
        <w:t>iw</w:t>
      </w:r>
      <w:r w:rsidR="00C5105C" w:rsidRPr="00007658">
        <w:rPr>
          <w:rFonts w:ascii="Times New Roman" w:hAnsi="Times New Roman" w:cs="Times New Roman"/>
        </w:rPr>
        <w:t xml:space="preserve"> is the share of patents in the same technical </w:t>
      </w:r>
      <w:r w:rsidR="00251CCA">
        <w:rPr>
          <w:rFonts w:ascii="Times New Roman" w:hAnsi="Times New Roman" w:cs="Times New Roman"/>
        </w:rPr>
        <w:t>field for the area of reference</w:t>
      </w:r>
      <w:r w:rsidR="00C5105C" w:rsidRPr="00007658">
        <w:rPr>
          <w:rFonts w:ascii="Times New Roman" w:hAnsi="Times New Roman" w:cs="Times New Roman"/>
        </w:rPr>
        <w:t xml:space="preserve"> </w:t>
      </w:r>
      <w:r w:rsidR="00C5105C" w:rsidRPr="00490ED7">
        <w:rPr>
          <w:rFonts w:ascii="Times New Roman" w:hAnsi="Times New Roman" w:cs="Times New Roman"/>
        </w:rPr>
        <w:t>(Archibugi and Pianta, 1992: chapter 8; Pianta and Meliciani, 1996).</w:t>
      </w:r>
      <w:r w:rsidR="00C5105C" w:rsidRPr="00007658">
        <w:rPr>
          <w:rFonts w:ascii="Times New Roman" w:hAnsi="Times New Roman" w:cs="Times New Roman"/>
        </w:rPr>
        <w:t xml:space="preserve"> This indicator takes value 0, in the case of total similarity</w:t>
      </w:r>
      <w:r w:rsidR="00D14E21">
        <w:rPr>
          <w:rFonts w:ascii="Times New Roman" w:hAnsi="Times New Roman" w:cs="Times New Roman"/>
        </w:rPr>
        <w:t xml:space="preserve"> (convergence)</w:t>
      </w:r>
      <w:r w:rsidR="00C5105C" w:rsidRPr="00007658">
        <w:rPr>
          <w:rFonts w:ascii="Times New Roman" w:hAnsi="Times New Roman" w:cs="Times New Roman"/>
        </w:rPr>
        <w:t xml:space="preserve">, and higher positive values as </w:t>
      </w:r>
      <w:r w:rsidR="00B93173" w:rsidRPr="00007658">
        <w:rPr>
          <w:rFonts w:ascii="Times New Roman" w:hAnsi="Times New Roman" w:cs="Times New Roman"/>
        </w:rPr>
        <w:t xml:space="preserve">sectoral distributions </w:t>
      </w:r>
      <w:r w:rsidR="00B93173">
        <w:rPr>
          <w:rFonts w:ascii="Times New Roman" w:hAnsi="Times New Roman" w:cs="Times New Roman"/>
        </w:rPr>
        <w:t xml:space="preserve">become </w:t>
      </w:r>
      <w:r w:rsidR="00C5105C" w:rsidRPr="00007658">
        <w:rPr>
          <w:rFonts w:ascii="Times New Roman" w:hAnsi="Times New Roman" w:cs="Times New Roman"/>
        </w:rPr>
        <w:t>more dissimilar</w:t>
      </w:r>
      <w:r w:rsidR="00D14E21">
        <w:rPr>
          <w:rFonts w:ascii="Times New Roman" w:hAnsi="Times New Roman" w:cs="Times New Roman"/>
        </w:rPr>
        <w:t xml:space="preserve"> (divergence).</w:t>
      </w:r>
    </w:p>
    <w:p w:rsidR="00847EEA" w:rsidRDefault="00847EEA" w:rsidP="005E1CB3">
      <w:pPr>
        <w:pStyle w:val="Corpodetexto"/>
        <w:tabs>
          <w:tab w:val="left" w:pos="2694"/>
        </w:tabs>
        <w:ind w:firstLine="0"/>
        <w:contextualSpacing/>
        <w:jc w:val="center"/>
        <w:rPr>
          <w:rFonts w:ascii="Times New Roman" w:hAnsi="Times New Roman" w:cs="Times New Roman"/>
          <w:b/>
        </w:rPr>
      </w:pPr>
      <w:bookmarkStart w:id="22" w:name="OLE_LINK10"/>
      <w:bookmarkStart w:id="23" w:name="OLE_LINK9"/>
    </w:p>
    <w:p w:rsidR="00FD6A48" w:rsidRDefault="00FD6A48" w:rsidP="005E1CB3">
      <w:pPr>
        <w:pStyle w:val="Corpodetexto"/>
        <w:tabs>
          <w:tab w:val="left" w:pos="2694"/>
        </w:tabs>
        <w:ind w:firstLine="0"/>
        <w:contextualSpacing/>
        <w:jc w:val="center"/>
        <w:rPr>
          <w:rFonts w:ascii="Times New Roman" w:hAnsi="Times New Roman" w:cs="Times New Roman"/>
        </w:rPr>
      </w:pPr>
      <w:r>
        <w:rPr>
          <w:rFonts w:ascii="Times New Roman" w:hAnsi="Times New Roman" w:cs="Times New Roman"/>
          <w:b/>
        </w:rPr>
        <w:t xml:space="preserve">Graph 1.- Evolution of </w:t>
      </w:r>
      <w:r>
        <w:rPr>
          <w:rFonts w:ascii="Times New Roman" w:hAnsi="Times New Roman" w:cs="Times New Roman"/>
          <w:b/>
        </w:rPr>
        <w:sym w:font="Symbol" w:char="0063"/>
      </w:r>
      <w:r>
        <w:rPr>
          <w:rFonts w:ascii="Times New Roman" w:hAnsi="Times New Roman" w:cs="Times New Roman"/>
          <w:b/>
          <w:vertAlign w:val="superscript"/>
        </w:rPr>
        <w:t>2</w:t>
      </w:r>
      <w:r>
        <w:rPr>
          <w:rFonts w:ascii="Times New Roman" w:hAnsi="Times New Roman" w:cs="Times New Roman"/>
          <w:color w:val="FF0000"/>
        </w:rPr>
        <w:t xml:space="preserve"> </w:t>
      </w:r>
      <w:r>
        <w:rPr>
          <w:rFonts w:ascii="Times New Roman" w:hAnsi="Times New Roman" w:cs="Times New Roman"/>
          <w:b/>
        </w:rPr>
        <w:t xml:space="preserve"> before and after monetary union. </w:t>
      </w:r>
      <w:r w:rsidR="00FA5B21">
        <w:rPr>
          <w:rFonts w:ascii="Times New Roman" w:hAnsi="Times New Roman" w:cs="Times New Roman"/>
          <w:b/>
        </w:rPr>
        <w:t>UE-15</w:t>
      </w:r>
      <w:r>
        <w:rPr>
          <w:rFonts w:ascii="Times New Roman" w:hAnsi="Times New Roman" w:cs="Times New Roman"/>
          <w:b/>
        </w:rPr>
        <w:t xml:space="preserve"> by groups</w:t>
      </w:r>
      <w:r w:rsidR="00490ED7">
        <w:rPr>
          <w:rFonts w:ascii="Times New Roman" w:hAnsi="Times New Roman" w:cs="Times New Roman"/>
          <w:b/>
        </w:rPr>
        <w:t>.</w:t>
      </w:r>
    </w:p>
    <w:bookmarkEnd w:id="22"/>
    <w:bookmarkEnd w:id="23"/>
    <w:p w:rsidR="00FD6A48" w:rsidRDefault="00FD6A48" w:rsidP="005E1CB3">
      <w:pPr>
        <w:ind w:firstLine="0"/>
        <w:jc w:val="center"/>
        <w:rPr>
          <w:rFonts w:ascii="Times New Roman" w:hAnsi="Times New Roman" w:cs="Times New Roman"/>
          <w:b/>
        </w:rPr>
      </w:pPr>
      <w:r>
        <w:rPr>
          <w:noProof/>
          <w:lang w:val="pt-BR"/>
        </w:rPr>
        <w:drawing>
          <wp:inline distT="0" distB="0" distL="0" distR="0">
            <wp:extent cx="1859280" cy="1591310"/>
            <wp:effectExtent l="19050" t="0" r="26670" b="8890"/>
            <wp:docPr id="82" name="Imagen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val="pt-BR"/>
        </w:rPr>
        <w:drawing>
          <wp:inline distT="0" distB="0" distL="0" distR="0">
            <wp:extent cx="1888998" cy="1600708"/>
            <wp:effectExtent l="19050" t="0" r="16002" b="0"/>
            <wp:docPr id="8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b/>
          <w:noProof/>
          <w:lang w:val="pt-BR"/>
        </w:rPr>
        <w:drawing>
          <wp:inline distT="0" distB="0" distL="0" distR="0">
            <wp:extent cx="1821942" cy="1595628"/>
            <wp:effectExtent l="19050" t="0" r="25908" b="4572"/>
            <wp:docPr id="84" name="Imagen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6A48" w:rsidRDefault="00FD6A48" w:rsidP="005E1CB3">
      <w:pPr>
        <w:pStyle w:val="Corpodetexto"/>
        <w:ind w:left="709" w:firstLine="0"/>
        <w:rPr>
          <w:rFonts w:ascii="Times New Roman" w:hAnsi="Times New Roman" w:cs="Times New Roman"/>
          <w:b/>
          <w:sz w:val="18"/>
          <w:szCs w:val="18"/>
        </w:rPr>
      </w:pPr>
      <w:r>
        <w:rPr>
          <w:rFonts w:ascii="Times New Roman" w:hAnsi="Times New Roman" w:cs="Times New Roman"/>
          <w:sz w:val="18"/>
          <w:szCs w:val="18"/>
        </w:rPr>
        <w:t>Source: Space bulletin EPO 1978-2008 and own elaboration</w:t>
      </w:r>
      <w:r>
        <w:rPr>
          <w:rFonts w:ascii="Times New Roman" w:hAnsi="Times New Roman" w:cs="Times New Roman"/>
          <w:b/>
          <w:sz w:val="18"/>
          <w:szCs w:val="18"/>
        </w:rPr>
        <w:t>.</w:t>
      </w:r>
    </w:p>
    <w:p w:rsidR="00490ED7" w:rsidRDefault="00490ED7" w:rsidP="0001659F">
      <w:pPr>
        <w:pStyle w:val="Corpodetexto"/>
        <w:tabs>
          <w:tab w:val="left" w:pos="2694"/>
        </w:tabs>
        <w:ind w:firstLine="0"/>
        <w:contextualSpacing/>
        <w:rPr>
          <w:rFonts w:ascii="Times New Roman" w:hAnsi="Times New Roman" w:cs="Times New Roman"/>
          <w:b/>
        </w:rPr>
      </w:pPr>
    </w:p>
    <w:p w:rsidR="00FD6A48" w:rsidRDefault="00FD6A48" w:rsidP="00847EEA">
      <w:pPr>
        <w:pStyle w:val="Corpodetexto"/>
        <w:tabs>
          <w:tab w:val="left" w:pos="2694"/>
        </w:tabs>
        <w:ind w:firstLine="0"/>
        <w:contextualSpacing/>
        <w:jc w:val="center"/>
        <w:rPr>
          <w:rFonts w:ascii="Times New Roman" w:hAnsi="Times New Roman" w:cs="Times New Roman"/>
        </w:rPr>
      </w:pPr>
      <w:r>
        <w:rPr>
          <w:rFonts w:ascii="Times New Roman" w:hAnsi="Times New Roman" w:cs="Times New Roman"/>
          <w:b/>
        </w:rPr>
        <w:t xml:space="preserve">Graph 2.- Evolution of </w:t>
      </w:r>
      <w:r>
        <w:rPr>
          <w:rFonts w:ascii="Times New Roman" w:hAnsi="Times New Roman" w:cs="Times New Roman"/>
          <w:b/>
        </w:rPr>
        <w:sym w:font="Symbol" w:char="0063"/>
      </w:r>
      <w:r>
        <w:rPr>
          <w:rFonts w:ascii="Times New Roman" w:hAnsi="Times New Roman" w:cs="Times New Roman"/>
          <w:b/>
          <w:vertAlign w:val="superscript"/>
        </w:rPr>
        <w:t>2</w:t>
      </w:r>
      <w:r>
        <w:rPr>
          <w:rFonts w:ascii="Times New Roman" w:hAnsi="Times New Roman" w:cs="Times New Roman"/>
          <w:color w:val="FF0000"/>
        </w:rPr>
        <w:t xml:space="preserve"> </w:t>
      </w:r>
      <w:r>
        <w:rPr>
          <w:rFonts w:ascii="Times New Roman" w:hAnsi="Times New Roman" w:cs="Times New Roman"/>
          <w:b/>
        </w:rPr>
        <w:t xml:space="preserve"> before and after monetary union.UE-15 and Latinamerica</w:t>
      </w:r>
    </w:p>
    <w:p w:rsidR="00FD6A48" w:rsidRDefault="00FD6A48" w:rsidP="00847EEA">
      <w:pPr>
        <w:pStyle w:val="Corpodetexto"/>
        <w:ind w:firstLine="0"/>
        <w:jc w:val="center"/>
        <w:rPr>
          <w:rFonts w:ascii="Times New Roman" w:hAnsi="Times New Roman" w:cs="Times New Roman"/>
          <w:b/>
        </w:rPr>
      </w:pPr>
      <w:r>
        <w:rPr>
          <w:rFonts w:ascii="Times New Roman" w:hAnsi="Times New Roman" w:cs="Times New Roman"/>
          <w:b/>
          <w:noProof/>
          <w:lang w:val="pt-BR"/>
        </w:rPr>
        <w:drawing>
          <wp:inline distT="0" distB="0" distL="0" distR="0">
            <wp:extent cx="1888236" cy="2237232"/>
            <wp:effectExtent l="19050" t="0" r="16764" b="0"/>
            <wp:docPr id="8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cs="Times New Roman"/>
          <w:b/>
          <w:noProof/>
          <w:lang w:val="pt-BR"/>
        </w:rPr>
        <w:drawing>
          <wp:inline distT="0" distB="0" distL="0" distR="0">
            <wp:extent cx="1913382" cy="2237232"/>
            <wp:effectExtent l="19050" t="0" r="10668" b="0"/>
            <wp:docPr id="8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A1F70" w:rsidRPr="009A1F70">
        <w:rPr>
          <w:noProof/>
          <w:lang w:val="pt-BR"/>
        </w:rPr>
        <w:drawing>
          <wp:inline distT="0" distB="0" distL="0" distR="0">
            <wp:extent cx="1808353" cy="2212848"/>
            <wp:effectExtent l="19050" t="0" r="20447"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56E4" w:rsidRDefault="00FD6A48" w:rsidP="00847EEA">
      <w:pPr>
        <w:pStyle w:val="Corpodetexto"/>
        <w:ind w:left="709" w:firstLine="0"/>
        <w:rPr>
          <w:rFonts w:ascii="Times New Roman" w:hAnsi="Times New Roman" w:cs="Times New Roman"/>
        </w:rPr>
      </w:pPr>
      <w:r>
        <w:rPr>
          <w:rFonts w:ascii="Times New Roman" w:hAnsi="Times New Roman" w:cs="Times New Roman"/>
          <w:sz w:val="18"/>
          <w:szCs w:val="18"/>
        </w:rPr>
        <w:t>Source: Space bulletin EPO 1978-2008 and own elaboration</w:t>
      </w:r>
    </w:p>
    <w:p w:rsidR="001556E4" w:rsidRDefault="001556E4" w:rsidP="0001659F">
      <w:pPr>
        <w:pStyle w:val="Corpodetexto"/>
        <w:rPr>
          <w:rFonts w:ascii="Times New Roman" w:hAnsi="Times New Roman" w:cs="Times New Roman"/>
        </w:rPr>
      </w:pPr>
    </w:p>
    <w:p w:rsidR="00847EEA" w:rsidRDefault="00847EEA" w:rsidP="00847EEA">
      <w:pPr>
        <w:pStyle w:val="Corpodetexto"/>
        <w:tabs>
          <w:tab w:val="left" w:pos="2694"/>
        </w:tabs>
        <w:rPr>
          <w:rFonts w:ascii="Times New Roman" w:hAnsi="Times New Roman" w:cs="Times New Roman"/>
        </w:rPr>
      </w:pPr>
      <w:r>
        <w:rPr>
          <w:rFonts w:ascii="Times New Roman" w:hAnsi="Times New Roman" w:cs="Times New Roman"/>
        </w:rPr>
        <w:t>T</w:t>
      </w:r>
      <w:r w:rsidRPr="00007658">
        <w:rPr>
          <w:rFonts w:ascii="Times New Roman" w:hAnsi="Times New Roman" w:cs="Times New Roman"/>
        </w:rPr>
        <w:t>he results are reported in Grap</w:t>
      </w:r>
      <w:r>
        <w:rPr>
          <w:rFonts w:ascii="Times New Roman" w:hAnsi="Times New Roman" w:cs="Times New Roman"/>
        </w:rPr>
        <w:t>hs</w:t>
      </w:r>
      <w:r w:rsidRPr="00007658">
        <w:rPr>
          <w:rFonts w:ascii="Times New Roman" w:hAnsi="Times New Roman" w:cs="Times New Roman"/>
        </w:rPr>
        <w:t xml:space="preserve"> 1</w:t>
      </w:r>
      <w:r>
        <w:rPr>
          <w:rFonts w:ascii="Times New Roman" w:hAnsi="Times New Roman" w:cs="Times New Roman"/>
        </w:rPr>
        <w:t xml:space="preserve"> and 2</w:t>
      </w:r>
      <w:r w:rsidRPr="00007658">
        <w:rPr>
          <w:rFonts w:ascii="Times New Roman" w:hAnsi="Times New Roman" w:cs="Times New Roman"/>
        </w:rPr>
        <w:t xml:space="preserve">. Leader countries increased moderately their distances </w:t>
      </w:r>
      <w:r>
        <w:rPr>
          <w:rFonts w:ascii="Times New Roman" w:hAnsi="Times New Roman" w:cs="Times New Roman"/>
        </w:rPr>
        <w:t xml:space="preserve">with </w:t>
      </w:r>
      <w:r w:rsidRPr="00007658">
        <w:rPr>
          <w:rFonts w:ascii="Times New Roman" w:hAnsi="Times New Roman" w:cs="Times New Roman"/>
        </w:rPr>
        <w:t>respect to the UE-15</w:t>
      </w:r>
      <w:r w:rsidRPr="00007658">
        <w:rPr>
          <w:rStyle w:val="Refdenotaderodap"/>
          <w:rFonts w:ascii="Times New Roman" w:hAnsi="Times New Roman"/>
        </w:rPr>
        <w:footnoteReference w:id="5"/>
      </w:r>
      <w:r w:rsidRPr="00007658">
        <w:rPr>
          <w:rFonts w:ascii="Times New Roman" w:hAnsi="Times New Roman" w:cs="Times New Roman"/>
        </w:rPr>
        <w:t xml:space="preserve"> area after the integratio</w:t>
      </w:r>
      <w:r>
        <w:rPr>
          <w:rFonts w:ascii="Times New Roman" w:hAnsi="Times New Roman" w:cs="Times New Roman"/>
        </w:rPr>
        <w:t>n, going from a mean value of 0.</w:t>
      </w:r>
      <w:r w:rsidRPr="00007658">
        <w:rPr>
          <w:rFonts w:ascii="Times New Roman" w:hAnsi="Times New Roman" w:cs="Times New Roman"/>
        </w:rPr>
        <w:t>13 to 0</w:t>
      </w:r>
      <w:r>
        <w:rPr>
          <w:rFonts w:ascii="Times New Roman" w:hAnsi="Times New Roman" w:cs="Times New Roman"/>
        </w:rPr>
        <w:t>.</w:t>
      </w:r>
      <w:r w:rsidRPr="00007658">
        <w:rPr>
          <w:rFonts w:ascii="Times New Roman" w:hAnsi="Times New Roman" w:cs="Times New Roman"/>
        </w:rPr>
        <w:t xml:space="preserve">17. </w:t>
      </w:r>
      <w:smartTag w:uri="urn:schemas-microsoft-com:office:smarttags" w:element="country-region">
        <w:r w:rsidRPr="00007658">
          <w:rPr>
            <w:rFonts w:ascii="Times New Roman" w:hAnsi="Times New Roman" w:cs="Times New Roman"/>
          </w:rPr>
          <w:t>Germany</w:t>
        </w:r>
      </w:smartTag>
      <w:r w:rsidRPr="00007658">
        <w:rPr>
          <w:rFonts w:ascii="Times New Roman" w:hAnsi="Times New Roman" w:cs="Times New Roman"/>
        </w:rPr>
        <w:t xml:space="preserve"> and </w:t>
      </w:r>
      <w:smartTag w:uri="urn:schemas-microsoft-com:office:smarttags" w:element="country-region">
        <w:smartTag w:uri="urn:schemas-microsoft-com:office:smarttags" w:element="place">
          <w:r w:rsidRPr="00007658">
            <w:rPr>
              <w:rFonts w:ascii="Times New Roman" w:hAnsi="Times New Roman" w:cs="Times New Roman"/>
            </w:rPr>
            <w:t>France</w:t>
          </w:r>
        </w:smartTag>
      </w:smartTag>
      <w:r w:rsidRPr="00007658">
        <w:rPr>
          <w:rFonts w:ascii="Times New Roman" w:hAnsi="Times New Roman" w:cs="Times New Roman"/>
        </w:rPr>
        <w:t xml:space="preserve"> registered small differences. </w:t>
      </w:r>
      <w:smartTag w:uri="urn:schemas-microsoft-com:office:smarttags" w:element="country-region">
        <w:smartTag w:uri="urn:schemas-microsoft-com:office:smarttags" w:element="place">
          <w:r w:rsidRPr="00007658">
            <w:rPr>
              <w:rFonts w:ascii="Times New Roman" w:hAnsi="Times New Roman" w:cs="Times New Roman"/>
            </w:rPr>
            <w:t>Great Britain</w:t>
          </w:r>
        </w:smartTag>
      </w:smartTag>
      <w:r w:rsidRPr="00007658">
        <w:rPr>
          <w:rFonts w:ascii="Times New Roman" w:hAnsi="Times New Roman" w:cs="Times New Roman"/>
        </w:rPr>
        <w:t xml:space="preserve"> show</w:t>
      </w:r>
      <w:r>
        <w:rPr>
          <w:rFonts w:ascii="Times New Roman" w:hAnsi="Times New Roman" w:cs="Times New Roman"/>
        </w:rPr>
        <w:t>ed</w:t>
      </w:r>
      <w:r w:rsidRPr="00007658">
        <w:rPr>
          <w:rFonts w:ascii="Times New Roman" w:hAnsi="Times New Roman" w:cs="Times New Roman"/>
        </w:rPr>
        <w:t xml:space="preserve"> the </w:t>
      </w:r>
      <w:r w:rsidRPr="002A172B">
        <w:rPr>
          <w:rFonts w:ascii="Times New Roman" w:hAnsi="Times New Roman" w:cs="Times New Roman"/>
        </w:rPr>
        <w:t>greatest increase in distance from 0.19 to 0.28. Medium countries show a moderate aggregate tendency towards convergence, which hides opposite tendencies by country. Austria, Bel-lux, Finland and Sweden followed convergence paths; Netherland</w:t>
      </w:r>
      <w:r>
        <w:rPr>
          <w:rFonts w:ascii="Times New Roman" w:hAnsi="Times New Roman" w:cs="Times New Roman"/>
        </w:rPr>
        <w:t>s</w:t>
      </w:r>
      <w:r w:rsidRPr="002A172B">
        <w:rPr>
          <w:rFonts w:ascii="Times New Roman" w:hAnsi="Times New Roman" w:cs="Times New Roman"/>
        </w:rPr>
        <w:t xml:space="preserve"> and Italy followed a divergence trajectory and Denmark remained its position. Delayed </w:t>
      </w:r>
      <w:r w:rsidRPr="002A172B">
        <w:rPr>
          <w:rFonts w:ascii="Times New Roman" w:hAnsi="Times New Roman" w:cs="Times New Roman"/>
        </w:rPr>
        <w:lastRenderedPageBreak/>
        <w:t xml:space="preserve">countries showed strong path to convergence, specially high in Portugal. The initial level of technological activity of Portugal was very low and involved </w:t>
      </w:r>
      <w:r>
        <w:rPr>
          <w:rFonts w:ascii="Times New Roman" w:hAnsi="Times New Roman" w:cs="Times New Roman"/>
        </w:rPr>
        <w:t xml:space="preserve">in a very </w:t>
      </w:r>
      <w:r w:rsidRPr="002A172B">
        <w:rPr>
          <w:rFonts w:ascii="Times New Roman" w:hAnsi="Times New Roman" w:cs="Times New Roman"/>
        </w:rPr>
        <w:t xml:space="preserve">few </w:t>
      </w:r>
      <w:r>
        <w:rPr>
          <w:rFonts w:ascii="Times New Roman" w:hAnsi="Times New Roman" w:cs="Times New Roman"/>
        </w:rPr>
        <w:t xml:space="preserve">number of </w:t>
      </w:r>
      <w:r w:rsidRPr="002A172B">
        <w:rPr>
          <w:rFonts w:ascii="Times New Roman" w:hAnsi="Times New Roman" w:cs="Times New Roman"/>
        </w:rPr>
        <w:t>technical</w:t>
      </w:r>
      <w:r w:rsidRPr="00007658">
        <w:rPr>
          <w:rFonts w:ascii="Times New Roman" w:hAnsi="Times New Roman" w:cs="Times New Roman"/>
        </w:rPr>
        <w:t xml:space="preserve"> fields</w:t>
      </w:r>
      <w:r>
        <w:rPr>
          <w:rFonts w:ascii="Times New Roman" w:hAnsi="Times New Roman" w:cs="Times New Roman"/>
        </w:rPr>
        <w:t>. Thus,</w:t>
      </w:r>
      <w:r w:rsidRPr="00007658">
        <w:rPr>
          <w:rFonts w:ascii="Times New Roman" w:hAnsi="Times New Roman" w:cs="Times New Roman"/>
        </w:rPr>
        <w:t xml:space="preserve"> </w:t>
      </w:r>
      <w:r>
        <w:rPr>
          <w:rFonts w:ascii="Times New Roman" w:hAnsi="Times New Roman" w:cs="Times New Roman"/>
        </w:rPr>
        <w:t xml:space="preserve">some low performance </w:t>
      </w:r>
      <w:r w:rsidRPr="00007658">
        <w:rPr>
          <w:rFonts w:ascii="Times New Roman" w:hAnsi="Times New Roman" w:cs="Times New Roman"/>
        </w:rPr>
        <w:t xml:space="preserve">activities represented </w:t>
      </w:r>
      <w:r>
        <w:rPr>
          <w:rFonts w:ascii="Times New Roman" w:hAnsi="Times New Roman" w:cs="Times New Roman"/>
        </w:rPr>
        <w:t xml:space="preserve">high </w:t>
      </w:r>
      <w:r w:rsidRPr="00007658">
        <w:rPr>
          <w:rFonts w:ascii="Times New Roman" w:hAnsi="Times New Roman" w:cs="Times New Roman"/>
        </w:rPr>
        <w:t xml:space="preserve">shares by </w:t>
      </w:r>
      <w:r>
        <w:rPr>
          <w:rFonts w:ascii="Times New Roman" w:hAnsi="Times New Roman" w:cs="Times New Roman"/>
        </w:rPr>
        <w:t xml:space="preserve">of the country’s total effort diverging in </w:t>
      </w:r>
      <w:r w:rsidRPr="00007658">
        <w:rPr>
          <w:rFonts w:ascii="Times New Roman" w:hAnsi="Times New Roman" w:cs="Times New Roman"/>
        </w:rPr>
        <w:t xml:space="preserve">respect to UE-15. After integration, Portugal </w:t>
      </w:r>
      <w:r>
        <w:rPr>
          <w:rFonts w:ascii="Times New Roman" w:hAnsi="Times New Roman" w:cs="Times New Roman"/>
        </w:rPr>
        <w:t>d</w:t>
      </w:r>
      <w:r w:rsidRPr="00007658">
        <w:rPr>
          <w:rFonts w:ascii="Times New Roman" w:hAnsi="Times New Roman" w:cs="Times New Roman"/>
        </w:rPr>
        <w:t>istribut</w:t>
      </w:r>
      <w:r>
        <w:rPr>
          <w:rFonts w:ascii="Times New Roman" w:hAnsi="Times New Roman" w:cs="Times New Roman"/>
        </w:rPr>
        <w:t>ed</w:t>
      </w:r>
      <w:r w:rsidRPr="00007658">
        <w:rPr>
          <w:rFonts w:ascii="Times New Roman" w:hAnsi="Times New Roman" w:cs="Times New Roman"/>
        </w:rPr>
        <w:t xml:space="preserve"> its technological activity across a </w:t>
      </w:r>
      <w:r>
        <w:rPr>
          <w:rFonts w:ascii="Times New Roman" w:hAnsi="Times New Roman" w:cs="Times New Roman"/>
        </w:rPr>
        <w:t>larger</w:t>
      </w:r>
      <w:r w:rsidRPr="00007658">
        <w:rPr>
          <w:rFonts w:ascii="Times New Roman" w:hAnsi="Times New Roman" w:cs="Times New Roman"/>
        </w:rPr>
        <w:t xml:space="preserve"> number of technical fields and this allowed it to reduce significa</w:t>
      </w:r>
      <w:r>
        <w:rPr>
          <w:rFonts w:ascii="Times New Roman" w:hAnsi="Times New Roman" w:cs="Times New Roman"/>
        </w:rPr>
        <w:t>nt</w:t>
      </w:r>
      <w:r w:rsidRPr="00007658">
        <w:rPr>
          <w:rFonts w:ascii="Times New Roman" w:hAnsi="Times New Roman" w:cs="Times New Roman"/>
        </w:rPr>
        <w:t>ly its distances</w:t>
      </w:r>
      <w:r>
        <w:rPr>
          <w:rFonts w:ascii="Times New Roman" w:hAnsi="Times New Roman" w:cs="Times New Roman"/>
        </w:rPr>
        <w:t xml:space="preserve"> towards the reference </w:t>
      </w:r>
      <w:r w:rsidRPr="00D14E21">
        <w:rPr>
          <w:rFonts w:ascii="Times New Roman" w:hAnsi="Times New Roman" w:cs="Times New Roman"/>
        </w:rPr>
        <w:t>area</w:t>
      </w:r>
      <w:r>
        <w:rPr>
          <w:rFonts w:ascii="Times New Roman" w:hAnsi="Times New Roman" w:cs="Times New Roman"/>
        </w:rPr>
        <w:t xml:space="preserve"> (Graphs 1 and 2). </w:t>
      </w:r>
    </w:p>
    <w:p w:rsidR="00BA52D0" w:rsidRPr="00847EEA" w:rsidRDefault="00847EEA" w:rsidP="00DC6D49">
      <w:pPr>
        <w:pStyle w:val="Corpodetexto"/>
        <w:tabs>
          <w:tab w:val="left" w:pos="2694"/>
        </w:tabs>
        <w:rPr>
          <w:rFonts w:ascii="Times New Roman" w:hAnsi="Times New Roman" w:cs="Times New Roman"/>
        </w:rPr>
      </w:pPr>
      <w:r>
        <w:rPr>
          <w:rFonts w:ascii="Times New Roman" w:hAnsi="Times New Roman" w:cs="Times New Roman"/>
        </w:rPr>
        <w:t>L</w:t>
      </w:r>
      <w:r w:rsidRPr="00007658">
        <w:rPr>
          <w:rFonts w:ascii="Times New Roman" w:hAnsi="Times New Roman" w:cs="Times New Roman"/>
        </w:rPr>
        <w:t>atin American countries show tendencies to convergence, although with different intensities</w:t>
      </w:r>
      <w:r>
        <w:rPr>
          <w:rFonts w:ascii="Times New Roman" w:hAnsi="Times New Roman" w:cs="Times New Roman"/>
        </w:rPr>
        <w:t>.</w:t>
      </w:r>
      <w:r w:rsidRPr="00007658">
        <w:rPr>
          <w:rFonts w:ascii="Times New Roman" w:hAnsi="Times New Roman" w:cs="Times New Roman"/>
        </w:rPr>
        <w:t xml:space="preserve"> </w:t>
      </w:r>
      <w:smartTag w:uri="urn:schemas-microsoft-com:office:smarttags" w:element="country-region">
        <w:smartTag w:uri="urn:schemas-microsoft-com:office:smarttags" w:element="place">
          <w:r w:rsidRPr="00007658">
            <w:rPr>
              <w:rFonts w:ascii="Times New Roman" w:hAnsi="Times New Roman" w:cs="Times New Roman"/>
            </w:rPr>
            <w:t>Chile</w:t>
          </w:r>
        </w:smartTag>
      </w:smartTag>
      <w:r>
        <w:rPr>
          <w:rFonts w:ascii="Times New Roman" w:hAnsi="Times New Roman" w:cs="Times New Roman"/>
        </w:rPr>
        <w:t>’s large</w:t>
      </w:r>
      <w:r w:rsidRPr="00007658">
        <w:rPr>
          <w:rFonts w:ascii="Times New Roman" w:hAnsi="Times New Roman" w:cs="Times New Roman"/>
        </w:rPr>
        <w:t xml:space="preserve"> distance </w:t>
      </w:r>
      <w:r>
        <w:rPr>
          <w:rFonts w:ascii="Times New Roman" w:hAnsi="Times New Roman" w:cs="Times New Roman"/>
        </w:rPr>
        <w:t xml:space="preserve">from the </w:t>
      </w:r>
      <w:r w:rsidRPr="00007658">
        <w:rPr>
          <w:rFonts w:ascii="Times New Roman" w:hAnsi="Times New Roman" w:cs="Times New Roman"/>
        </w:rPr>
        <w:t xml:space="preserve">world </w:t>
      </w:r>
      <w:r>
        <w:rPr>
          <w:rFonts w:ascii="Times New Roman" w:hAnsi="Times New Roman" w:cs="Times New Roman"/>
        </w:rPr>
        <w:t xml:space="preserve">reference </w:t>
      </w:r>
      <w:r w:rsidRPr="00007658">
        <w:rPr>
          <w:rFonts w:ascii="Times New Roman" w:hAnsi="Times New Roman" w:cs="Times New Roman"/>
        </w:rPr>
        <w:t>(35</w:t>
      </w:r>
      <w:r>
        <w:rPr>
          <w:rFonts w:ascii="Times New Roman" w:hAnsi="Times New Roman" w:cs="Times New Roman"/>
        </w:rPr>
        <w:t>.</w:t>
      </w:r>
      <w:r w:rsidRPr="00007658">
        <w:rPr>
          <w:rFonts w:ascii="Times New Roman" w:hAnsi="Times New Roman" w:cs="Times New Roman"/>
        </w:rPr>
        <w:t xml:space="preserve">2) was reduced almost to half </w:t>
      </w:r>
      <w:r>
        <w:rPr>
          <w:rFonts w:ascii="Times New Roman" w:hAnsi="Times New Roman" w:cs="Times New Roman"/>
        </w:rPr>
        <w:t xml:space="preserve">of its initial </w:t>
      </w:r>
      <w:r w:rsidRPr="00007658">
        <w:rPr>
          <w:rFonts w:ascii="Times New Roman" w:hAnsi="Times New Roman" w:cs="Times New Roman"/>
        </w:rPr>
        <w:t>value (19</w:t>
      </w:r>
      <w:r>
        <w:rPr>
          <w:rFonts w:ascii="Times New Roman" w:hAnsi="Times New Roman" w:cs="Times New Roman"/>
        </w:rPr>
        <w:t>.</w:t>
      </w:r>
      <w:r w:rsidRPr="00007658">
        <w:rPr>
          <w:rFonts w:ascii="Times New Roman" w:hAnsi="Times New Roman" w:cs="Times New Roman"/>
        </w:rPr>
        <w:t>2). Argentina and Mexico, with lower initial distance</w:t>
      </w:r>
      <w:r>
        <w:rPr>
          <w:rFonts w:ascii="Times New Roman" w:hAnsi="Times New Roman" w:cs="Times New Roman"/>
        </w:rPr>
        <w:t>s</w:t>
      </w:r>
      <w:r w:rsidRPr="00007658">
        <w:rPr>
          <w:rFonts w:ascii="Times New Roman" w:hAnsi="Times New Roman" w:cs="Times New Roman"/>
        </w:rPr>
        <w:t xml:space="preserve">, also diminish </w:t>
      </w:r>
      <w:r w:rsidRPr="007E5D89">
        <w:rPr>
          <w:rFonts w:ascii="Times New Roman" w:hAnsi="Times New Roman" w:cs="Times New Roman"/>
        </w:rPr>
        <w:t>their</w:t>
      </w:r>
      <w:r w:rsidRPr="00007658">
        <w:rPr>
          <w:rFonts w:ascii="Times New Roman" w:hAnsi="Times New Roman" w:cs="Times New Roman"/>
        </w:rPr>
        <w:t xml:space="preserve"> aggregate differences with the world, going from 8</w:t>
      </w:r>
      <w:r>
        <w:rPr>
          <w:rFonts w:ascii="Times New Roman" w:hAnsi="Times New Roman" w:cs="Times New Roman"/>
        </w:rPr>
        <w:t>.</w:t>
      </w:r>
      <w:r w:rsidRPr="00007658">
        <w:rPr>
          <w:rFonts w:ascii="Times New Roman" w:hAnsi="Times New Roman" w:cs="Times New Roman"/>
        </w:rPr>
        <w:t>9 and 7</w:t>
      </w:r>
      <w:r>
        <w:rPr>
          <w:rFonts w:ascii="Times New Roman" w:hAnsi="Times New Roman" w:cs="Times New Roman"/>
        </w:rPr>
        <w:t>.9 pre-integration values to 2.</w:t>
      </w:r>
      <w:r w:rsidRPr="00007658">
        <w:rPr>
          <w:rFonts w:ascii="Times New Roman" w:hAnsi="Times New Roman" w:cs="Times New Roman"/>
        </w:rPr>
        <w:t>4 and 3</w:t>
      </w:r>
      <w:r>
        <w:rPr>
          <w:rFonts w:ascii="Times New Roman" w:hAnsi="Times New Roman" w:cs="Times New Roman"/>
        </w:rPr>
        <w:t>.</w:t>
      </w:r>
      <w:r w:rsidRPr="00007658">
        <w:rPr>
          <w:rFonts w:ascii="Times New Roman" w:hAnsi="Times New Roman" w:cs="Times New Roman"/>
        </w:rPr>
        <w:t xml:space="preserve">7 post-integration values respectively. </w:t>
      </w:r>
      <w:smartTag w:uri="urn:schemas-microsoft-com:office:smarttags" w:element="country-region">
        <w:smartTag w:uri="urn:schemas-microsoft-com:office:smarttags" w:element="place">
          <w:r w:rsidRPr="00007658">
            <w:rPr>
              <w:rFonts w:ascii="Times New Roman" w:hAnsi="Times New Roman" w:cs="Times New Roman"/>
            </w:rPr>
            <w:t>Brazil</w:t>
          </w:r>
        </w:smartTag>
      </w:smartTag>
      <w:r w:rsidRPr="00007658">
        <w:rPr>
          <w:rFonts w:ascii="Times New Roman" w:hAnsi="Times New Roman" w:cs="Times New Roman"/>
        </w:rPr>
        <w:t xml:space="preserve"> did not register significant </w:t>
      </w:r>
      <w:r>
        <w:rPr>
          <w:rFonts w:ascii="Times New Roman" w:hAnsi="Times New Roman" w:cs="Times New Roman"/>
        </w:rPr>
        <w:t>changes</w:t>
      </w:r>
      <w:r w:rsidRPr="00007658">
        <w:rPr>
          <w:rFonts w:ascii="Times New Roman" w:hAnsi="Times New Roman" w:cs="Times New Roman"/>
        </w:rPr>
        <w:t xml:space="preserve">, going </w:t>
      </w:r>
      <w:r>
        <w:rPr>
          <w:rFonts w:ascii="Times New Roman" w:hAnsi="Times New Roman" w:cs="Times New Roman"/>
        </w:rPr>
        <w:t>from</w:t>
      </w:r>
      <w:r w:rsidRPr="00007658">
        <w:rPr>
          <w:rFonts w:ascii="Times New Roman" w:hAnsi="Times New Roman" w:cs="Times New Roman"/>
        </w:rPr>
        <w:t xml:space="preserve"> an initial value of 2</w:t>
      </w:r>
      <w:r>
        <w:rPr>
          <w:rFonts w:ascii="Times New Roman" w:hAnsi="Times New Roman" w:cs="Times New Roman"/>
        </w:rPr>
        <w:t>.</w:t>
      </w:r>
      <w:r w:rsidRPr="00007658">
        <w:rPr>
          <w:rFonts w:ascii="Times New Roman" w:hAnsi="Times New Roman" w:cs="Times New Roman"/>
        </w:rPr>
        <w:t xml:space="preserve">8 to a </w:t>
      </w:r>
      <w:r>
        <w:rPr>
          <w:rFonts w:ascii="Times New Roman" w:hAnsi="Times New Roman" w:cs="Times New Roman"/>
        </w:rPr>
        <w:t xml:space="preserve">final </w:t>
      </w:r>
      <w:r w:rsidRPr="00007658">
        <w:rPr>
          <w:rFonts w:ascii="Times New Roman" w:hAnsi="Times New Roman" w:cs="Times New Roman"/>
        </w:rPr>
        <w:t>value of 2</w:t>
      </w:r>
      <w:r>
        <w:rPr>
          <w:rFonts w:ascii="Times New Roman" w:hAnsi="Times New Roman" w:cs="Times New Roman"/>
        </w:rPr>
        <w:t>.</w:t>
      </w:r>
      <w:r w:rsidRPr="00007658">
        <w:rPr>
          <w:rFonts w:ascii="Times New Roman" w:hAnsi="Times New Roman" w:cs="Times New Roman"/>
        </w:rPr>
        <w:t>6.</w:t>
      </w:r>
    </w:p>
    <w:p w:rsidR="00C5105C" w:rsidRDefault="00C5105C" w:rsidP="00DC6D49">
      <w:pPr>
        <w:ind w:firstLine="0"/>
        <w:jc w:val="center"/>
        <w:rPr>
          <w:rFonts w:ascii="Times New Roman" w:hAnsi="Times New Roman" w:cs="Times New Roman"/>
        </w:rPr>
      </w:pPr>
      <w:r w:rsidRPr="00867154">
        <w:rPr>
          <w:rFonts w:ascii="Times New Roman" w:hAnsi="Times New Roman" w:cs="Times New Roman"/>
        </w:rPr>
        <w:t xml:space="preserve">Table </w:t>
      </w:r>
      <w:r w:rsidR="00DC6D49">
        <w:rPr>
          <w:rFonts w:ascii="Times New Roman" w:hAnsi="Times New Roman" w:cs="Times New Roman"/>
        </w:rPr>
        <w:t>3</w:t>
      </w:r>
      <w:r w:rsidRPr="00867154">
        <w:rPr>
          <w:rFonts w:ascii="Times New Roman" w:hAnsi="Times New Roman" w:cs="Times New Roman"/>
        </w:rPr>
        <w:t>. Association between convergence and technological dynamism.</w:t>
      </w:r>
    </w:p>
    <w:tbl>
      <w:tblPr>
        <w:tblW w:w="6156" w:type="dxa"/>
        <w:jc w:val="center"/>
        <w:tblInd w:w="70" w:type="dxa"/>
        <w:tblCellMar>
          <w:left w:w="70" w:type="dxa"/>
          <w:right w:w="70" w:type="dxa"/>
        </w:tblCellMar>
        <w:tblLook w:val="04A0"/>
      </w:tblPr>
      <w:tblGrid>
        <w:gridCol w:w="1208"/>
        <w:gridCol w:w="1035"/>
        <w:gridCol w:w="1481"/>
        <w:gridCol w:w="1186"/>
        <w:gridCol w:w="1246"/>
      </w:tblGrid>
      <w:tr w:rsidR="00BA52D0" w:rsidRPr="00BA52D0" w:rsidTr="00BA52D0">
        <w:trPr>
          <w:trHeight w:val="315"/>
          <w:jc w:val="center"/>
        </w:trPr>
        <w:tc>
          <w:tcPr>
            <w:tcW w:w="1208" w:type="dxa"/>
            <w:tcBorders>
              <w:top w:val="single" w:sz="8" w:space="0" w:color="auto"/>
              <w:left w:val="nil"/>
              <w:bottom w:val="single" w:sz="8" w:space="0" w:color="auto"/>
              <w:right w:val="single" w:sz="8" w:space="0" w:color="auto"/>
            </w:tcBorders>
            <w:shd w:val="clear" w:color="auto" w:fill="auto"/>
            <w:noWrap/>
            <w:vAlign w:val="bottom"/>
            <w:hideMark/>
          </w:tcPr>
          <w:p w:rsidR="00BA52D0" w:rsidRPr="00507EE4" w:rsidRDefault="00BA52D0" w:rsidP="00BA52D0">
            <w:pPr>
              <w:autoSpaceDE/>
              <w:autoSpaceDN/>
              <w:adjustRightInd/>
              <w:spacing w:before="0" w:after="0"/>
              <w:ind w:firstLine="0"/>
              <w:jc w:val="left"/>
              <w:rPr>
                <w:rFonts w:ascii="Calibri" w:hAnsi="Calibri" w:cs="Calibri"/>
                <w:color w:val="000000"/>
                <w:sz w:val="22"/>
                <w:szCs w:val="22"/>
                <w:lang w:eastAsia="es-ES"/>
              </w:rPr>
            </w:pPr>
            <w:r w:rsidRPr="00507EE4">
              <w:rPr>
                <w:rFonts w:ascii="Calibri" w:hAnsi="Calibri" w:cs="Calibri"/>
                <w:color w:val="000000"/>
                <w:sz w:val="22"/>
                <w:szCs w:val="22"/>
                <w:lang w:eastAsia="es-ES"/>
              </w:rPr>
              <w:t> </w:t>
            </w:r>
          </w:p>
        </w:tc>
        <w:tc>
          <w:tcPr>
            <w:tcW w:w="4948" w:type="dxa"/>
            <w:gridSpan w:val="4"/>
            <w:tcBorders>
              <w:top w:val="single" w:sz="8" w:space="0" w:color="auto"/>
              <w:left w:val="nil"/>
              <w:bottom w:val="single" w:sz="8" w:space="0" w:color="auto"/>
              <w:right w:val="nil"/>
            </w:tcBorders>
            <w:shd w:val="clear" w:color="auto" w:fill="auto"/>
            <w:noWrap/>
            <w:vAlign w:val="center"/>
            <w:hideMark/>
          </w:tcPr>
          <w:p w:rsidR="00BA52D0" w:rsidRPr="00BA52D0" w:rsidRDefault="00BA52D0" w:rsidP="00BA52D0">
            <w:pPr>
              <w:autoSpaceDE/>
              <w:autoSpaceDN/>
              <w:adjustRightInd/>
              <w:spacing w:before="0" w:after="0"/>
              <w:ind w:firstLine="0"/>
              <w:jc w:val="center"/>
              <w:rPr>
                <w:rFonts w:ascii="Times New Roman" w:hAnsi="Times New Roman" w:cs="Times New Roman"/>
                <w:color w:val="000000"/>
                <w:sz w:val="20"/>
                <w:szCs w:val="20"/>
                <w:lang w:eastAsia="es-ES"/>
              </w:rPr>
            </w:pPr>
            <w:r w:rsidRPr="00BA52D0">
              <w:rPr>
                <w:rFonts w:ascii="Times New Roman" w:hAnsi="Times New Roman" w:cs="Times New Roman"/>
                <w:color w:val="000000"/>
                <w:sz w:val="20"/>
                <w:szCs w:val="20"/>
                <w:lang w:eastAsia="es-ES"/>
              </w:rPr>
              <w:t xml:space="preserve">Pearson correlation indexes of </w:t>
            </w:r>
            <w:r w:rsidRPr="00BA52D0">
              <w:rPr>
                <w:rFonts w:ascii="Times New Roman" w:hAnsi="Times New Roman" w:cs="Times New Roman"/>
                <w:color w:val="000000"/>
                <w:sz w:val="20"/>
                <w:szCs w:val="20"/>
                <w:lang w:val="es-ES" w:eastAsia="es-ES"/>
              </w:rPr>
              <w:t>χ</w:t>
            </w:r>
            <w:r w:rsidRPr="00BA52D0">
              <w:rPr>
                <w:rFonts w:ascii="Times New Roman" w:hAnsi="Times New Roman" w:cs="Times New Roman"/>
                <w:color w:val="000000"/>
                <w:sz w:val="20"/>
                <w:szCs w:val="20"/>
                <w:vertAlign w:val="superscript"/>
                <w:lang w:eastAsia="es-ES"/>
              </w:rPr>
              <w:t>2</w:t>
            </w:r>
            <w:r w:rsidRPr="00BA52D0">
              <w:rPr>
                <w:rFonts w:ascii="Times New Roman" w:hAnsi="Times New Roman" w:cs="Times New Roman"/>
                <w:color w:val="000000"/>
                <w:sz w:val="20"/>
                <w:szCs w:val="20"/>
                <w:lang w:eastAsia="es-ES"/>
              </w:rPr>
              <w:t xml:space="preserve"> with:</w:t>
            </w:r>
          </w:p>
        </w:tc>
      </w:tr>
      <w:tr w:rsidR="00BA52D0" w:rsidRPr="00BA52D0" w:rsidTr="00BA52D0">
        <w:trPr>
          <w:trHeight w:val="525"/>
          <w:jc w:val="center"/>
        </w:trPr>
        <w:tc>
          <w:tcPr>
            <w:tcW w:w="1208" w:type="dxa"/>
            <w:tcBorders>
              <w:top w:val="nil"/>
              <w:left w:val="nil"/>
              <w:bottom w:val="single" w:sz="8" w:space="0" w:color="auto"/>
              <w:right w:val="single" w:sz="8" w:space="0" w:color="auto"/>
            </w:tcBorders>
            <w:shd w:val="clear" w:color="auto" w:fill="auto"/>
            <w:noWrap/>
            <w:vAlign w:val="bottom"/>
            <w:hideMark/>
          </w:tcPr>
          <w:p w:rsidR="00BA52D0" w:rsidRPr="00BA52D0" w:rsidRDefault="00BA52D0" w:rsidP="00BA52D0">
            <w:pPr>
              <w:autoSpaceDE/>
              <w:autoSpaceDN/>
              <w:adjustRightInd/>
              <w:spacing w:before="0" w:after="0"/>
              <w:ind w:firstLine="0"/>
              <w:jc w:val="left"/>
              <w:rPr>
                <w:rFonts w:ascii="Calibri" w:hAnsi="Calibri" w:cs="Calibri"/>
                <w:color w:val="000000"/>
                <w:sz w:val="22"/>
                <w:szCs w:val="22"/>
                <w:lang w:eastAsia="es-ES"/>
              </w:rPr>
            </w:pPr>
            <w:r w:rsidRPr="00BA52D0">
              <w:rPr>
                <w:rFonts w:ascii="Calibri" w:hAnsi="Calibri" w:cs="Calibri"/>
                <w:color w:val="000000"/>
                <w:sz w:val="22"/>
                <w:szCs w:val="22"/>
                <w:lang w:eastAsia="es-ES"/>
              </w:rPr>
              <w:t> </w:t>
            </w:r>
          </w:p>
        </w:tc>
        <w:tc>
          <w:tcPr>
            <w:tcW w:w="1035" w:type="dxa"/>
            <w:tcBorders>
              <w:top w:val="nil"/>
              <w:left w:val="nil"/>
              <w:bottom w:val="single" w:sz="8" w:space="0" w:color="auto"/>
              <w:right w:val="nil"/>
            </w:tcBorders>
            <w:shd w:val="clear" w:color="auto" w:fill="auto"/>
            <w:vAlign w:val="center"/>
            <w:hideMark/>
          </w:tcPr>
          <w:p w:rsidR="00BA52D0" w:rsidRPr="00BA52D0" w:rsidRDefault="00BA52D0" w:rsidP="00BA52D0">
            <w:pPr>
              <w:autoSpaceDE/>
              <w:autoSpaceDN/>
              <w:adjustRightInd/>
              <w:spacing w:before="0" w:after="0"/>
              <w:ind w:firstLine="0"/>
              <w:jc w:val="center"/>
              <w:rPr>
                <w:rFonts w:ascii="Times New Roman" w:hAnsi="Times New Roman" w:cs="Times New Roman"/>
                <w:color w:val="000000"/>
                <w:sz w:val="20"/>
                <w:szCs w:val="20"/>
                <w:lang w:val="es-ES" w:eastAsia="es-ES"/>
              </w:rPr>
            </w:pPr>
            <w:r w:rsidRPr="00BA52D0">
              <w:rPr>
                <w:rFonts w:ascii="Times New Roman" w:hAnsi="Times New Roman" w:cs="Times New Roman"/>
                <w:color w:val="000000"/>
                <w:sz w:val="20"/>
                <w:szCs w:val="20"/>
                <w:lang w:val="es-ES" w:eastAsia="es-ES"/>
              </w:rPr>
              <w:t>Total Effect</w:t>
            </w:r>
          </w:p>
        </w:tc>
        <w:tc>
          <w:tcPr>
            <w:tcW w:w="1481" w:type="dxa"/>
            <w:tcBorders>
              <w:top w:val="nil"/>
              <w:left w:val="nil"/>
              <w:bottom w:val="single" w:sz="8" w:space="0" w:color="auto"/>
              <w:right w:val="nil"/>
            </w:tcBorders>
            <w:shd w:val="clear" w:color="auto" w:fill="auto"/>
            <w:vAlign w:val="center"/>
            <w:hideMark/>
          </w:tcPr>
          <w:p w:rsidR="00BA52D0" w:rsidRPr="00BA52D0" w:rsidRDefault="00BA52D0" w:rsidP="00BA52D0">
            <w:pPr>
              <w:autoSpaceDE/>
              <w:autoSpaceDN/>
              <w:adjustRightInd/>
              <w:spacing w:before="0" w:after="0"/>
              <w:ind w:firstLine="0"/>
              <w:jc w:val="center"/>
              <w:rPr>
                <w:rFonts w:ascii="Times New Roman" w:hAnsi="Times New Roman" w:cs="Times New Roman"/>
                <w:color w:val="000000"/>
                <w:sz w:val="20"/>
                <w:szCs w:val="20"/>
                <w:lang w:val="es-ES" w:eastAsia="es-ES"/>
              </w:rPr>
            </w:pPr>
            <w:r w:rsidRPr="00BA52D0">
              <w:rPr>
                <w:rFonts w:ascii="Times New Roman" w:hAnsi="Times New Roman" w:cs="Times New Roman"/>
                <w:color w:val="000000"/>
                <w:sz w:val="20"/>
                <w:szCs w:val="20"/>
                <w:lang w:val="es-ES" w:eastAsia="es-ES"/>
              </w:rPr>
              <w:t>Technological Effect</w:t>
            </w:r>
          </w:p>
        </w:tc>
        <w:tc>
          <w:tcPr>
            <w:tcW w:w="1186" w:type="dxa"/>
            <w:tcBorders>
              <w:top w:val="nil"/>
              <w:left w:val="nil"/>
              <w:bottom w:val="single" w:sz="8" w:space="0" w:color="auto"/>
              <w:right w:val="nil"/>
            </w:tcBorders>
            <w:shd w:val="clear" w:color="auto" w:fill="auto"/>
            <w:vAlign w:val="center"/>
            <w:hideMark/>
          </w:tcPr>
          <w:p w:rsidR="00BA52D0" w:rsidRPr="00BA52D0" w:rsidRDefault="00BA52D0" w:rsidP="00BA52D0">
            <w:pPr>
              <w:autoSpaceDE/>
              <w:autoSpaceDN/>
              <w:adjustRightInd/>
              <w:spacing w:before="0" w:after="0"/>
              <w:ind w:firstLine="0"/>
              <w:jc w:val="center"/>
              <w:rPr>
                <w:rFonts w:ascii="Times New Roman" w:hAnsi="Times New Roman" w:cs="Times New Roman"/>
                <w:color w:val="000000"/>
                <w:sz w:val="20"/>
                <w:szCs w:val="20"/>
                <w:lang w:val="es-ES" w:eastAsia="es-ES"/>
              </w:rPr>
            </w:pPr>
            <w:r w:rsidRPr="00BA52D0">
              <w:rPr>
                <w:rFonts w:ascii="Times New Roman" w:hAnsi="Times New Roman" w:cs="Times New Roman"/>
                <w:color w:val="000000"/>
                <w:sz w:val="20"/>
                <w:szCs w:val="20"/>
                <w:lang w:val="es-ES" w:eastAsia="es-ES"/>
              </w:rPr>
              <w:t>Structural Effect</w:t>
            </w:r>
          </w:p>
        </w:tc>
        <w:tc>
          <w:tcPr>
            <w:tcW w:w="1246" w:type="dxa"/>
            <w:tcBorders>
              <w:top w:val="nil"/>
              <w:left w:val="nil"/>
              <w:bottom w:val="single" w:sz="8" w:space="0" w:color="auto"/>
              <w:right w:val="nil"/>
            </w:tcBorders>
            <w:shd w:val="clear" w:color="auto" w:fill="auto"/>
            <w:vAlign w:val="center"/>
            <w:hideMark/>
          </w:tcPr>
          <w:p w:rsidR="00BA52D0" w:rsidRPr="00BA52D0" w:rsidRDefault="00BA52D0" w:rsidP="00BA52D0">
            <w:pPr>
              <w:autoSpaceDE/>
              <w:autoSpaceDN/>
              <w:adjustRightInd/>
              <w:spacing w:before="0" w:after="0"/>
              <w:ind w:firstLine="0"/>
              <w:jc w:val="center"/>
              <w:rPr>
                <w:rFonts w:ascii="Times New Roman" w:hAnsi="Times New Roman" w:cs="Times New Roman"/>
                <w:color w:val="000000"/>
                <w:sz w:val="20"/>
                <w:szCs w:val="20"/>
                <w:lang w:val="es-ES" w:eastAsia="es-ES"/>
              </w:rPr>
            </w:pPr>
            <w:r w:rsidRPr="00BA52D0">
              <w:rPr>
                <w:rFonts w:ascii="Times New Roman" w:hAnsi="Times New Roman" w:cs="Times New Roman"/>
                <w:color w:val="000000"/>
                <w:sz w:val="20"/>
                <w:szCs w:val="20"/>
                <w:lang w:val="es-ES" w:eastAsia="es-ES"/>
              </w:rPr>
              <w:t>Adaptation Effect</w:t>
            </w:r>
          </w:p>
        </w:tc>
      </w:tr>
      <w:tr w:rsidR="00BA52D0" w:rsidRPr="00BA52D0" w:rsidTr="00BA52D0">
        <w:trPr>
          <w:trHeight w:val="300"/>
          <w:jc w:val="center"/>
        </w:trPr>
        <w:tc>
          <w:tcPr>
            <w:tcW w:w="1208" w:type="dxa"/>
            <w:tcBorders>
              <w:top w:val="nil"/>
              <w:left w:val="nil"/>
              <w:bottom w:val="nil"/>
              <w:right w:val="single" w:sz="8" w:space="0" w:color="auto"/>
            </w:tcBorders>
            <w:shd w:val="clear" w:color="auto" w:fill="auto"/>
            <w:noWrap/>
            <w:vAlign w:val="bottom"/>
            <w:hideMark/>
          </w:tcPr>
          <w:p w:rsidR="00BA52D0" w:rsidRPr="00BA52D0" w:rsidRDefault="00BA52D0" w:rsidP="00BA52D0">
            <w:pPr>
              <w:autoSpaceDE/>
              <w:autoSpaceDN/>
              <w:adjustRightInd/>
              <w:spacing w:before="0" w:after="0"/>
              <w:ind w:firstLine="0"/>
              <w:jc w:val="left"/>
              <w:rPr>
                <w:rFonts w:ascii="Times New Roman" w:hAnsi="Times New Roman" w:cs="Times New Roman"/>
                <w:color w:val="000000"/>
                <w:sz w:val="20"/>
                <w:szCs w:val="20"/>
                <w:lang w:val="es-ES" w:eastAsia="es-ES"/>
              </w:rPr>
            </w:pPr>
            <w:r w:rsidRPr="00BA52D0">
              <w:rPr>
                <w:rFonts w:ascii="Times New Roman" w:hAnsi="Times New Roman" w:cs="Times New Roman"/>
                <w:color w:val="000000"/>
                <w:sz w:val="20"/>
                <w:szCs w:val="20"/>
                <w:lang w:val="es-ES" w:eastAsia="es-ES"/>
              </w:rPr>
              <w:t>EU15</w:t>
            </w:r>
          </w:p>
        </w:tc>
        <w:tc>
          <w:tcPr>
            <w:tcW w:w="1035" w:type="dxa"/>
            <w:tcBorders>
              <w:top w:val="nil"/>
              <w:left w:val="nil"/>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color w:val="000000"/>
                <w:sz w:val="18"/>
                <w:szCs w:val="18"/>
                <w:lang w:val="es-ES" w:eastAsia="es-ES"/>
              </w:rPr>
            </w:pPr>
            <w:r w:rsidRPr="00BA52D0">
              <w:rPr>
                <w:rFonts w:ascii="Times New Roman" w:hAnsi="Times New Roman" w:cs="Times New Roman"/>
                <w:color w:val="000000"/>
                <w:sz w:val="18"/>
                <w:szCs w:val="18"/>
                <w:lang w:val="es-ES" w:eastAsia="es-ES"/>
              </w:rPr>
              <w:t>-0,753</w:t>
            </w:r>
          </w:p>
        </w:tc>
        <w:tc>
          <w:tcPr>
            <w:tcW w:w="1481" w:type="dxa"/>
            <w:tcBorders>
              <w:top w:val="nil"/>
              <w:left w:val="nil"/>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color w:val="000000"/>
                <w:sz w:val="18"/>
                <w:szCs w:val="18"/>
                <w:lang w:val="es-ES" w:eastAsia="es-ES"/>
              </w:rPr>
            </w:pPr>
            <w:r w:rsidRPr="00BA52D0">
              <w:rPr>
                <w:rFonts w:ascii="Times New Roman" w:hAnsi="Times New Roman" w:cs="Times New Roman"/>
                <w:color w:val="000000"/>
                <w:sz w:val="18"/>
                <w:szCs w:val="18"/>
                <w:lang w:val="es-ES" w:eastAsia="es-ES"/>
              </w:rPr>
              <w:t>-0,716</w:t>
            </w:r>
          </w:p>
        </w:tc>
        <w:tc>
          <w:tcPr>
            <w:tcW w:w="1186" w:type="dxa"/>
            <w:tcBorders>
              <w:top w:val="nil"/>
              <w:left w:val="nil"/>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color w:val="000000"/>
                <w:sz w:val="18"/>
                <w:szCs w:val="18"/>
                <w:lang w:val="es-ES" w:eastAsia="es-ES"/>
              </w:rPr>
            </w:pPr>
            <w:r w:rsidRPr="00BA52D0">
              <w:rPr>
                <w:rFonts w:ascii="Times New Roman" w:hAnsi="Times New Roman" w:cs="Times New Roman"/>
                <w:color w:val="000000"/>
                <w:sz w:val="18"/>
                <w:szCs w:val="18"/>
                <w:lang w:val="es-ES" w:eastAsia="es-ES"/>
              </w:rPr>
              <w:t>-0,461</w:t>
            </w:r>
          </w:p>
        </w:tc>
        <w:tc>
          <w:tcPr>
            <w:tcW w:w="1246" w:type="dxa"/>
            <w:tcBorders>
              <w:top w:val="nil"/>
              <w:left w:val="nil"/>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color w:val="000000"/>
                <w:sz w:val="18"/>
                <w:szCs w:val="18"/>
                <w:lang w:val="es-ES" w:eastAsia="es-ES"/>
              </w:rPr>
            </w:pPr>
            <w:r w:rsidRPr="00BA52D0">
              <w:rPr>
                <w:rFonts w:ascii="Times New Roman" w:hAnsi="Times New Roman" w:cs="Times New Roman"/>
                <w:color w:val="000000"/>
                <w:sz w:val="18"/>
                <w:szCs w:val="18"/>
                <w:lang w:val="es-ES" w:eastAsia="es-ES"/>
              </w:rPr>
              <w:t>-0,164</w:t>
            </w:r>
          </w:p>
        </w:tc>
      </w:tr>
      <w:tr w:rsidR="00BA52D0" w:rsidRPr="00BA52D0" w:rsidTr="00BA52D0">
        <w:trPr>
          <w:trHeight w:val="300"/>
          <w:jc w:val="center"/>
        </w:trPr>
        <w:tc>
          <w:tcPr>
            <w:tcW w:w="1208" w:type="dxa"/>
            <w:tcBorders>
              <w:top w:val="nil"/>
              <w:left w:val="nil"/>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left"/>
              <w:rPr>
                <w:rFonts w:ascii="Times New Roman" w:hAnsi="Times New Roman" w:cs="Times New Roman"/>
                <w:i/>
                <w:iCs/>
                <w:color w:val="000000"/>
                <w:sz w:val="20"/>
                <w:szCs w:val="20"/>
                <w:lang w:val="es-ES" w:eastAsia="es-ES"/>
              </w:rPr>
            </w:pPr>
            <w:r w:rsidRPr="00BA52D0">
              <w:rPr>
                <w:rFonts w:ascii="Times New Roman" w:hAnsi="Times New Roman" w:cs="Times New Roman"/>
                <w:i/>
                <w:iCs/>
                <w:color w:val="000000"/>
                <w:sz w:val="20"/>
                <w:szCs w:val="20"/>
                <w:lang w:val="es-ES" w:eastAsia="es-ES"/>
              </w:rPr>
              <w:t xml:space="preserve">    P-value</w:t>
            </w:r>
          </w:p>
        </w:tc>
        <w:tc>
          <w:tcPr>
            <w:tcW w:w="1035" w:type="dxa"/>
            <w:tcBorders>
              <w:top w:val="nil"/>
              <w:left w:val="single" w:sz="8" w:space="0" w:color="auto"/>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BA52D0">
              <w:rPr>
                <w:rFonts w:ascii="Times New Roman" w:hAnsi="Times New Roman" w:cs="Times New Roman"/>
                <w:i/>
                <w:iCs/>
                <w:color w:val="000000"/>
                <w:sz w:val="18"/>
                <w:szCs w:val="18"/>
                <w:lang w:val="es-ES" w:eastAsia="es-ES"/>
              </w:rPr>
              <w:t>(0,002)</w:t>
            </w:r>
          </w:p>
        </w:tc>
        <w:tc>
          <w:tcPr>
            <w:tcW w:w="1481" w:type="dxa"/>
            <w:tcBorders>
              <w:top w:val="nil"/>
              <w:left w:val="nil"/>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BA52D0">
              <w:rPr>
                <w:rFonts w:ascii="Times New Roman" w:hAnsi="Times New Roman" w:cs="Times New Roman"/>
                <w:i/>
                <w:iCs/>
                <w:color w:val="000000"/>
                <w:sz w:val="18"/>
                <w:szCs w:val="18"/>
                <w:lang w:val="es-ES" w:eastAsia="es-ES"/>
              </w:rPr>
              <w:t>(0,004)</w:t>
            </w:r>
          </w:p>
        </w:tc>
        <w:tc>
          <w:tcPr>
            <w:tcW w:w="1186" w:type="dxa"/>
            <w:tcBorders>
              <w:top w:val="nil"/>
              <w:left w:val="nil"/>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BA52D0">
              <w:rPr>
                <w:rFonts w:ascii="Times New Roman" w:hAnsi="Times New Roman" w:cs="Times New Roman"/>
                <w:i/>
                <w:iCs/>
                <w:color w:val="000000"/>
                <w:sz w:val="18"/>
                <w:szCs w:val="18"/>
                <w:lang w:val="es-ES" w:eastAsia="es-ES"/>
              </w:rPr>
              <w:t>(0,097)</w:t>
            </w:r>
          </w:p>
        </w:tc>
        <w:tc>
          <w:tcPr>
            <w:tcW w:w="1246" w:type="dxa"/>
            <w:tcBorders>
              <w:top w:val="nil"/>
              <w:left w:val="nil"/>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BA52D0">
              <w:rPr>
                <w:rFonts w:ascii="Times New Roman" w:hAnsi="Times New Roman" w:cs="Times New Roman"/>
                <w:i/>
                <w:iCs/>
                <w:color w:val="000000"/>
                <w:sz w:val="18"/>
                <w:szCs w:val="18"/>
                <w:lang w:val="es-ES" w:eastAsia="es-ES"/>
              </w:rPr>
              <w:t>(0,576)</w:t>
            </w:r>
          </w:p>
        </w:tc>
      </w:tr>
      <w:tr w:rsidR="00BA52D0" w:rsidRPr="00BA52D0" w:rsidTr="00BA52D0">
        <w:trPr>
          <w:trHeight w:val="300"/>
          <w:jc w:val="center"/>
        </w:trPr>
        <w:tc>
          <w:tcPr>
            <w:tcW w:w="1208" w:type="dxa"/>
            <w:tcBorders>
              <w:top w:val="nil"/>
              <w:left w:val="nil"/>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left"/>
              <w:rPr>
                <w:rFonts w:ascii="Times New Roman" w:hAnsi="Times New Roman" w:cs="Times New Roman"/>
                <w:color w:val="000000"/>
                <w:sz w:val="20"/>
                <w:szCs w:val="20"/>
                <w:lang w:val="es-ES" w:eastAsia="es-ES"/>
              </w:rPr>
            </w:pPr>
            <w:r w:rsidRPr="00BA52D0">
              <w:rPr>
                <w:rFonts w:ascii="Times New Roman" w:hAnsi="Times New Roman" w:cs="Times New Roman"/>
                <w:color w:val="000000"/>
                <w:sz w:val="20"/>
                <w:szCs w:val="20"/>
                <w:lang w:val="es-ES" w:eastAsia="es-ES"/>
              </w:rPr>
              <w:t>EU15+AL4</w:t>
            </w:r>
          </w:p>
        </w:tc>
        <w:tc>
          <w:tcPr>
            <w:tcW w:w="1035" w:type="dxa"/>
            <w:tcBorders>
              <w:top w:val="nil"/>
              <w:left w:val="single" w:sz="8" w:space="0" w:color="auto"/>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color w:val="000000"/>
                <w:sz w:val="18"/>
                <w:szCs w:val="18"/>
                <w:lang w:val="es-ES" w:eastAsia="es-ES"/>
              </w:rPr>
            </w:pPr>
            <w:r w:rsidRPr="00BA52D0">
              <w:rPr>
                <w:rFonts w:ascii="Times New Roman" w:hAnsi="Times New Roman" w:cs="Times New Roman"/>
                <w:color w:val="000000"/>
                <w:sz w:val="18"/>
                <w:szCs w:val="18"/>
                <w:lang w:val="es-ES" w:eastAsia="es-ES"/>
              </w:rPr>
              <w:t>-0,746</w:t>
            </w:r>
          </w:p>
        </w:tc>
        <w:tc>
          <w:tcPr>
            <w:tcW w:w="1481" w:type="dxa"/>
            <w:tcBorders>
              <w:top w:val="nil"/>
              <w:left w:val="nil"/>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color w:val="000000"/>
                <w:sz w:val="18"/>
                <w:szCs w:val="18"/>
                <w:lang w:val="es-ES" w:eastAsia="es-ES"/>
              </w:rPr>
            </w:pPr>
            <w:r w:rsidRPr="00BA52D0">
              <w:rPr>
                <w:rFonts w:ascii="Times New Roman" w:hAnsi="Times New Roman" w:cs="Times New Roman"/>
                <w:color w:val="000000"/>
                <w:sz w:val="18"/>
                <w:szCs w:val="18"/>
                <w:lang w:val="es-ES" w:eastAsia="es-ES"/>
              </w:rPr>
              <w:t>-0,678</w:t>
            </w:r>
          </w:p>
        </w:tc>
        <w:tc>
          <w:tcPr>
            <w:tcW w:w="1186" w:type="dxa"/>
            <w:tcBorders>
              <w:top w:val="nil"/>
              <w:left w:val="nil"/>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color w:val="000000"/>
                <w:sz w:val="18"/>
                <w:szCs w:val="18"/>
                <w:lang w:val="es-ES" w:eastAsia="es-ES"/>
              </w:rPr>
            </w:pPr>
            <w:r w:rsidRPr="00BA52D0">
              <w:rPr>
                <w:rFonts w:ascii="Times New Roman" w:hAnsi="Times New Roman" w:cs="Times New Roman"/>
                <w:color w:val="000000"/>
                <w:sz w:val="18"/>
                <w:szCs w:val="18"/>
                <w:lang w:val="es-ES" w:eastAsia="es-ES"/>
              </w:rPr>
              <w:t>-0,405</w:t>
            </w:r>
          </w:p>
        </w:tc>
        <w:tc>
          <w:tcPr>
            <w:tcW w:w="1246" w:type="dxa"/>
            <w:tcBorders>
              <w:top w:val="nil"/>
              <w:left w:val="nil"/>
              <w:bottom w:val="nil"/>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color w:val="000000"/>
                <w:sz w:val="18"/>
                <w:szCs w:val="18"/>
                <w:lang w:val="es-ES" w:eastAsia="es-ES"/>
              </w:rPr>
            </w:pPr>
            <w:r w:rsidRPr="00BA52D0">
              <w:rPr>
                <w:rFonts w:ascii="Times New Roman" w:hAnsi="Times New Roman" w:cs="Times New Roman"/>
                <w:color w:val="000000"/>
                <w:sz w:val="18"/>
                <w:szCs w:val="18"/>
                <w:lang w:val="es-ES" w:eastAsia="es-ES"/>
              </w:rPr>
              <w:t>0,184</w:t>
            </w:r>
          </w:p>
        </w:tc>
      </w:tr>
      <w:tr w:rsidR="00BA52D0" w:rsidRPr="00BA52D0" w:rsidTr="00BA52D0">
        <w:trPr>
          <w:trHeight w:val="315"/>
          <w:jc w:val="center"/>
        </w:trPr>
        <w:tc>
          <w:tcPr>
            <w:tcW w:w="1208" w:type="dxa"/>
            <w:tcBorders>
              <w:top w:val="nil"/>
              <w:left w:val="nil"/>
              <w:bottom w:val="single" w:sz="8" w:space="0" w:color="auto"/>
              <w:right w:val="nil"/>
            </w:tcBorders>
            <w:shd w:val="clear" w:color="auto" w:fill="auto"/>
            <w:noWrap/>
            <w:vAlign w:val="bottom"/>
            <w:hideMark/>
          </w:tcPr>
          <w:p w:rsidR="00BA52D0" w:rsidRPr="00BA52D0" w:rsidRDefault="00BA52D0" w:rsidP="00BA52D0">
            <w:pPr>
              <w:autoSpaceDE/>
              <w:autoSpaceDN/>
              <w:adjustRightInd/>
              <w:spacing w:before="0" w:after="0"/>
              <w:ind w:firstLine="0"/>
              <w:jc w:val="left"/>
              <w:rPr>
                <w:rFonts w:ascii="Times New Roman" w:hAnsi="Times New Roman" w:cs="Times New Roman"/>
                <w:color w:val="000000"/>
                <w:sz w:val="20"/>
                <w:szCs w:val="20"/>
                <w:lang w:val="es-ES" w:eastAsia="es-ES"/>
              </w:rPr>
            </w:pPr>
            <w:r w:rsidRPr="00BA52D0">
              <w:rPr>
                <w:rFonts w:ascii="Times New Roman" w:hAnsi="Times New Roman" w:cs="Times New Roman"/>
                <w:color w:val="000000"/>
                <w:sz w:val="20"/>
                <w:szCs w:val="20"/>
                <w:lang w:val="es-ES" w:eastAsia="es-ES"/>
              </w:rPr>
              <w:t xml:space="preserve">    P-value</w:t>
            </w:r>
          </w:p>
        </w:tc>
        <w:tc>
          <w:tcPr>
            <w:tcW w:w="1035" w:type="dxa"/>
            <w:tcBorders>
              <w:top w:val="nil"/>
              <w:left w:val="single" w:sz="8" w:space="0" w:color="auto"/>
              <w:bottom w:val="single" w:sz="8" w:space="0" w:color="auto"/>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BA52D0">
              <w:rPr>
                <w:rFonts w:ascii="Times New Roman" w:hAnsi="Times New Roman" w:cs="Times New Roman"/>
                <w:i/>
                <w:iCs/>
                <w:color w:val="000000"/>
                <w:sz w:val="18"/>
                <w:szCs w:val="18"/>
                <w:lang w:val="es-ES" w:eastAsia="es-ES"/>
              </w:rPr>
              <w:t>(0,000)</w:t>
            </w:r>
          </w:p>
        </w:tc>
        <w:tc>
          <w:tcPr>
            <w:tcW w:w="1481" w:type="dxa"/>
            <w:tcBorders>
              <w:top w:val="nil"/>
              <w:left w:val="nil"/>
              <w:bottom w:val="single" w:sz="8" w:space="0" w:color="auto"/>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BA52D0">
              <w:rPr>
                <w:rFonts w:ascii="Times New Roman" w:hAnsi="Times New Roman" w:cs="Times New Roman"/>
                <w:i/>
                <w:iCs/>
                <w:color w:val="000000"/>
                <w:sz w:val="18"/>
                <w:szCs w:val="18"/>
                <w:lang w:val="es-ES" w:eastAsia="es-ES"/>
              </w:rPr>
              <w:t>(0,002)</w:t>
            </w:r>
          </w:p>
        </w:tc>
        <w:tc>
          <w:tcPr>
            <w:tcW w:w="1186" w:type="dxa"/>
            <w:tcBorders>
              <w:top w:val="nil"/>
              <w:left w:val="nil"/>
              <w:bottom w:val="single" w:sz="8" w:space="0" w:color="auto"/>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BA52D0">
              <w:rPr>
                <w:rFonts w:ascii="Times New Roman" w:hAnsi="Times New Roman" w:cs="Times New Roman"/>
                <w:i/>
                <w:iCs/>
                <w:color w:val="000000"/>
                <w:sz w:val="18"/>
                <w:szCs w:val="18"/>
                <w:lang w:val="es-ES" w:eastAsia="es-ES"/>
              </w:rPr>
              <w:t>(0,095)</w:t>
            </w:r>
          </w:p>
        </w:tc>
        <w:tc>
          <w:tcPr>
            <w:tcW w:w="1246" w:type="dxa"/>
            <w:tcBorders>
              <w:top w:val="nil"/>
              <w:left w:val="nil"/>
              <w:bottom w:val="single" w:sz="8" w:space="0" w:color="auto"/>
              <w:right w:val="nil"/>
            </w:tcBorders>
            <w:shd w:val="clear" w:color="auto" w:fill="auto"/>
            <w:noWrap/>
            <w:vAlign w:val="bottom"/>
            <w:hideMark/>
          </w:tcPr>
          <w:p w:rsidR="00BA52D0" w:rsidRPr="00BA52D0" w:rsidRDefault="00BA52D0" w:rsidP="00BA52D0">
            <w:pPr>
              <w:autoSpaceDE/>
              <w:autoSpaceDN/>
              <w:adjustRightInd/>
              <w:spacing w:before="0" w:after="0"/>
              <w:ind w:firstLine="0"/>
              <w:jc w:val="center"/>
              <w:rPr>
                <w:rFonts w:ascii="Times New Roman" w:hAnsi="Times New Roman" w:cs="Times New Roman"/>
                <w:i/>
                <w:iCs/>
                <w:color w:val="000000"/>
                <w:sz w:val="18"/>
                <w:szCs w:val="18"/>
                <w:lang w:val="es-ES" w:eastAsia="es-ES"/>
              </w:rPr>
            </w:pPr>
            <w:r w:rsidRPr="00BA52D0">
              <w:rPr>
                <w:rFonts w:ascii="Times New Roman" w:hAnsi="Times New Roman" w:cs="Times New Roman"/>
                <w:i/>
                <w:iCs/>
                <w:color w:val="000000"/>
                <w:sz w:val="18"/>
                <w:szCs w:val="18"/>
                <w:lang w:val="es-ES" w:eastAsia="es-ES"/>
              </w:rPr>
              <w:t>(0,464)</w:t>
            </w:r>
          </w:p>
        </w:tc>
      </w:tr>
    </w:tbl>
    <w:p w:rsidR="00C5105C" w:rsidRPr="00007658" w:rsidRDefault="00C5105C" w:rsidP="00BA52D0">
      <w:pPr>
        <w:pStyle w:val="Corpodetexto"/>
        <w:ind w:left="1985" w:firstLine="0"/>
        <w:rPr>
          <w:rFonts w:ascii="Times New Roman" w:hAnsi="Times New Roman" w:cs="Times New Roman"/>
        </w:rPr>
      </w:pPr>
      <w:r w:rsidRPr="00867154">
        <w:rPr>
          <w:rFonts w:ascii="Times New Roman" w:hAnsi="Times New Roman" w:cs="Times New Roman"/>
          <w:sz w:val="18"/>
          <w:szCs w:val="18"/>
        </w:rPr>
        <w:t>Source: Own elaboration</w:t>
      </w:r>
      <w:r w:rsidRPr="00867154">
        <w:rPr>
          <w:rFonts w:ascii="Times New Roman" w:hAnsi="Times New Roman" w:cs="Times New Roman"/>
        </w:rPr>
        <w:t>.</w:t>
      </w:r>
    </w:p>
    <w:p w:rsidR="00E90AA2" w:rsidRDefault="00E90AA2" w:rsidP="00DC6D49">
      <w:pPr>
        <w:pStyle w:val="Corpodetexto"/>
        <w:rPr>
          <w:rFonts w:ascii="Times New Roman" w:hAnsi="Times New Roman" w:cs="Times New Roman"/>
        </w:rPr>
      </w:pPr>
    </w:p>
    <w:p w:rsidR="00C5105C" w:rsidRDefault="00DC6D49" w:rsidP="00DC6D49">
      <w:pPr>
        <w:pStyle w:val="Corpodetexto"/>
        <w:rPr>
          <w:rFonts w:ascii="Times New Roman" w:hAnsi="Times New Roman" w:cs="Times New Roman"/>
        </w:rPr>
      </w:pPr>
      <w:r>
        <w:rPr>
          <w:rFonts w:ascii="Times New Roman" w:hAnsi="Times New Roman" w:cs="Times New Roman"/>
        </w:rPr>
        <w:t>In sum</w:t>
      </w:r>
      <w:r w:rsidRPr="00007658">
        <w:rPr>
          <w:rFonts w:ascii="Times New Roman" w:hAnsi="Times New Roman" w:cs="Times New Roman"/>
        </w:rPr>
        <w:t xml:space="preserve">, it </w:t>
      </w:r>
      <w:r>
        <w:rPr>
          <w:rFonts w:ascii="Times New Roman" w:hAnsi="Times New Roman" w:cs="Times New Roman"/>
        </w:rPr>
        <w:t>seems</w:t>
      </w:r>
      <w:r w:rsidRPr="00007658">
        <w:rPr>
          <w:rFonts w:ascii="Times New Roman" w:hAnsi="Times New Roman" w:cs="Times New Roman"/>
        </w:rPr>
        <w:t xml:space="preserve"> to have some evidence that convergence is associated to technological dynamism. </w:t>
      </w:r>
      <w:r>
        <w:rPr>
          <w:rFonts w:ascii="Times New Roman" w:hAnsi="Times New Roman" w:cs="Times New Roman"/>
        </w:rPr>
        <w:t>In order to</w:t>
      </w:r>
      <w:r w:rsidRPr="00007658">
        <w:rPr>
          <w:rFonts w:ascii="Times New Roman" w:hAnsi="Times New Roman" w:cs="Times New Roman"/>
        </w:rPr>
        <w:t xml:space="preserve"> hav</w:t>
      </w:r>
      <w:r>
        <w:rPr>
          <w:rFonts w:ascii="Times New Roman" w:hAnsi="Times New Roman" w:cs="Times New Roman"/>
        </w:rPr>
        <w:t>e</w:t>
      </w:r>
      <w:r w:rsidRPr="00007658">
        <w:rPr>
          <w:rFonts w:ascii="Times New Roman" w:hAnsi="Times New Roman" w:cs="Times New Roman"/>
        </w:rPr>
        <w:t xml:space="preserve"> a better </w:t>
      </w:r>
      <w:r>
        <w:rPr>
          <w:rFonts w:ascii="Times New Roman" w:hAnsi="Times New Roman" w:cs="Times New Roman"/>
        </w:rPr>
        <w:t>vision</w:t>
      </w:r>
      <w:r w:rsidRPr="00007658">
        <w:rPr>
          <w:rFonts w:ascii="Times New Roman" w:hAnsi="Times New Roman" w:cs="Times New Roman"/>
        </w:rPr>
        <w:t xml:space="preserve"> of this probable association, </w:t>
      </w:r>
      <w:r>
        <w:rPr>
          <w:rFonts w:ascii="Times New Roman" w:hAnsi="Times New Roman" w:cs="Times New Roman"/>
        </w:rPr>
        <w:t>table 3 presents Pearson</w:t>
      </w:r>
      <w:r w:rsidRPr="00007658">
        <w:rPr>
          <w:rFonts w:ascii="Times New Roman" w:hAnsi="Times New Roman" w:cs="Times New Roman"/>
        </w:rPr>
        <w:t xml:space="preserve"> correlations </w:t>
      </w:r>
      <w:r>
        <w:rPr>
          <w:rFonts w:ascii="Times New Roman" w:hAnsi="Times New Roman" w:cs="Times New Roman"/>
        </w:rPr>
        <w:t xml:space="preserve">indexes </w:t>
      </w:r>
      <w:r w:rsidRPr="00007658">
        <w:rPr>
          <w:rFonts w:ascii="Times New Roman" w:hAnsi="Times New Roman" w:cs="Times New Roman"/>
        </w:rPr>
        <w:t xml:space="preserve">between </w:t>
      </w:r>
      <w:r w:rsidRPr="00007658">
        <w:rPr>
          <w:rFonts w:ascii="Times New Roman" w:hAnsi="Times New Roman" w:cs="Times New Roman"/>
        </w:rPr>
        <w:sym w:font="Symbol" w:char="F063"/>
      </w:r>
      <w:r w:rsidRPr="00007658">
        <w:rPr>
          <w:rFonts w:ascii="Times New Roman" w:hAnsi="Times New Roman" w:cs="Times New Roman"/>
          <w:vertAlign w:val="superscript"/>
        </w:rPr>
        <w:t>2</w:t>
      </w:r>
      <w:r>
        <w:rPr>
          <w:rFonts w:ascii="Times New Roman" w:hAnsi="Times New Roman" w:cs="Times New Roman"/>
        </w:rPr>
        <w:t>’s</w:t>
      </w:r>
      <w:r w:rsidRPr="00007658">
        <w:rPr>
          <w:rFonts w:ascii="Times New Roman" w:hAnsi="Times New Roman" w:cs="Times New Roman"/>
        </w:rPr>
        <w:t xml:space="preserve"> rate of growth and the components of </w:t>
      </w:r>
      <w:r>
        <w:rPr>
          <w:rFonts w:ascii="Times New Roman" w:hAnsi="Times New Roman" w:cs="Times New Roman"/>
        </w:rPr>
        <w:t xml:space="preserve">the </w:t>
      </w:r>
      <w:r w:rsidRPr="00007658">
        <w:rPr>
          <w:rFonts w:ascii="Times New Roman" w:hAnsi="Times New Roman" w:cs="Times New Roman"/>
        </w:rPr>
        <w:t xml:space="preserve">share </w:t>
      </w:r>
      <w:r>
        <w:rPr>
          <w:rFonts w:ascii="Times New Roman" w:hAnsi="Times New Roman" w:cs="Times New Roman"/>
        </w:rPr>
        <w:t xml:space="preserve">of </w:t>
      </w:r>
      <w:r w:rsidRPr="00007658">
        <w:rPr>
          <w:rFonts w:ascii="Times New Roman" w:hAnsi="Times New Roman" w:cs="Times New Roman"/>
        </w:rPr>
        <w:t xml:space="preserve">patent growth. </w:t>
      </w:r>
      <w:r>
        <w:rPr>
          <w:rFonts w:ascii="Times New Roman" w:hAnsi="Times New Roman" w:cs="Times New Roman"/>
        </w:rPr>
        <w:t>The</w:t>
      </w:r>
      <w:r w:rsidRPr="00007658">
        <w:rPr>
          <w:rFonts w:ascii="Times New Roman" w:hAnsi="Times New Roman" w:cs="Times New Roman"/>
        </w:rPr>
        <w:t xml:space="preserve"> negative </w:t>
      </w:r>
      <w:r>
        <w:rPr>
          <w:rFonts w:ascii="Times New Roman" w:hAnsi="Times New Roman" w:cs="Times New Roman"/>
        </w:rPr>
        <w:t xml:space="preserve">and strongly </w:t>
      </w:r>
      <w:r w:rsidRPr="00007658">
        <w:rPr>
          <w:rFonts w:ascii="Times New Roman" w:hAnsi="Times New Roman" w:cs="Times New Roman"/>
        </w:rPr>
        <w:t xml:space="preserve">correlation between the </w:t>
      </w:r>
      <w:r w:rsidRPr="00007658">
        <w:rPr>
          <w:rFonts w:ascii="Times New Roman" w:hAnsi="Times New Roman" w:cs="Times New Roman"/>
        </w:rPr>
        <w:sym w:font="Symbol" w:char="F063"/>
      </w:r>
      <w:r w:rsidRPr="00007658">
        <w:rPr>
          <w:rFonts w:ascii="Times New Roman" w:hAnsi="Times New Roman" w:cs="Times New Roman"/>
          <w:vertAlign w:val="superscript"/>
        </w:rPr>
        <w:t>2</w:t>
      </w:r>
      <w:r w:rsidRPr="00007658">
        <w:rPr>
          <w:rFonts w:ascii="Times New Roman" w:hAnsi="Times New Roman" w:cs="Times New Roman"/>
        </w:rPr>
        <w:t xml:space="preserve"> rate of growth and the technological effect means that increases of technological dynamism </w:t>
      </w:r>
      <w:r>
        <w:rPr>
          <w:rFonts w:ascii="Times New Roman" w:hAnsi="Times New Roman" w:cs="Times New Roman"/>
        </w:rPr>
        <w:t>is associated with</w:t>
      </w:r>
      <w:r w:rsidRPr="00007658">
        <w:rPr>
          <w:rFonts w:ascii="Times New Roman" w:hAnsi="Times New Roman" w:cs="Times New Roman"/>
        </w:rPr>
        <w:t xml:space="preserve"> negative </w:t>
      </w:r>
      <w:r w:rsidRPr="00007658">
        <w:rPr>
          <w:rFonts w:ascii="Times New Roman" w:hAnsi="Times New Roman" w:cs="Times New Roman"/>
        </w:rPr>
        <w:sym w:font="Symbol" w:char="F063"/>
      </w:r>
      <w:r w:rsidRPr="00007658">
        <w:rPr>
          <w:rFonts w:ascii="Times New Roman" w:hAnsi="Times New Roman" w:cs="Times New Roman"/>
          <w:vertAlign w:val="superscript"/>
        </w:rPr>
        <w:t>2</w:t>
      </w:r>
      <w:r w:rsidRPr="00007658">
        <w:rPr>
          <w:rFonts w:ascii="Times New Roman" w:hAnsi="Times New Roman" w:cs="Times New Roman"/>
        </w:rPr>
        <w:t xml:space="preserve"> rate of growth, which prove</w:t>
      </w:r>
      <w:r>
        <w:rPr>
          <w:rFonts w:ascii="Times New Roman" w:hAnsi="Times New Roman" w:cs="Times New Roman"/>
        </w:rPr>
        <w:t>s</w:t>
      </w:r>
      <w:r w:rsidRPr="00007658">
        <w:rPr>
          <w:rFonts w:ascii="Times New Roman" w:hAnsi="Times New Roman" w:cs="Times New Roman"/>
        </w:rPr>
        <w:t xml:space="preserve"> the positive association between convergence and dynamism.</w:t>
      </w:r>
      <w:r>
        <w:rPr>
          <w:rFonts w:ascii="Times New Roman" w:hAnsi="Times New Roman" w:cs="Times New Roman"/>
        </w:rPr>
        <w:t xml:space="preserve"> </w:t>
      </w:r>
      <w:r w:rsidRPr="00007658">
        <w:rPr>
          <w:rFonts w:ascii="Times New Roman" w:hAnsi="Times New Roman" w:cs="Times New Roman"/>
        </w:rPr>
        <w:t xml:space="preserve">A negative correlation between </w:t>
      </w:r>
      <w:r w:rsidRPr="00007658">
        <w:rPr>
          <w:rFonts w:ascii="Times New Roman" w:hAnsi="Times New Roman" w:cs="Times New Roman"/>
        </w:rPr>
        <w:sym w:font="Symbol" w:char="F063"/>
      </w:r>
      <w:r w:rsidRPr="00007658">
        <w:rPr>
          <w:rFonts w:ascii="Times New Roman" w:hAnsi="Times New Roman" w:cs="Times New Roman"/>
          <w:vertAlign w:val="superscript"/>
        </w:rPr>
        <w:t>2</w:t>
      </w:r>
      <w:r w:rsidRPr="00007658">
        <w:rPr>
          <w:rFonts w:ascii="Times New Roman" w:hAnsi="Times New Roman" w:cs="Times New Roman"/>
        </w:rPr>
        <w:t xml:space="preserve"> rate of growth and the structural effect means that a more favorable initial </w:t>
      </w:r>
      <w:r>
        <w:rPr>
          <w:rFonts w:ascii="Times New Roman" w:hAnsi="Times New Roman" w:cs="Times New Roman"/>
        </w:rPr>
        <w:t>specialization</w:t>
      </w:r>
      <w:r w:rsidRPr="00007658">
        <w:rPr>
          <w:rFonts w:ascii="Times New Roman" w:hAnsi="Times New Roman" w:cs="Times New Roman"/>
        </w:rPr>
        <w:t xml:space="preserve"> corresponds to negative </w:t>
      </w:r>
      <w:r w:rsidRPr="00007658">
        <w:rPr>
          <w:rFonts w:ascii="Times New Roman" w:hAnsi="Times New Roman" w:cs="Times New Roman"/>
        </w:rPr>
        <w:sym w:font="Symbol" w:char="F063"/>
      </w:r>
      <w:r w:rsidRPr="00007658">
        <w:rPr>
          <w:rFonts w:ascii="Times New Roman" w:hAnsi="Times New Roman" w:cs="Times New Roman"/>
          <w:vertAlign w:val="superscript"/>
        </w:rPr>
        <w:t>2</w:t>
      </w:r>
      <w:r w:rsidRPr="00007658">
        <w:rPr>
          <w:rFonts w:ascii="Times New Roman" w:hAnsi="Times New Roman" w:cs="Times New Roman"/>
        </w:rPr>
        <w:t xml:space="preserve"> rate of growth, th</w:t>
      </w:r>
      <w:r>
        <w:rPr>
          <w:rFonts w:ascii="Times New Roman" w:hAnsi="Times New Roman" w:cs="Times New Roman"/>
        </w:rPr>
        <w:t>at</w:t>
      </w:r>
      <w:r w:rsidRPr="00007658">
        <w:rPr>
          <w:rFonts w:ascii="Times New Roman" w:hAnsi="Times New Roman" w:cs="Times New Roman"/>
        </w:rPr>
        <w:t xml:space="preserve"> is,</w:t>
      </w:r>
      <w:r>
        <w:rPr>
          <w:rFonts w:ascii="Times New Roman" w:hAnsi="Times New Roman" w:cs="Times New Roman"/>
        </w:rPr>
        <w:t xml:space="preserve"> to</w:t>
      </w:r>
      <w:r w:rsidRPr="00007658">
        <w:rPr>
          <w:rFonts w:ascii="Times New Roman" w:hAnsi="Times New Roman" w:cs="Times New Roman"/>
        </w:rPr>
        <w:t xml:space="preserve"> convergence. The dynami</w:t>
      </w:r>
      <w:r>
        <w:rPr>
          <w:rFonts w:ascii="Times New Roman" w:hAnsi="Times New Roman" w:cs="Times New Roman"/>
        </w:rPr>
        <w:t>sm</w:t>
      </w:r>
      <w:r w:rsidRPr="00007658">
        <w:rPr>
          <w:rFonts w:ascii="Times New Roman" w:hAnsi="Times New Roman" w:cs="Times New Roman"/>
        </w:rPr>
        <w:t xml:space="preserve"> of TO over specific technical fields is pushing up </w:t>
      </w:r>
      <w:r>
        <w:rPr>
          <w:rFonts w:ascii="Times New Roman" w:hAnsi="Times New Roman" w:cs="Times New Roman"/>
        </w:rPr>
        <w:t>follower</w:t>
      </w:r>
      <w:r w:rsidRPr="00007658">
        <w:rPr>
          <w:rFonts w:ascii="Times New Roman" w:hAnsi="Times New Roman" w:cs="Times New Roman"/>
        </w:rPr>
        <w:t xml:space="preserve"> countries to more similar distributions with </w:t>
      </w:r>
      <w:r>
        <w:rPr>
          <w:rFonts w:ascii="Times New Roman" w:hAnsi="Times New Roman" w:cs="Times New Roman"/>
        </w:rPr>
        <w:t xml:space="preserve">respect to </w:t>
      </w:r>
      <w:r w:rsidRPr="00007658">
        <w:rPr>
          <w:rFonts w:ascii="Times New Roman" w:hAnsi="Times New Roman" w:cs="Times New Roman"/>
        </w:rPr>
        <w:t>leaders</w:t>
      </w:r>
      <w:r>
        <w:rPr>
          <w:rFonts w:ascii="Times New Roman" w:hAnsi="Times New Roman" w:cs="Times New Roman"/>
        </w:rPr>
        <w:t>,</w:t>
      </w:r>
      <w:r w:rsidRPr="00007658">
        <w:rPr>
          <w:rFonts w:ascii="Times New Roman" w:hAnsi="Times New Roman" w:cs="Times New Roman"/>
        </w:rPr>
        <w:t xml:space="preserve"> </w:t>
      </w:r>
      <w:r>
        <w:rPr>
          <w:rFonts w:ascii="Times New Roman" w:hAnsi="Times New Roman" w:cs="Times New Roman"/>
        </w:rPr>
        <w:t>strengthening</w:t>
      </w:r>
      <w:r w:rsidRPr="00007658">
        <w:rPr>
          <w:rFonts w:ascii="Times New Roman" w:hAnsi="Times New Roman" w:cs="Times New Roman"/>
        </w:rPr>
        <w:t xml:space="preserve"> convergence </w:t>
      </w:r>
      <w:r>
        <w:rPr>
          <w:rFonts w:ascii="Times New Roman" w:hAnsi="Times New Roman" w:cs="Times New Roman"/>
        </w:rPr>
        <w:t>processes</w:t>
      </w:r>
      <w:r w:rsidRPr="00007658">
        <w:rPr>
          <w:rFonts w:ascii="Times New Roman" w:hAnsi="Times New Roman" w:cs="Times New Roman"/>
        </w:rPr>
        <w:t xml:space="preserve">. As expected, a “correct” initial position favored convergence, what is reflected in the negative signal </w:t>
      </w:r>
      <w:r>
        <w:rPr>
          <w:rFonts w:ascii="Times New Roman" w:hAnsi="Times New Roman" w:cs="Times New Roman"/>
        </w:rPr>
        <w:t xml:space="preserve">coefficient </w:t>
      </w:r>
      <w:r w:rsidRPr="00007658">
        <w:rPr>
          <w:rFonts w:ascii="Times New Roman" w:hAnsi="Times New Roman" w:cs="Times New Roman"/>
        </w:rPr>
        <w:t>of correlation with the structural effect</w:t>
      </w:r>
      <w:r>
        <w:rPr>
          <w:rFonts w:ascii="Times New Roman" w:hAnsi="Times New Roman" w:cs="Times New Roman"/>
        </w:rPr>
        <w:t>, which is also quite significant.</w:t>
      </w:r>
      <w:r w:rsidRPr="0005392F">
        <w:rPr>
          <w:rFonts w:ascii="Times New Roman" w:hAnsi="Times New Roman" w:cs="Times New Roman"/>
        </w:rPr>
        <w:t xml:space="preserve"> </w:t>
      </w:r>
      <w:r w:rsidRPr="00007658">
        <w:rPr>
          <w:rFonts w:ascii="Times New Roman" w:hAnsi="Times New Roman" w:cs="Times New Roman"/>
        </w:rPr>
        <w:t xml:space="preserve">Finally, </w:t>
      </w:r>
      <w:r>
        <w:rPr>
          <w:rFonts w:ascii="Times New Roman" w:hAnsi="Times New Roman" w:cs="Times New Roman"/>
        </w:rPr>
        <w:t>the</w:t>
      </w:r>
      <w:r w:rsidRPr="00007658">
        <w:rPr>
          <w:rFonts w:ascii="Times New Roman" w:hAnsi="Times New Roman" w:cs="Times New Roman"/>
        </w:rPr>
        <w:t xml:space="preserve"> positive association between </w:t>
      </w:r>
      <w:r w:rsidRPr="00007658">
        <w:rPr>
          <w:rFonts w:ascii="Times New Roman" w:hAnsi="Times New Roman" w:cs="Times New Roman"/>
        </w:rPr>
        <w:sym w:font="Symbol" w:char="F063"/>
      </w:r>
      <w:r w:rsidRPr="00007658">
        <w:rPr>
          <w:rFonts w:ascii="Times New Roman" w:hAnsi="Times New Roman" w:cs="Times New Roman"/>
          <w:vertAlign w:val="superscript"/>
        </w:rPr>
        <w:t>2</w:t>
      </w:r>
      <w:r w:rsidRPr="00007658">
        <w:rPr>
          <w:rFonts w:ascii="Times New Roman" w:hAnsi="Times New Roman" w:cs="Times New Roman"/>
        </w:rPr>
        <w:t xml:space="preserve"> rate of growth and adaptation efforts means that movements to dynamic TO fields (or from </w:t>
      </w:r>
      <w:r w:rsidRPr="005F4047">
        <w:rPr>
          <w:rFonts w:ascii="Times New Roman" w:hAnsi="Times New Roman" w:cs="Times New Roman"/>
        </w:rPr>
        <w:t>stagnant</w:t>
      </w:r>
      <w:r>
        <w:rPr>
          <w:rFonts w:ascii="Times New Roman" w:hAnsi="Times New Roman" w:cs="Times New Roman"/>
        </w:rPr>
        <w:t xml:space="preserve">) </w:t>
      </w:r>
      <w:r w:rsidRPr="00007658">
        <w:rPr>
          <w:rFonts w:ascii="Times New Roman" w:hAnsi="Times New Roman" w:cs="Times New Roman"/>
        </w:rPr>
        <w:t xml:space="preserve"> corresponds with positive </w:t>
      </w:r>
      <w:r w:rsidRPr="00007658">
        <w:rPr>
          <w:rFonts w:ascii="Times New Roman" w:hAnsi="Times New Roman" w:cs="Times New Roman"/>
        </w:rPr>
        <w:sym w:font="Symbol" w:char="F063"/>
      </w:r>
      <w:r w:rsidRPr="00007658">
        <w:rPr>
          <w:rFonts w:ascii="Times New Roman" w:hAnsi="Times New Roman" w:cs="Times New Roman"/>
          <w:vertAlign w:val="superscript"/>
        </w:rPr>
        <w:t>2</w:t>
      </w:r>
      <w:r w:rsidRPr="00007658">
        <w:rPr>
          <w:rFonts w:ascii="Times New Roman" w:hAnsi="Times New Roman" w:cs="Times New Roman"/>
        </w:rPr>
        <w:t xml:space="preserve"> rate of growth, this is, divergence. And a movement towards </w:t>
      </w:r>
      <w:r w:rsidRPr="002A172B">
        <w:rPr>
          <w:rFonts w:ascii="Times New Roman" w:hAnsi="Times New Roman" w:cs="Times New Roman"/>
        </w:rPr>
        <w:t xml:space="preserve">stagnant TO fields (or from dynamic) corresponds with negative </w:t>
      </w:r>
      <w:r w:rsidRPr="002A172B">
        <w:rPr>
          <w:rFonts w:ascii="Times New Roman" w:hAnsi="Times New Roman" w:cs="Times New Roman"/>
        </w:rPr>
        <w:sym w:font="Symbol" w:char="F063"/>
      </w:r>
      <w:r w:rsidRPr="002A172B">
        <w:rPr>
          <w:rFonts w:ascii="Times New Roman" w:hAnsi="Times New Roman" w:cs="Times New Roman"/>
          <w:vertAlign w:val="superscript"/>
        </w:rPr>
        <w:t>2</w:t>
      </w:r>
      <w:r w:rsidRPr="002A172B">
        <w:rPr>
          <w:rFonts w:ascii="Times New Roman" w:hAnsi="Times New Roman" w:cs="Times New Roman"/>
        </w:rPr>
        <w:t xml:space="preserve"> rate of growth, this is, convergence. </w:t>
      </w:r>
      <w:r>
        <w:rPr>
          <w:rFonts w:ascii="Times New Roman" w:hAnsi="Times New Roman" w:cs="Times New Roman"/>
        </w:rPr>
        <w:t>When this happens, it can be explained by the strength of</w:t>
      </w:r>
      <w:r w:rsidRPr="002A172B">
        <w:rPr>
          <w:rFonts w:ascii="Times New Roman" w:hAnsi="Times New Roman" w:cs="Times New Roman"/>
        </w:rPr>
        <w:t xml:space="preserve"> catch-up process. Even when most of the follower countries remain or go to stagnant technological fields, they converged with their technological reference areas because the catch-up process was so powerful that passed through a lot of new technical areas that began to be developed. </w:t>
      </w:r>
      <w:r w:rsidRPr="00847EEA">
        <w:rPr>
          <w:rFonts w:ascii="Times New Roman" w:hAnsi="Times New Roman" w:cs="Times New Roman"/>
        </w:rPr>
        <w:t>Nevertheless, the coefficient is not significant for the both samples it was calculated.</w:t>
      </w:r>
    </w:p>
    <w:p w:rsidR="00E90AA2" w:rsidRDefault="00E90AA2" w:rsidP="0001659F">
      <w:pPr>
        <w:pStyle w:val="Corpodetexto"/>
        <w:ind w:firstLine="0"/>
        <w:rPr>
          <w:rFonts w:ascii="Times New Roman" w:hAnsi="Times New Roman" w:cs="Times New Roman"/>
          <w:i/>
        </w:rPr>
      </w:pPr>
    </w:p>
    <w:p w:rsidR="00C5105C" w:rsidRPr="00BA52D0" w:rsidRDefault="00D8356D" w:rsidP="00C4397F">
      <w:pPr>
        <w:pStyle w:val="Corpodetexto"/>
        <w:numPr>
          <w:ilvl w:val="0"/>
          <w:numId w:val="5"/>
        </w:numPr>
        <w:rPr>
          <w:rFonts w:ascii="Times New Roman" w:hAnsi="Times New Roman" w:cs="Times New Roman"/>
          <w:iCs/>
        </w:rPr>
      </w:pPr>
      <w:r w:rsidRPr="00BA52D0">
        <w:rPr>
          <w:rFonts w:ascii="Times New Roman" w:hAnsi="Times New Roman" w:cs="Times New Roman"/>
          <w:b/>
          <w:iCs/>
        </w:rPr>
        <w:t xml:space="preserve">Evolution in specialization patterns: </w:t>
      </w:r>
      <w:r w:rsidR="00DC6D49">
        <w:rPr>
          <w:rFonts w:ascii="Times New Roman" w:hAnsi="Times New Roman" w:cs="Times New Roman"/>
          <w:b/>
          <w:iCs/>
        </w:rPr>
        <w:t>m</w:t>
      </w:r>
      <w:r w:rsidR="00C5105C" w:rsidRPr="00BA52D0">
        <w:rPr>
          <w:rFonts w:ascii="Times New Roman" w:hAnsi="Times New Roman" w:cs="Times New Roman"/>
          <w:b/>
          <w:iCs/>
        </w:rPr>
        <w:t xml:space="preserve">obility </w:t>
      </w:r>
      <w:r w:rsidR="00DC6D49">
        <w:rPr>
          <w:rFonts w:ascii="Times New Roman" w:hAnsi="Times New Roman" w:cs="Times New Roman"/>
          <w:b/>
          <w:iCs/>
        </w:rPr>
        <w:t>and</w:t>
      </w:r>
      <w:r w:rsidR="00C5105C" w:rsidRPr="00BA52D0">
        <w:rPr>
          <w:rFonts w:ascii="Times New Roman" w:hAnsi="Times New Roman" w:cs="Times New Roman"/>
          <w:b/>
          <w:iCs/>
        </w:rPr>
        <w:t xml:space="preserve"> persistence</w:t>
      </w:r>
      <w:r w:rsidR="00C5105C" w:rsidRPr="00BA52D0">
        <w:rPr>
          <w:rFonts w:ascii="Times New Roman" w:hAnsi="Times New Roman" w:cs="Times New Roman"/>
          <w:iCs/>
        </w:rPr>
        <w:t>.</w:t>
      </w:r>
    </w:p>
    <w:p w:rsidR="00DC6D49" w:rsidRDefault="00DC6D49" w:rsidP="0001659F">
      <w:pPr>
        <w:pStyle w:val="Corpodetexto"/>
        <w:rPr>
          <w:rFonts w:ascii="Times New Roman" w:hAnsi="Times New Roman" w:cs="Times New Roman"/>
        </w:rPr>
      </w:pPr>
    </w:p>
    <w:p w:rsidR="00410DD8" w:rsidRDefault="00C5105C" w:rsidP="0001659F">
      <w:pPr>
        <w:pStyle w:val="Corpodetexto"/>
        <w:rPr>
          <w:rFonts w:ascii="Times New Roman" w:hAnsi="Times New Roman" w:cs="Times New Roman"/>
        </w:rPr>
      </w:pPr>
      <w:r w:rsidRPr="00007658">
        <w:rPr>
          <w:rFonts w:ascii="Times New Roman" w:hAnsi="Times New Roman" w:cs="Times New Roman"/>
        </w:rPr>
        <w:t>The usual indicator to measure specialization is Revealed Technological Advantage (</w:t>
      </w:r>
      <w:r w:rsidRPr="0005392F">
        <w:rPr>
          <w:rFonts w:ascii="Times New Roman" w:hAnsi="Times New Roman" w:cs="Times New Roman"/>
          <w:i/>
          <w:iCs/>
        </w:rPr>
        <w:t>RTA</w:t>
      </w:r>
      <w:r w:rsidRPr="0005392F">
        <w:rPr>
          <w:rFonts w:ascii="Times New Roman" w:hAnsi="Times New Roman" w:cs="Times New Roman"/>
          <w:i/>
          <w:iCs/>
          <w:vertAlign w:val="subscript"/>
        </w:rPr>
        <w:t>ij</w:t>
      </w:r>
      <w:r w:rsidRPr="00007658">
        <w:rPr>
          <w:rFonts w:ascii="Times New Roman" w:hAnsi="Times New Roman" w:cs="Times New Roman"/>
        </w:rPr>
        <w:t>), calculated as</w:t>
      </w:r>
      <w:r>
        <w:rPr>
          <w:rFonts w:ascii="Times New Roman" w:hAnsi="Times New Roman" w:cs="Times New Roman"/>
        </w:rPr>
        <w:t xml:space="preserve"> </w:t>
      </w: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ij</m:t>
                </m:r>
              </m:sub>
            </m:sSub>
          </m:num>
          <m:den>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iW</m:t>
                </m:r>
              </m:sub>
            </m:sSub>
          </m:den>
        </m:f>
      </m:oMath>
      <w:r w:rsidRPr="00007658">
        <w:rPr>
          <w:rFonts w:ascii="Times New Roman" w:hAnsi="Times New Roman" w:cs="Times New Roman"/>
        </w:rPr>
        <w:t xml:space="preserve">, </w:t>
      </w:r>
      <w:r w:rsidR="00FC42D7">
        <w:rPr>
          <w:rFonts w:ascii="Times New Roman" w:hAnsi="Times New Roman" w:cs="Times New Roman"/>
        </w:rPr>
        <w:t>following the previous notation</w:t>
      </w:r>
      <w:r w:rsidR="00CC3518">
        <w:rPr>
          <w:rFonts w:ascii="Times New Roman" w:hAnsi="Times New Roman" w:cs="Times New Roman"/>
        </w:rPr>
        <w:t xml:space="preserve">. </w:t>
      </w:r>
      <w:r w:rsidRPr="00007658">
        <w:rPr>
          <w:rFonts w:ascii="Times New Roman" w:hAnsi="Times New Roman" w:cs="Times New Roman"/>
        </w:rPr>
        <w:t>Th</w:t>
      </w:r>
      <w:r w:rsidR="0005392F">
        <w:rPr>
          <w:rFonts w:ascii="Times New Roman" w:hAnsi="Times New Roman" w:cs="Times New Roman"/>
        </w:rPr>
        <w:t xml:space="preserve">is </w:t>
      </w:r>
      <w:r w:rsidRPr="00007658">
        <w:rPr>
          <w:rFonts w:ascii="Times New Roman" w:hAnsi="Times New Roman" w:cs="Times New Roman"/>
        </w:rPr>
        <w:t>indicator reveal</w:t>
      </w:r>
      <w:r>
        <w:rPr>
          <w:rFonts w:ascii="Times New Roman" w:hAnsi="Times New Roman" w:cs="Times New Roman"/>
        </w:rPr>
        <w:t>s</w:t>
      </w:r>
      <w:r w:rsidRPr="00007658">
        <w:rPr>
          <w:rFonts w:ascii="Times New Roman" w:hAnsi="Times New Roman" w:cs="Times New Roman"/>
        </w:rPr>
        <w:t xml:space="preserve"> positive specialization whe</w:t>
      </w:r>
      <w:r w:rsidR="00CC3518">
        <w:rPr>
          <w:rFonts w:ascii="Times New Roman" w:hAnsi="Times New Roman" w:cs="Times New Roman"/>
        </w:rPr>
        <w:t>n</w:t>
      </w:r>
      <w:r w:rsidRPr="00007658">
        <w:rPr>
          <w:rFonts w:ascii="Times New Roman" w:hAnsi="Times New Roman" w:cs="Times New Roman"/>
        </w:rPr>
        <w:t xml:space="preserve"> </w:t>
      </w:r>
      <w:r w:rsidR="00CC3518">
        <w:rPr>
          <w:rFonts w:ascii="Times New Roman" w:hAnsi="Times New Roman" w:cs="Times New Roman"/>
        </w:rPr>
        <w:t xml:space="preserve">it </w:t>
      </w:r>
      <w:r w:rsidRPr="00007658">
        <w:rPr>
          <w:rFonts w:ascii="Times New Roman" w:hAnsi="Times New Roman" w:cs="Times New Roman"/>
        </w:rPr>
        <w:t xml:space="preserve">takes values superior to one and </w:t>
      </w:r>
      <w:r w:rsidR="00CC3518">
        <w:rPr>
          <w:rFonts w:ascii="Times New Roman" w:hAnsi="Times New Roman" w:cs="Times New Roman"/>
        </w:rPr>
        <w:t>non-</w:t>
      </w:r>
      <w:r w:rsidRPr="00007658">
        <w:rPr>
          <w:rFonts w:ascii="Times New Roman" w:hAnsi="Times New Roman" w:cs="Times New Roman"/>
        </w:rPr>
        <w:t>specialization</w:t>
      </w:r>
      <w:r w:rsidR="00CC3518">
        <w:rPr>
          <w:rFonts w:ascii="Times New Roman" w:hAnsi="Times New Roman" w:cs="Times New Roman"/>
        </w:rPr>
        <w:t xml:space="preserve"> </w:t>
      </w:r>
      <w:r w:rsidRPr="00007658">
        <w:rPr>
          <w:rFonts w:ascii="Times New Roman" w:hAnsi="Times New Roman" w:cs="Times New Roman"/>
        </w:rPr>
        <w:t xml:space="preserve">when </w:t>
      </w:r>
      <w:r w:rsidR="00CC3518">
        <w:rPr>
          <w:rFonts w:ascii="Times New Roman" w:hAnsi="Times New Roman" w:cs="Times New Roman"/>
        </w:rPr>
        <w:t xml:space="preserve">it </w:t>
      </w:r>
      <w:r w:rsidRPr="00007658">
        <w:rPr>
          <w:rFonts w:ascii="Times New Roman" w:hAnsi="Times New Roman" w:cs="Times New Roman"/>
        </w:rPr>
        <w:t>takes values between zero and one.</w:t>
      </w:r>
      <w:r w:rsidR="00143F60">
        <w:rPr>
          <w:rFonts w:ascii="Times New Roman" w:hAnsi="Times New Roman" w:cs="Times New Roman"/>
        </w:rPr>
        <w:t xml:space="preserve"> </w:t>
      </w:r>
      <w:r w:rsidRPr="00007658">
        <w:rPr>
          <w:rFonts w:ascii="Times New Roman" w:hAnsi="Times New Roman" w:cs="Times New Roman"/>
        </w:rPr>
        <w:t xml:space="preserve">An </w:t>
      </w:r>
      <w:r w:rsidRPr="00007658">
        <w:rPr>
          <w:rFonts w:ascii="Times New Roman" w:hAnsi="Times New Roman" w:cs="Times New Roman"/>
        </w:rPr>
        <w:lastRenderedPageBreak/>
        <w:t>aggregate measure of specialization for each country is the variation</w:t>
      </w:r>
      <w:r>
        <w:rPr>
          <w:rFonts w:ascii="Times New Roman" w:hAnsi="Times New Roman" w:cs="Times New Roman"/>
        </w:rPr>
        <w:t xml:space="preserve"> index</w:t>
      </w:r>
      <w:r w:rsidRPr="00007658">
        <w:rPr>
          <w:rFonts w:ascii="Times New Roman" w:hAnsi="Times New Roman" w:cs="Times New Roman"/>
        </w:rPr>
        <w:t xml:space="preserve"> (</w:t>
      </w:r>
      <w:r w:rsidRPr="0005392F">
        <w:rPr>
          <w:rFonts w:ascii="Times New Roman" w:hAnsi="Times New Roman" w:cs="Times New Roman"/>
          <w:i/>
          <w:iCs/>
        </w:rPr>
        <w:t>V</w:t>
      </w:r>
      <w:r w:rsidR="0005392F" w:rsidRPr="0005392F">
        <w:rPr>
          <w:rFonts w:ascii="Times New Roman" w:hAnsi="Times New Roman" w:cs="Times New Roman"/>
          <w:i/>
          <w:iCs/>
          <w:vertAlign w:val="subscript"/>
        </w:rPr>
        <w:t>j</w:t>
      </w:r>
      <w:r w:rsidRPr="00007658">
        <w:rPr>
          <w:rFonts w:ascii="Times New Roman" w:hAnsi="Times New Roman" w:cs="Times New Roman"/>
        </w:rPr>
        <w:t>) (standard error over mean)</w:t>
      </w:r>
      <w:r w:rsidR="00CC3518">
        <w:rPr>
          <w:rFonts w:ascii="Times New Roman" w:hAnsi="Times New Roman" w:cs="Times New Roman"/>
        </w:rPr>
        <w:t xml:space="preserve"> of the </w:t>
      </w:r>
      <w:r w:rsidR="00CC3518" w:rsidRPr="0005392F">
        <w:rPr>
          <w:rFonts w:ascii="Times New Roman" w:hAnsi="Times New Roman" w:cs="Times New Roman"/>
          <w:i/>
          <w:iCs/>
        </w:rPr>
        <w:t>RTA</w:t>
      </w:r>
      <w:r w:rsidR="00CC3518" w:rsidRPr="0005392F">
        <w:rPr>
          <w:rFonts w:ascii="Times New Roman" w:hAnsi="Times New Roman" w:cs="Times New Roman"/>
          <w:i/>
          <w:iCs/>
          <w:vertAlign w:val="subscript"/>
        </w:rPr>
        <w:t>ij</w:t>
      </w:r>
      <w:r w:rsidR="00CC3518">
        <w:rPr>
          <w:rFonts w:ascii="Times New Roman" w:hAnsi="Times New Roman" w:cs="Times New Roman"/>
          <w:vertAlign w:val="subscript"/>
        </w:rPr>
        <w:t xml:space="preserve"> </w:t>
      </w:r>
      <w:r w:rsidRPr="00007658">
        <w:rPr>
          <w:rFonts w:ascii="Times New Roman" w:hAnsi="Times New Roman" w:cs="Times New Roman"/>
        </w:rPr>
        <w:t xml:space="preserve">. The higher </w:t>
      </w:r>
      <w:r w:rsidRPr="0005392F">
        <w:rPr>
          <w:rFonts w:ascii="Times New Roman" w:hAnsi="Times New Roman" w:cs="Times New Roman"/>
          <w:i/>
          <w:iCs/>
        </w:rPr>
        <w:t>V</w:t>
      </w:r>
      <w:r w:rsidR="0005392F" w:rsidRPr="0005392F">
        <w:rPr>
          <w:rFonts w:ascii="Times New Roman" w:hAnsi="Times New Roman" w:cs="Times New Roman"/>
          <w:i/>
          <w:iCs/>
          <w:vertAlign w:val="subscript"/>
        </w:rPr>
        <w:t>j</w:t>
      </w:r>
      <w:r w:rsidRPr="00007658">
        <w:rPr>
          <w:rFonts w:ascii="Times New Roman" w:hAnsi="Times New Roman" w:cs="Times New Roman"/>
        </w:rPr>
        <w:t xml:space="preserve"> is, the higher the dispersion of </w:t>
      </w:r>
      <w:r w:rsidR="0005392F" w:rsidRPr="0005392F">
        <w:rPr>
          <w:rFonts w:ascii="Times New Roman" w:hAnsi="Times New Roman" w:cs="Times New Roman"/>
          <w:i/>
          <w:iCs/>
        </w:rPr>
        <w:t>RTA</w:t>
      </w:r>
      <w:r w:rsidR="0005392F" w:rsidRPr="0005392F">
        <w:rPr>
          <w:rFonts w:ascii="Times New Roman" w:hAnsi="Times New Roman" w:cs="Times New Roman"/>
          <w:i/>
          <w:iCs/>
          <w:vertAlign w:val="subscript"/>
        </w:rPr>
        <w:t>ij</w:t>
      </w:r>
      <w:r w:rsidRPr="00007658">
        <w:rPr>
          <w:rFonts w:ascii="Times New Roman" w:hAnsi="Times New Roman" w:cs="Times New Roman"/>
        </w:rPr>
        <w:t xml:space="preserve"> around the mean will be and, so, the higher the concentration of specialization. </w:t>
      </w:r>
    </w:p>
    <w:p w:rsidR="00FC42D7" w:rsidRPr="00DC6D49" w:rsidRDefault="00FC42D7" w:rsidP="00DC6D49">
      <w:pPr>
        <w:pStyle w:val="Corpodetexto"/>
        <w:rPr>
          <w:rFonts w:ascii="Times New Roman" w:hAnsi="Times New Roman" w:cs="Times New Roman"/>
        </w:rPr>
      </w:pPr>
      <w:r w:rsidRPr="00DC6D49">
        <w:rPr>
          <w:rFonts w:ascii="Times New Roman" w:hAnsi="Times New Roman" w:cs="Times New Roman"/>
        </w:rPr>
        <w:t xml:space="preserve">The data show a </w:t>
      </w:r>
      <w:r w:rsidR="00A91BF4" w:rsidRPr="00DC6D49">
        <w:rPr>
          <w:rFonts w:ascii="Times New Roman" w:hAnsi="Times New Roman" w:cs="Times New Roman"/>
        </w:rPr>
        <w:t xml:space="preserve">quite strong </w:t>
      </w:r>
      <w:r w:rsidRPr="00DC6D49">
        <w:rPr>
          <w:rFonts w:ascii="Times New Roman" w:hAnsi="Times New Roman" w:cs="Times New Roman"/>
        </w:rPr>
        <w:t>tendency towards specialization in all three European leaders</w:t>
      </w:r>
      <w:r w:rsidR="00410DD8" w:rsidRPr="00DC6D49">
        <w:rPr>
          <w:rFonts w:ascii="Times New Roman" w:hAnsi="Times New Roman" w:cs="Times New Roman"/>
        </w:rPr>
        <w:t xml:space="preserve"> (table </w:t>
      </w:r>
      <w:r w:rsidR="00DC6D49">
        <w:rPr>
          <w:rFonts w:ascii="Times New Roman" w:hAnsi="Times New Roman" w:cs="Times New Roman"/>
        </w:rPr>
        <w:t>4</w:t>
      </w:r>
      <w:r w:rsidR="00410DD8" w:rsidRPr="00DC6D49">
        <w:rPr>
          <w:rFonts w:ascii="Times New Roman" w:hAnsi="Times New Roman" w:cs="Times New Roman"/>
        </w:rPr>
        <w:t>)</w:t>
      </w:r>
      <w:r w:rsidRPr="00DC6D49">
        <w:rPr>
          <w:rFonts w:ascii="Times New Roman" w:hAnsi="Times New Roman" w:cs="Times New Roman"/>
        </w:rPr>
        <w:t>. In medium tech-level countries, it is observed a prevalence of moderate changes towards an increase of specialization (Italy</w:t>
      </w:r>
      <w:r w:rsidR="00A91BF4" w:rsidRPr="00DC6D49">
        <w:rPr>
          <w:rFonts w:ascii="Times New Roman" w:hAnsi="Times New Roman" w:cs="Times New Roman"/>
        </w:rPr>
        <w:t xml:space="preserve">, Netherlands and </w:t>
      </w:r>
      <w:r w:rsidR="00D35016" w:rsidRPr="00DC6D49">
        <w:rPr>
          <w:rFonts w:ascii="Times New Roman" w:hAnsi="Times New Roman" w:cs="Times New Roman"/>
        </w:rPr>
        <w:t>Denmark</w:t>
      </w:r>
      <w:r w:rsidRPr="00DC6D49">
        <w:rPr>
          <w:rFonts w:ascii="Times New Roman" w:hAnsi="Times New Roman" w:cs="Times New Roman"/>
        </w:rPr>
        <w:t xml:space="preserve">) and </w:t>
      </w:r>
      <w:r w:rsidR="00A91BF4" w:rsidRPr="00DC6D49">
        <w:rPr>
          <w:rFonts w:ascii="Times New Roman" w:hAnsi="Times New Roman" w:cs="Times New Roman"/>
        </w:rPr>
        <w:t xml:space="preserve">a moderate tendency </w:t>
      </w:r>
      <w:r w:rsidRPr="00DC6D49">
        <w:rPr>
          <w:rFonts w:ascii="Times New Roman" w:hAnsi="Times New Roman" w:cs="Times New Roman"/>
        </w:rPr>
        <w:t xml:space="preserve">towards diversification </w:t>
      </w:r>
      <w:r w:rsidR="00A91BF4" w:rsidRPr="00DC6D49">
        <w:rPr>
          <w:rFonts w:ascii="Times New Roman" w:hAnsi="Times New Roman" w:cs="Times New Roman"/>
        </w:rPr>
        <w:t>in the rest of the countries.</w:t>
      </w:r>
      <w:r w:rsidRPr="00DC6D49">
        <w:rPr>
          <w:rFonts w:ascii="Times New Roman" w:hAnsi="Times New Roman" w:cs="Times New Roman"/>
        </w:rPr>
        <w:t xml:space="preserve"> The </w:t>
      </w:r>
      <w:r w:rsidR="008447D5" w:rsidRPr="00DC6D49">
        <w:rPr>
          <w:rFonts w:ascii="Times New Roman" w:hAnsi="Times New Roman" w:cs="Times New Roman"/>
        </w:rPr>
        <w:t>Delayers</w:t>
      </w:r>
      <w:r w:rsidRPr="00DC6D49">
        <w:rPr>
          <w:rFonts w:ascii="Times New Roman" w:hAnsi="Times New Roman" w:cs="Times New Roman"/>
        </w:rPr>
        <w:t xml:space="preserve"> show a</w:t>
      </w:r>
      <w:r w:rsidR="008447D5" w:rsidRPr="00DC6D49">
        <w:rPr>
          <w:rFonts w:ascii="Times New Roman" w:hAnsi="Times New Roman" w:cs="Times New Roman"/>
        </w:rPr>
        <w:t xml:space="preserve"> strong</w:t>
      </w:r>
      <w:r w:rsidRPr="00DC6D49">
        <w:rPr>
          <w:rFonts w:ascii="Times New Roman" w:hAnsi="Times New Roman" w:cs="Times New Roman"/>
        </w:rPr>
        <w:t xml:space="preserve"> tendency </w:t>
      </w:r>
      <w:r w:rsidR="008447D5" w:rsidRPr="00DC6D49">
        <w:rPr>
          <w:rFonts w:ascii="Times New Roman" w:hAnsi="Times New Roman" w:cs="Times New Roman"/>
        </w:rPr>
        <w:t>to</w:t>
      </w:r>
      <w:r w:rsidRPr="00DC6D49">
        <w:rPr>
          <w:rFonts w:ascii="Times New Roman" w:hAnsi="Times New Roman" w:cs="Times New Roman"/>
        </w:rPr>
        <w:t xml:space="preserve"> diversification</w:t>
      </w:r>
      <w:r w:rsidR="00F2549F" w:rsidRPr="00DC6D49">
        <w:rPr>
          <w:rFonts w:ascii="Times New Roman" w:hAnsi="Times New Roman" w:cs="Times New Roman"/>
        </w:rPr>
        <w:t>, only moderate in Greece.</w:t>
      </w:r>
    </w:p>
    <w:p w:rsidR="0005392F" w:rsidRDefault="0005392F" w:rsidP="0001659F">
      <w:pPr>
        <w:rPr>
          <w:rFonts w:ascii="Times New Roman" w:hAnsi="Times New Roman" w:cs="Times New Roman"/>
        </w:rPr>
      </w:pPr>
      <w:r w:rsidRPr="00DC6D49">
        <w:rPr>
          <w:rFonts w:ascii="Times New Roman" w:hAnsi="Times New Roman" w:cs="Times New Roman"/>
        </w:rPr>
        <w:t>Latin American countries show a general and strong tendency to diversification</w:t>
      </w:r>
      <w:r w:rsidR="00F2549F" w:rsidRPr="00DC6D49">
        <w:rPr>
          <w:rFonts w:ascii="Times New Roman" w:hAnsi="Times New Roman" w:cs="Times New Roman"/>
        </w:rPr>
        <w:t>. Only Brazil follows a path of specialization</w:t>
      </w:r>
      <w:r w:rsidRPr="00DC6D49">
        <w:rPr>
          <w:rFonts w:ascii="Times New Roman" w:hAnsi="Times New Roman" w:cs="Times New Roman"/>
        </w:rPr>
        <w:t>. Th</w:t>
      </w:r>
      <w:r w:rsidR="00F2549F" w:rsidRPr="00DC6D49">
        <w:rPr>
          <w:rFonts w:ascii="Times New Roman" w:hAnsi="Times New Roman" w:cs="Times New Roman"/>
        </w:rPr>
        <w:t>ese</w:t>
      </w:r>
      <w:r w:rsidRPr="00DC6D49">
        <w:rPr>
          <w:rFonts w:ascii="Times New Roman" w:hAnsi="Times New Roman" w:cs="Times New Roman"/>
        </w:rPr>
        <w:t xml:space="preserve"> evidence</w:t>
      </w:r>
      <w:r w:rsidR="00F2549F" w:rsidRPr="00DC6D49">
        <w:rPr>
          <w:rFonts w:ascii="Times New Roman" w:hAnsi="Times New Roman" w:cs="Times New Roman"/>
        </w:rPr>
        <w:t>s</w:t>
      </w:r>
      <w:r w:rsidRPr="00DC6D49">
        <w:rPr>
          <w:rFonts w:ascii="Times New Roman" w:hAnsi="Times New Roman" w:cs="Times New Roman"/>
        </w:rPr>
        <w:t xml:space="preserve"> confirms the hypothesis of the evolution of the technological level of specialization, characterized by specialization-diversification-specialization along the technological development process. </w:t>
      </w:r>
      <w:r w:rsidR="00F2549F" w:rsidRPr="00DC6D49">
        <w:rPr>
          <w:rFonts w:ascii="Times New Roman" w:hAnsi="Times New Roman" w:cs="Times New Roman"/>
        </w:rPr>
        <w:t>In fact, countries that began the period with high levels of specialization trend</w:t>
      </w:r>
      <w:r w:rsidR="000E2E35" w:rsidRPr="00DC6D49">
        <w:rPr>
          <w:rFonts w:ascii="Times New Roman" w:hAnsi="Times New Roman" w:cs="Times New Roman"/>
        </w:rPr>
        <w:t>ed</w:t>
      </w:r>
      <w:r w:rsidR="00F2549F" w:rsidRPr="00DC6D49">
        <w:rPr>
          <w:rFonts w:ascii="Times New Roman" w:hAnsi="Times New Roman" w:cs="Times New Roman"/>
        </w:rPr>
        <w:t xml:space="preserve"> to bec</w:t>
      </w:r>
      <w:r w:rsidR="000E2E35" w:rsidRPr="00DC6D49">
        <w:rPr>
          <w:rFonts w:ascii="Times New Roman" w:hAnsi="Times New Roman" w:cs="Times New Roman"/>
        </w:rPr>
        <w:t>o</w:t>
      </w:r>
      <w:r w:rsidR="00F2549F" w:rsidRPr="00DC6D49">
        <w:rPr>
          <w:rFonts w:ascii="Times New Roman" w:hAnsi="Times New Roman" w:cs="Times New Roman"/>
        </w:rPr>
        <w:t xml:space="preserve">me more diversified and </w:t>
      </w:r>
      <w:r w:rsidR="00F2549F" w:rsidRPr="00DC6D49">
        <w:rPr>
          <w:rFonts w:ascii="Times New Roman" w:hAnsi="Times New Roman" w:cs="Times New Roman"/>
          <w:i/>
          <w:iCs/>
        </w:rPr>
        <w:t>viceversa</w:t>
      </w:r>
      <w:r w:rsidR="00F2549F" w:rsidRPr="00DC6D49">
        <w:rPr>
          <w:rFonts w:ascii="Times New Roman" w:hAnsi="Times New Roman" w:cs="Times New Roman"/>
        </w:rPr>
        <w:t xml:space="preserve">. The Pearson correlation index between </w:t>
      </w:r>
      <w:r w:rsidR="000E2E35" w:rsidRPr="00DC6D49">
        <w:rPr>
          <w:rFonts w:ascii="Times New Roman" w:hAnsi="Times New Roman" w:cs="Times New Roman"/>
        </w:rPr>
        <w:t xml:space="preserve">initial </w:t>
      </w:r>
      <w:r w:rsidR="00F2549F" w:rsidRPr="00DC6D49">
        <w:rPr>
          <w:rFonts w:ascii="Times New Roman" w:hAnsi="Times New Roman" w:cs="Times New Roman"/>
          <w:i/>
          <w:iCs/>
        </w:rPr>
        <w:t>V</w:t>
      </w:r>
      <w:r w:rsidR="00F2549F" w:rsidRPr="00DC6D49">
        <w:rPr>
          <w:rFonts w:ascii="Times New Roman" w:hAnsi="Times New Roman" w:cs="Times New Roman"/>
          <w:i/>
          <w:iCs/>
          <w:vertAlign w:val="subscript"/>
        </w:rPr>
        <w:t>j</w:t>
      </w:r>
      <w:r w:rsidR="00F2549F" w:rsidRPr="00DC6D49">
        <w:rPr>
          <w:rFonts w:ascii="Times New Roman" w:hAnsi="Times New Roman" w:cs="Times New Roman"/>
        </w:rPr>
        <w:t xml:space="preserve"> values and </w:t>
      </w:r>
      <w:r w:rsidR="00F2549F" w:rsidRPr="00DC6D49">
        <w:rPr>
          <w:rFonts w:ascii="Times New Roman" w:hAnsi="Times New Roman" w:cs="Times New Roman"/>
          <w:i/>
          <w:iCs/>
        </w:rPr>
        <w:t>V</w:t>
      </w:r>
      <w:r w:rsidR="00F2549F" w:rsidRPr="00DC6D49">
        <w:rPr>
          <w:rFonts w:ascii="Times New Roman" w:hAnsi="Times New Roman" w:cs="Times New Roman"/>
          <w:i/>
          <w:iCs/>
          <w:vertAlign w:val="subscript"/>
        </w:rPr>
        <w:t>j</w:t>
      </w:r>
      <w:r w:rsidR="000E2E35" w:rsidRPr="00DC6D49">
        <w:rPr>
          <w:rFonts w:ascii="Times New Roman" w:hAnsi="Times New Roman" w:cs="Times New Roman"/>
          <w:vertAlign w:val="subscript"/>
        </w:rPr>
        <w:t xml:space="preserve"> </w:t>
      </w:r>
      <w:r w:rsidR="00F2549F" w:rsidRPr="00DC6D49">
        <w:rPr>
          <w:rFonts w:ascii="Times New Roman" w:hAnsi="Times New Roman" w:cs="Times New Roman"/>
        </w:rPr>
        <w:t>growth was significant and equal to -0,82</w:t>
      </w:r>
      <w:r w:rsidR="000E2E35" w:rsidRPr="00DC6D49">
        <w:rPr>
          <w:rFonts w:ascii="Times New Roman" w:hAnsi="Times New Roman" w:cs="Times New Roman"/>
        </w:rPr>
        <w:t>9</w:t>
      </w:r>
      <w:r w:rsidR="00F2549F" w:rsidRPr="00DC6D49">
        <w:rPr>
          <w:rFonts w:ascii="Times New Roman" w:hAnsi="Times New Roman" w:cs="Times New Roman"/>
        </w:rPr>
        <w:t xml:space="preserve">. </w:t>
      </w:r>
      <w:r w:rsidRPr="00DC6D49">
        <w:rPr>
          <w:rFonts w:ascii="Times New Roman" w:hAnsi="Times New Roman" w:cs="Times New Roman"/>
        </w:rPr>
        <w:t xml:space="preserve">To test the relationship between the technological dynamism and the pattern of evolution of technological specialization, it was correlated the rate of growth of de </w:t>
      </w:r>
      <w:r w:rsidRPr="00DC6D49">
        <w:rPr>
          <w:rFonts w:ascii="Times New Roman" w:hAnsi="Times New Roman" w:cs="Times New Roman"/>
          <w:i/>
          <w:iCs/>
        </w:rPr>
        <w:t>V</w:t>
      </w:r>
      <w:r w:rsidR="000E2E35" w:rsidRPr="00DC6D49">
        <w:rPr>
          <w:rFonts w:ascii="Times New Roman" w:hAnsi="Times New Roman" w:cs="Times New Roman"/>
          <w:i/>
          <w:iCs/>
          <w:vertAlign w:val="subscript"/>
        </w:rPr>
        <w:t>j</w:t>
      </w:r>
      <w:r w:rsidRPr="00DC6D49">
        <w:rPr>
          <w:rFonts w:ascii="Times New Roman" w:hAnsi="Times New Roman" w:cs="Times New Roman"/>
        </w:rPr>
        <w:t xml:space="preserve"> values to the rate of growth of the share of patents between periods for all countries. The Pearson index was </w:t>
      </w:r>
      <w:r w:rsidR="000E2E35" w:rsidRPr="00DC6D49">
        <w:rPr>
          <w:rFonts w:ascii="Times New Roman" w:hAnsi="Times New Roman" w:cs="Times New Roman"/>
        </w:rPr>
        <w:t xml:space="preserve">large, </w:t>
      </w:r>
      <w:r w:rsidRPr="00DC6D49">
        <w:rPr>
          <w:rFonts w:ascii="Times New Roman" w:hAnsi="Times New Roman" w:cs="Times New Roman"/>
        </w:rPr>
        <w:t>negative and significant</w:t>
      </w:r>
      <w:r w:rsidR="000E2E35" w:rsidRPr="00DC6D49">
        <w:rPr>
          <w:rFonts w:ascii="Times New Roman" w:hAnsi="Times New Roman" w:cs="Times New Roman"/>
        </w:rPr>
        <w:t xml:space="preserve"> (-0.723)</w:t>
      </w:r>
      <w:r w:rsidRPr="00DC6D49">
        <w:rPr>
          <w:rFonts w:ascii="Times New Roman" w:hAnsi="Times New Roman" w:cs="Times New Roman"/>
        </w:rPr>
        <w:t xml:space="preserve">, which means that higher technological dynamism is </w:t>
      </w:r>
      <w:r w:rsidR="00394E3E" w:rsidRPr="00DC6D49">
        <w:rPr>
          <w:rFonts w:ascii="Times New Roman" w:hAnsi="Times New Roman" w:cs="Times New Roman"/>
        </w:rPr>
        <w:t>quite</w:t>
      </w:r>
      <w:r w:rsidR="00136A76" w:rsidRPr="00DC6D49">
        <w:rPr>
          <w:rFonts w:ascii="Times New Roman" w:hAnsi="Times New Roman" w:cs="Times New Roman"/>
        </w:rPr>
        <w:t xml:space="preserve"> associated with lo</w:t>
      </w:r>
      <w:r w:rsidRPr="00DC6D49">
        <w:rPr>
          <w:rFonts w:ascii="Times New Roman" w:hAnsi="Times New Roman" w:cs="Times New Roman"/>
        </w:rPr>
        <w:t>wer levels of specialization.</w:t>
      </w:r>
    </w:p>
    <w:p w:rsidR="00DC6D49" w:rsidRPr="00DC6D49" w:rsidRDefault="00DC6D49" w:rsidP="00DC6D49">
      <w:pPr>
        <w:pStyle w:val="Corpodetexto"/>
      </w:pPr>
    </w:p>
    <w:p w:rsidR="00C5105C" w:rsidRDefault="00C5105C" w:rsidP="00DC6D49">
      <w:pPr>
        <w:jc w:val="center"/>
        <w:rPr>
          <w:rFonts w:ascii="Times New Roman" w:hAnsi="Times New Roman" w:cs="Times New Roman"/>
        </w:rPr>
      </w:pPr>
      <w:r w:rsidRPr="00007658">
        <w:rPr>
          <w:rFonts w:ascii="Times New Roman" w:hAnsi="Times New Roman" w:cs="Times New Roman"/>
        </w:rPr>
        <w:t xml:space="preserve">Table </w:t>
      </w:r>
      <w:r w:rsidR="00DC6D49">
        <w:rPr>
          <w:rFonts w:ascii="Times New Roman" w:hAnsi="Times New Roman" w:cs="Times New Roman"/>
        </w:rPr>
        <w:t>4</w:t>
      </w:r>
      <w:r w:rsidRPr="00007658">
        <w:rPr>
          <w:rFonts w:ascii="Times New Roman" w:hAnsi="Times New Roman" w:cs="Times New Roman"/>
        </w:rPr>
        <w:t xml:space="preserve">. </w:t>
      </w:r>
      <w:r w:rsidR="00806A96">
        <w:rPr>
          <w:rFonts w:ascii="Times New Roman" w:hAnsi="Times New Roman" w:cs="Times New Roman"/>
        </w:rPr>
        <w:t xml:space="preserve">Rate of growth of </w:t>
      </w:r>
      <w:r w:rsidR="0005392F" w:rsidRPr="0005392F">
        <w:rPr>
          <w:rFonts w:ascii="Times New Roman" w:hAnsi="Times New Roman" w:cs="Times New Roman"/>
          <w:i/>
          <w:iCs/>
        </w:rPr>
        <w:t>V</w:t>
      </w:r>
      <w:r w:rsidR="0005392F" w:rsidRPr="0005392F">
        <w:rPr>
          <w:rFonts w:ascii="Times New Roman" w:hAnsi="Times New Roman" w:cs="Times New Roman"/>
          <w:i/>
          <w:iCs/>
          <w:vertAlign w:val="subscript"/>
        </w:rPr>
        <w:t>j</w:t>
      </w:r>
      <w:r w:rsidR="0005392F" w:rsidRPr="0005392F">
        <w:rPr>
          <w:rFonts w:ascii="Times New Roman" w:hAnsi="Times New Roman" w:cs="Times New Roman"/>
          <w:i/>
          <w:iCs/>
        </w:rPr>
        <w:t xml:space="preserve"> </w:t>
      </w:r>
      <w:r w:rsidRPr="00007658">
        <w:rPr>
          <w:rFonts w:ascii="Times New Roman" w:hAnsi="Times New Roman" w:cs="Times New Roman"/>
        </w:rPr>
        <w:t>by groups of countries</w:t>
      </w:r>
    </w:p>
    <w:tbl>
      <w:tblPr>
        <w:tblW w:w="5660" w:type="dxa"/>
        <w:jc w:val="center"/>
        <w:tblCellMar>
          <w:left w:w="70" w:type="dxa"/>
          <w:right w:w="70" w:type="dxa"/>
        </w:tblCellMar>
        <w:tblLook w:val="04A0"/>
      </w:tblPr>
      <w:tblGrid>
        <w:gridCol w:w="620"/>
        <w:gridCol w:w="1440"/>
        <w:gridCol w:w="1200"/>
        <w:gridCol w:w="1200"/>
        <w:gridCol w:w="1200"/>
      </w:tblGrid>
      <w:tr w:rsidR="00A91BF4" w:rsidRPr="00A91BF4" w:rsidTr="00A91BF4">
        <w:trPr>
          <w:trHeight w:val="227"/>
          <w:jc w:val="center"/>
        </w:trPr>
        <w:tc>
          <w:tcPr>
            <w:tcW w:w="620" w:type="dxa"/>
            <w:tcBorders>
              <w:top w:val="single" w:sz="4" w:space="0" w:color="auto"/>
              <w:left w:val="nil"/>
              <w:bottom w:val="single" w:sz="4" w:space="0" w:color="auto"/>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 </w:t>
            </w:r>
          </w:p>
        </w:tc>
        <w:tc>
          <w:tcPr>
            <w:tcW w:w="1440" w:type="dxa"/>
            <w:tcBorders>
              <w:top w:val="single" w:sz="4" w:space="0" w:color="auto"/>
              <w:left w:val="single" w:sz="4" w:space="0" w:color="auto"/>
              <w:bottom w:val="single" w:sz="4" w:space="0" w:color="auto"/>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 </w:t>
            </w:r>
          </w:p>
        </w:tc>
        <w:tc>
          <w:tcPr>
            <w:tcW w:w="1200" w:type="dxa"/>
            <w:tcBorders>
              <w:top w:val="single" w:sz="4" w:space="0" w:color="auto"/>
              <w:left w:val="single" w:sz="4" w:space="0" w:color="auto"/>
              <w:bottom w:val="single" w:sz="4" w:space="0" w:color="auto"/>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Before</w:t>
            </w:r>
          </w:p>
        </w:tc>
        <w:tc>
          <w:tcPr>
            <w:tcW w:w="1200" w:type="dxa"/>
            <w:tcBorders>
              <w:top w:val="single" w:sz="4" w:space="0" w:color="auto"/>
              <w:left w:val="nil"/>
              <w:bottom w:val="single" w:sz="4" w:space="0" w:color="auto"/>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After</w:t>
            </w:r>
          </w:p>
        </w:tc>
        <w:tc>
          <w:tcPr>
            <w:tcW w:w="1200" w:type="dxa"/>
            <w:tcBorders>
              <w:top w:val="single" w:sz="4" w:space="0" w:color="auto"/>
              <w:left w:val="nil"/>
              <w:bottom w:val="single" w:sz="4" w:space="0" w:color="auto"/>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Rate of growth (%)</w:t>
            </w:r>
          </w:p>
        </w:tc>
      </w:tr>
      <w:tr w:rsidR="00A91BF4" w:rsidRPr="00A91BF4" w:rsidTr="00A91BF4">
        <w:trPr>
          <w:trHeight w:val="227"/>
          <w:jc w:val="center"/>
        </w:trPr>
        <w:tc>
          <w:tcPr>
            <w:tcW w:w="620" w:type="dxa"/>
            <w:vMerge w:val="restart"/>
            <w:tcBorders>
              <w:top w:val="nil"/>
              <w:left w:val="nil"/>
              <w:bottom w:val="nil"/>
              <w:right w:val="nil"/>
            </w:tcBorders>
            <w:shd w:val="clear" w:color="auto" w:fill="auto"/>
            <w:noWrap/>
            <w:textDirection w:val="btLr"/>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 xml:space="preserve">UE </w:t>
            </w:r>
          </w:p>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Leaders</w:t>
            </w: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Germany</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0,2045</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0,2525</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23,48</w:t>
            </w:r>
          </w:p>
        </w:tc>
      </w:tr>
      <w:tr w:rsidR="00A91BF4" w:rsidRPr="00A91BF4" w:rsidTr="00A91BF4">
        <w:trPr>
          <w:trHeight w:val="227"/>
          <w:jc w:val="center"/>
        </w:trPr>
        <w:tc>
          <w:tcPr>
            <w:tcW w:w="620" w:type="dxa"/>
            <w:vMerge/>
            <w:tcBorders>
              <w:top w:val="nil"/>
              <w:left w:val="nil"/>
              <w:bottom w:val="nil"/>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France</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0,3968</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0,4366</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10,04</w:t>
            </w:r>
          </w:p>
        </w:tc>
      </w:tr>
      <w:tr w:rsidR="00A91BF4" w:rsidRPr="00A91BF4" w:rsidTr="00A91BF4">
        <w:trPr>
          <w:trHeight w:val="227"/>
          <w:jc w:val="center"/>
        </w:trPr>
        <w:tc>
          <w:tcPr>
            <w:tcW w:w="620" w:type="dxa"/>
            <w:vMerge/>
            <w:tcBorders>
              <w:top w:val="nil"/>
              <w:left w:val="nil"/>
              <w:bottom w:val="nil"/>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Great Britain</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0,4178</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0,5186</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24,11</w:t>
            </w:r>
          </w:p>
        </w:tc>
      </w:tr>
      <w:tr w:rsidR="00A91BF4" w:rsidRPr="00A91BF4" w:rsidTr="00A91BF4">
        <w:trPr>
          <w:trHeight w:val="227"/>
          <w:jc w:val="center"/>
        </w:trPr>
        <w:tc>
          <w:tcPr>
            <w:tcW w:w="620" w:type="dxa"/>
            <w:vMerge w:val="restart"/>
            <w:tcBorders>
              <w:top w:val="single" w:sz="4" w:space="0" w:color="auto"/>
              <w:left w:val="nil"/>
              <w:bottom w:val="single" w:sz="4" w:space="0" w:color="000000"/>
              <w:right w:val="nil"/>
            </w:tcBorders>
            <w:shd w:val="clear" w:color="auto" w:fill="auto"/>
            <w:noWrap/>
            <w:textDirection w:val="btLr"/>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UE Medium</w:t>
            </w:r>
          </w:p>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 xml:space="preserve"> technological level</w:t>
            </w:r>
          </w:p>
        </w:tc>
        <w:tc>
          <w:tcPr>
            <w:tcW w:w="1440" w:type="dxa"/>
            <w:tcBorders>
              <w:top w:val="single" w:sz="4" w:space="0" w:color="auto"/>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Austria</w:t>
            </w:r>
          </w:p>
        </w:tc>
        <w:tc>
          <w:tcPr>
            <w:tcW w:w="1200" w:type="dxa"/>
            <w:tcBorders>
              <w:top w:val="single" w:sz="4" w:space="0" w:color="auto"/>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0,7416</w:t>
            </w:r>
          </w:p>
        </w:tc>
        <w:tc>
          <w:tcPr>
            <w:tcW w:w="1200" w:type="dxa"/>
            <w:tcBorders>
              <w:top w:val="single" w:sz="4" w:space="0" w:color="auto"/>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0,7090</w:t>
            </w:r>
          </w:p>
        </w:tc>
        <w:tc>
          <w:tcPr>
            <w:tcW w:w="1200" w:type="dxa"/>
            <w:tcBorders>
              <w:top w:val="single" w:sz="4" w:space="0" w:color="auto"/>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-4,39</w:t>
            </w:r>
          </w:p>
        </w:tc>
      </w:tr>
      <w:tr w:rsidR="00A91BF4" w:rsidRPr="00A91BF4" w:rsidTr="00A91BF4">
        <w:trPr>
          <w:trHeight w:val="227"/>
          <w:jc w:val="center"/>
        </w:trPr>
        <w:tc>
          <w:tcPr>
            <w:tcW w:w="620" w:type="dxa"/>
            <w:vMerge/>
            <w:tcBorders>
              <w:top w:val="single" w:sz="4" w:space="0" w:color="auto"/>
              <w:left w:val="nil"/>
              <w:bottom w:val="single" w:sz="4" w:space="0" w:color="000000"/>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Bel-Lux</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1,2032</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1,1196</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-6,95</w:t>
            </w:r>
          </w:p>
        </w:tc>
      </w:tr>
      <w:tr w:rsidR="00A91BF4" w:rsidRPr="00A91BF4" w:rsidTr="00A91BF4">
        <w:trPr>
          <w:trHeight w:val="227"/>
          <w:jc w:val="center"/>
        </w:trPr>
        <w:tc>
          <w:tcPr>
            <w:tcW w:w="620" w:type="dxa"/>
            <w:vMerge/>
            <w:tcBorders>
              <w:top w:val="single" w:sz="4" w:space="0" w:color="auto"/>
              <w:left w:val="nil"/>
              <w:bottom w:val="single" w:sz="4" w:space="0" w:color="000000"/>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Italy</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0,6235</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0,6576</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5,47</w:t>
            </w:r>
          </w:p>
        </w:tc>
      </w:tr>
      <w:tr w:rsidR="00A91BF4" w:rsidRPr="00A91BF4" w:rsidTr="00A91BF4">
        <w:trPr>
          <w:trHeight w:val="227"/>
          <w:jc w:val="center"/>
        </w:trPr>
        <w:tc>
          <w:tcPr>
            <w:tcW w:w="620" w:type="dxa"/>
            <w:vMerge/>
            <w:tcBorders>
              <w:top w:val="single" w:sz="4" w:space="0" w:color="auto"/>
              <w:left w:val="nil"/>
              <w:bottom w:val="single" w:sz="4" w:space="0" w:color="000000"/>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Netherlands</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0,7911</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0,8949</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13,13</w:t>
            </w:r>
          </w:p>
        </w:tc>
      </w:tr>
      <w:tr w:rsidR="00A91BF4" w:rsidRPr="00A91BF4" w:rsidTr="00A91BF4">
        <w:trPr>
          <w:trHeight w:val="227"/>
          <w:jc w:val="center"/>
        </w:trPr>
        <w:tc>
          <w:tcPr>
            <w:tcW w:w="620" w:type="dxa"/>
            <w:vMerge/>
            <w:tcBorders>
              <w:top w:val="single" w:sz="4" w:space="0" w:color="auto"/>
              <w:left w:val="nil"/>
              <w:bottom w:val="single" w:sz="4" w:space="0" w:color="000000"/>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Sweden</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0,7864</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0,6872</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-12,61</w:t>
            </w:r>
          </w:p>
        </w:tc>
      </w:tr>
      <w:tr w:rsidR="00A91BF4" w:rsidRPr="00A91BF4" w:rsidTr="00A91BF4">
        <w:trPr>
          <w:trHeight w:val="227"/>
          <w:jc w:val="center"/>
        </w:trPr>
        <w:tc>
          <w:tcPr>
            <w:tcW w:w="620" w:type="dxa"/>
            <w:vMerge/>
            <w:tcBorders>
              <w:top w:val="single" w:sz="4" w:space="0" w:color="auto"/>
              <w:left w:val="nil"/>
              <w:bottom w:val="single" w:sz="4" w:space="0" w:color="000000"/>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Denmark</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0,9832</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1,0771</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9,55</w:t>
            </w:r>
          </w:p>
        </w:tc>
      </w:tr>
      <w:tr w:rsidR="00A91BF4" w:rsidRPr="00A91BF4" w:rsidTr="00A91BF4">
        <w:trPr>
          <w:trHeight w:val="227"/>
          <w:jc w:val="center"/>
        </w:trPr>
        <w:tc>
          <w:tcPr>
            <w:tcW w:w="620" w:type="dxa"/>
            <w:vMerge/>
            <w:tcBorders>
              <w:top w:val="single" w:sz="4" w:space="0" w:color="auto"/>
              <w:left w:val="nil"/>
              <w:bottom w:val="single" w:sz="4" w:space="0" w:color="000000"/>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single" w:sz="4" w:space="0" w:color="auto"/>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Finland</w:t>
            </w:r>
          </w:p>
        </w:tc>
        <w:tc>
          <w:tcPr>
            <w:tcW w:w="1200" w:type="dxa"/>
            <w:tcBorders>
              <w:top w:val="nil"/>
              <w:left w:val="single" w:sz="4" w:space="0" w:color="auto"/>
              <w:bottom w:val="single" w:sz="4" w:space="0" w:color="auto"/>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1,4488</w:t>
            </w:r>
          </w:p>
        </w:tc>
        <w:tc>
          <w:tcPr>
            <w:tcW w:w="1200" w:type="dxa"/>
            <w:tcBorders>
              <w:top w:val="nil"/>
              <w:left w:val="nil"/>
              <w:bottom w:val="single" w:sz="4" w:space="0" w:color="auto"/>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1,4129</w:t>
            </w:r>
          </w:p>
        </w:tc>
        <w:tc>
          <w:tcPr>
            <w:tcW w:w="1200" w:type="dxa"/>
            <w:tcBorders>
              <w:top w:val="nil"/>
              <w:left w:val="nil"/>
              <w:bottom w:val="single" w:sz="4" w:space="0" w:color="auto"/>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-2,48</w:t>
            </w:r>
          </w:p>
        </w:tc>
      </w:tr>
      <w:tr w:rsidR="00A91BF4" w:rsidRPr="00A91BF4" w:rsidTr="00A91BF4">
        <w:trPr>
          <w:trHeight w:val="227"/>
          <w:jc w:val="center"/>
        </w:trPr>
        <w:tc>
          <w:tcPr>
            <w:tcW w:w="620" w:type="dxa"/>
            <w:vMerge w:val="restart"/>
            <w:tcBorders>
              <w:top w:val="nil"/>
              <w:left w:val="nil"/>
              <w:bottom w:val="nil"/>
              <w:right w:val="nil"/>
            </w:tcBorders>
            <w:shd w:val="clear" w:color="auto" w:fill="auto"/>
            <w:noWrap/>
            <w:textDirection w:val="btLr"/>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UE Delayers</w:t>
            </w: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Spain</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0,7509</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0,6232</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-17,01</w:t>
            </w:r>
          </w:p>
        </w:tc>
      </w:tr>
      <w:tr w:rsidR="00A91BF4" w:rsidRPr="00A91BF4" w:rsidTr="00A91BF4">
        <w:trPr>
          <w:trHeight w:val="227"/>
          <w:jc w:val="center"/>
        </w:trPr>
        <w:tc>
          <w:tcPr>
            <w:tcW w:w="620" w:type="dxa"/>
            <w:vMerge/>
            <w:tcBorders>
              <w:top w:val="nil"/>
              <w:left w:val="nil"/>
              <w:bottom w:val="nil"/>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Greece</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1,8306</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1,7539</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-4,19</w:t>
            </w:r>
          </w:p>
        </w:tc>
      </w:tr>
      <w:tr w:rsidR="00A91BF4" w:rsidRPr="00A91BF4" w:rsidTr="00A91BF4">
        <w:trPr>
          <w:trHeight w:val="227"/>
          <w:jc w:val="center"/>
        </w:trPr>
        <w:tc>
          <w:tcPr>
            <w:tcW w:w="620" w:type="dxa"/>
            <w:vMerge/>
            <w:tcBorders>
              <w:top w:val="nil"/>
              <w:left w:val="nil"/>
              <w:bottom w:val="nil"/>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Ireland</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1,6797</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1,0634</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-36,69</w:t>
            </w:r>
          </w:p>
        </w:tc>
      </w:tr>
      <w:tr w:rsidR="00A91BF4" w:rsidRPr="00A91BF4" w:rsidTr="00A91BF4">
        <w:trPr>
          <w:trHeight w:val="227"/>
          <w:jc w:val="center"/>
        </w:trPr>
        <w:tc>
          <w:tcPr>
            <w:tcW w:w="620" w:type="dxa"/>
            <w:vMerge/>
            <w:tcBorders>
              <w:top w:val="nil"/>
              <w:left w:val="nil"/>
              <w:bottom w:val="nil"/>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Portugal</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3,9480</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sz w:val="18"/>
                <w:szCs w:val="18"/>
                <w:lang w:eastAsia="es-ES"/>
              </w:rPr>
            </w:pPr>
            <w:r w:rsidRPr="00394E3E">
              <w:rPr>
                <w:rFonts w:ascii="Times New Roman" w:hAnsi="Times New Roman" w:cs="Times New Roman"/>
                <w:sz w:val="18"/>
                <w:szCs w:val="18"/>
                <w:lang w:eastAsia="es-ES"/>
              </w:rPr>
              <w:t>2,0158</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-48,94</w:t>
            </w:r>
          </w:p>
        </w:tc>
      </w:tr>
      <w:tr w:rsidR="00A91BF4" w:rsidRPr="00A91BF4" w:rsidTr="00A91BF4">
        <w:trPr>
          <w:trHeight w:val="227"/>
          <w:jc w:val="center"/>
        </w:trPr>
        <w:tc>
          <w:tcPr>
            <w:tcW w:w="620" w:type="dxa"/>
            <w:vMerge w:val="restart"/>
            <w:tcBorders>
              <w:top w:val="single" w:sz="4" w:space="0" w:color="auto"/>
              <w:left w:val="nil"/>
              <w:bottom w:val="single" w:sz="4" w:space="0" w:color="000000"/>
              <w:right w:val="nil"/>
            </w:tcBorders>
            <w:shd w:val="clear" w:color="auto" w:fill="auto"/>
            <w:noWrap/>
            <w:textDirection w:val="btLr"/>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Latin American</w:t>
            </w:r>
          </w:p>
        </w:tc>
        <w:tc>
          <w:tcPr>
            <w:tcW w:w="1440" w:type="dxa"/>
            <w:tcBorders>
              <w:top w:val="single" w:sz="4" w:space="0" w:color="auto"/>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Argentina</w:t>
            </w:r>
          </w:p>
        </w:tc>
        <w:tc>
          <w:tcPr>
            <w:tcW w:w="1200" w:type="dxa"/>
            <w:tcBorders>
              <w:top w:val="single" w:sz="4" w:space="0" w:color="auto"/>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2,8662</w:t>
            </w:r>
          </w:p>
        </w:tc>
        <w:tc>
          <w:tcPr>
            <w:tcW w:w="1200" w:type="dxa"/>
            <w:tcBorders>
              <w:top w:val="single" w:sz="4" w:space="0" w:color="auto"/>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1,5830</w:t>
            </w:r>
          </w:p>
        </w:tc>
        <w:tc>
          <w:tcPr>
            <w:tcW w:w="1200" w:type="dxa"/>
            <w:tcBorders>
              <w:top w:val="single" w:sz="4" w:space="0" w:color="auto"/>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-44,77</w:t>
            </w:r>
          </w:p>
        </w:tc>
      </w:tr>
      <w:tr w:rsidR="00A91BF4" w:rsidRPr="00A91BF4" w:rsidTr="00A91BF4">
        <w:trPr>
          <w:trHeight w:val="227"/>
          <w:jc w:val="center"/>
        </w:trPr>
        <w:tc>
          <w:tcPr>
            <w:tcW w:w="620" w:type="dxa"/>
            <w:vMerge/>
            <w:tcBorders>
              <w:top w:val="single" w:sz="4" w:space="0" w:color="auto"/>
              <w:left w:val="nil"/>
              <w:bottom w:val="single" w:sz="4" w:space="0" w:color="000000"/>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Brazil</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1,5160</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1,6997</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12,12</w:t>
            </w:r>
          </w:p>
        </w:tc>
      </w:tr>
      <w:tr w:rsidR="00A91BF4" w:rsidRPr="00A91BF4" w:rsidTr="00A91BF4">
        <w:trPr>
          <w:trHeight w:val="227"/>
          <w:jc w:val="center"/>
        </w:trPr>
        <w:tc>
          <w:tcPr>
            <w:tcW w:w="620" w:type="dxa"/>
            <w:vMerge/>
            <w:tcBorders>
              <w:top w:val="single" w:sz="4" w:space="0" w:color="auto"/>
              <w:left w:val="nil"/>
              <w:bottom w:val="single" w:sz="4" w:space="0" w:color="000000"/>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Chile</w:t>
            </w:r>
          </w:p>
        </w:tc>
        <w:tc>
          <w:tcPr>
            <w:tcW w:w="1200" w:type="dxa"/>
            <w:tcBorders>
              <w:top w:val="nil"/>
              <w:left w:val="single" w:sz="4" w:space="0" w:color="auto"/>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5,1439</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2,4450</w:t>
            </w:r>
          </w:p>
        </w:tc>
        <w:tc>
          <w:tcPr>
            <w:tcW w:w="1200" w:type="dxa"/>
            <w:tcBorders>
              <w:top w:val="nil"/>
              <w:left w:val="nil"/>
              <w:bottom w:val="nil"/>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-52,47</w:t>
            </w:r>
          </w:p>
        </w:tc>
      </w:tr>
      <w:tr w:rsidR="00A91BF4" w:rsidRPr="00A91BF4" w:rsidTr="00A91BF4">
        <w:trPr>
          <w:trHeight w:val="227"/>
          <w:jc w:val="center"/>
        </w:trPr>
        <w:tc>
          <w:tcPr>
            <w:tcW w:w="620" w:type="dxa"/>
            <w:vMerge/>
            <w:tcBorders>
              <w:top w:val="single" w:sz="4" w:space="0" w:color="auto"/>
              <w:left w:val="nil"/>
              <w:bottom w:val="single" w:sz="4" w:space="0" w:color="000000"/>
              <w:right w:val="nil"/>
            </w:tcBorders>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p>
        </w:tc>
        <w:tc>
          <w:tcPr>
            <w:tcW w:w="1440" w:type="dxa"/>
            <w:tcBorders>
              <w:top w:val="nil"/>
              <w:left w:val="single" w:sz="4" w:space="0" w:color="auto"/>
              <w:bottom w:val="single" w:sz="4" w:space="0" w:color="auto"/>
              <w:right w:val="nil"/>
            </w:tcBorders>
            <w:shd w:val="clear" w:color="auto" w:fill="auto"/>
            <w:noWrap/>
            <w:vAlign w:val="center"/>
            <w:hideMark/>
          </w:tcPr>
          <w:p w:rsidR="00A91BF4" w:rsidRPr="00394E3E" w:rsidRDefault="00A91BF4"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Mexico</w:t>
            </w:r>
          </w:p>
        </w:tc>
        <w:tc>
          <w:tcPr>
            <w:tcW w:w="1200" w:type="dxa"/>
            <w:tcBorders>
              <w:top w:val="nil"/>
              <w:left w:val="single" w:sz="4" w:space="0" w:color="auto"/>
              <w:bottom w:val="single" w:sz="4" w:space="0" w:color="auto"/>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2,6467</w:t>
            </w:r>
          </w:p>
        </w:tc>
        <w:tc>
          <w:tcPr>
            <w:tcW w:w="1200" w:type="dxa"/>
            <w:tcBorders>
              <w:top w:val="nil"/>
              <w:left w:val="nil"/>
              <w:bottom w:val="single" w:sz="4" w:space="0" w:color="auto"/>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2,3026</w:t>
            </w:r>
          </w:p>
        </w:tc>
        <w:tc>
          <w:tcPr>
            <w:tcW w:w="1200" w:type="dxa"/>
            <w:tcBorders>
              <w:top w:val="nil"/>
              <w:left w:val="nil"/>
              <w:bottom w:val="single" w:sz="4" w:space="0" w:color="auto"/>
              <w:right w:val="nil"/>
            </w:tcBorders>
            <w:shd w:val="clear" w:color="auto" w:fill="auto"/>
            <w:noWrap/>
            <w:vAlign w:val="center"/>
            <w:hideMark/>
          </w:tcPr>
          <w:p w:rsidR="00A91BF4" w:rsidRPr="00394E3E" w:rsidRDefault="00A91BF4"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394E3E">
              <w:rPr>
                <w:rFonts w:ascii="Times New Roman" w:hAnsi="Times New Roman" w:cs="Times New Roman"/>
                <w:color w:val="000000"/>
                <w:sz w:val="18"/>
                <w:szCs w:val="18"/>
                <w:lang w:eastAsia="es-ES"/>
              </w:rPr>
              <w:t>-13,00</w:t>
            </w:r>
          </w:p>
        </w:tc>
      </w:tr>
    </w:tbl>
    <w:p w:rsidR="00C5105C" w:rsidRPr="00007658" w:rsidRDefault="00806A96" w:rsidP="00DC6D49">
      <w:pPr>
        <w:pStyle w:val="Corpodetexto"/>
        <w:ind w:left="2268" w:firstLine="0"/>
        <w:rPr>
          <w:rFonts w:ascii="Times New Roman" w:hAnsi="Times New Roman" w:cs="Times New Roman"/>
          <w:color w:val="FF0000"/>
        </w:rPr>
      </w:pPr>
      <w:r>
        <w:rPr>
          <w:rFonts w:ascii="Times New Roman" w:hAnsi="Times New Roman" w:cs="Times New Roman"/>
          <w:sz w:val="18"/>
          <w:szCs w:val="18"/>
        </w:rPr>
        <w:t xml:space="preserve">Note: </w:t>
      </w:r>
      <w:r w:rsidR="00F2549F">
        <w:rPr>
          <w:rFonts w:ascii="Times New Roman" w:hAnsi="Times New Roman" w:cs="Times New Roman"/>
          <w:sz w:val="18"/>
          <w:szCs w:val="18"/>
        </w:rPr>
        <w:t>3</w:t>
      </w:r>
      <w:r>
        <w:rPr>
          <w:rFonts w:ascii="Times New Roman" w:hAnsi="Times New Roman" w:cs="Times New Roman"/>
          <w:sz w:val="18"/>
          <w:szCs w:val="18"/>
        </w:rPr>
        <w:t xml:space="preserve">-digits aggregation level. </w:t>
      </w:r>
      <w:r w:rsidR="00C5105C" w:rsidRPr="000746C4">
        <w:rPr>
          <w:rFonts w:ascii="Times New Roman" w:hAnsi="Times New Roman" w:cs="Times New Roman"/>
          <w:sz w:val="18"/>
          <w:szCs w:val="18"/>
        </w:rPr>
        <w:t>Source; EPO and own elaboration</w:t>
      </w:r>
      <w:r w:rsidR="00C5105C" w:rsidRPr="00007658">
        <w:rPr>
          <w:rFonts w:ascii="Times New Roman" w:hAnsi="Times New Roman" w:cs="Times New Roman"/>
          <w:color w:val="FF0000"/>
        </w:rPr>
        <w:t>.</w:t>
      </w:r>
    </w:p>
    <w:p w:rsidR="00D81F06" w:rsidRPr="00DC6D49" w:rsidRDefault="00C5105C" w:rsidP="00EF2585">
      <w:pPr>
        <w:pStyle w:val="Corpodetexto"/>
        <w:rPr>
          <w:rFonts w:ascii="Times New Roman" w:hAnsi="Times New Roman" w:cs="Times New Roman"/>
        </w:rPr>
      </w:pPr>
      <w:r w:rsidRPr="00007658">
        <w:rPr>
          <w:rFonts w:ascii="Times New Roman" w:hAnsi="Times New Roman" w:cs="Times New Roman"/>
        </w:rPr>
        <w:t>The analysis of mobility and persistence help</w:t>
      </w:r>
      <w:r w:rsidR="007369E3">
        <w:rPr>
          <w:rFonts w:ascii="Times New Roman" w:hAnsi="Times New Roman" w:cs="Times New Roman"/>
        </w:rPr>
        <w:t>s</w:t>
      </w:r>
      <w:r w:rsidRPr="00007658">
        <w:rPr>
          <w:rFonts w:ascii="Times New Roman" w:hAnsi="Times New Roman" w:cs="Times New Roman"/>
        </w:rPr>
        <w:t xml:space="preserve"> to </w:t>
      </w:r>
      <w:r w:rsidR="007369E3">
        <w:rPr>
          <w:rFonts w:ascii="Times New Roman" w:hAnsi="Times New Roman" w:cs="Times New Roman"/>
        </w:rPr>
        <w:t>understand</w:t>
      </w:r>
      <w:r w:rsidRPr="00007658">
        <w:rPr>
          <w:rFonts w:ascii="Times New Roman" w:hAnsi="Times New Roman" w:cs="Times New Roman"/>
        </w:rPr>
        <w:t xml:space="preserve"> the evolution of </w:t>
      </w:r>
      <w:r w:rsidR="007369E3" w:rsidRPr="00007658">
        <w:rPr>
          <w:rFonts w:ascii="Times New Roman" w:hAnsi="Times New Roman" w:cs="Times New Roman"/>
        </w:rPr>
        <w:t xml:space="preserve">specialization </w:t>
      </w:r>
      <w:r w:rsidRPr="00007658">
        <w:rPr>
          <w:rFonts w:ascii="Times New Roman" w:hAnsi="Times New Roman" w:cs="Times New Roman"/>
        </w:rPr>
        <w:t xml:space="preserve">patterns. </w:t>
      </w:r>
      <w:r w:rsidR="00A558F4">
        <w:rPr>
          <w:rFonts w:ascii="Times New Roman" w:hAnsi="Times New Roman" w:cs="Times New Roman"/>
        </w:rPr>
        <w:t>M</w:t>
      </w:r>
      <w:r w:rsidRPr="00007658">
        <w:rPr>
          <w:rFonts w:ascii="Times New Roman" w:hAnsi="Times New Roman" w:cs="Times New Roman"/>
        </w:rPr>
        <w:t xml:space="preserve">obility is measured </w:t>
      </w:r>
      <w:r w:rsidR="007369E3">
        <w:rPr>
          <w:rFonts w:ascii="Times New Roman" w:hAnsi="Times New Roman" w:cs="Times New Roman"/>
        </w:rPr>
        <w:t>by</w:t>
      </w:r>
      <w:r w:rsidRPr="00007658">
        <w:rPr>
          <w:rFonts w:ascii="Times New Roman" w:hAnsi="Times New Roman" w:cs="Times New Roman"/>
        </w:rPr>
        <w:t xml:space="preserve"> the percentage of sectors that</w:t>
      </w:r>
      <w:r w:rsidR="00693A70">
        <w:rPr>
          <w:rFonts w:ascii="Times New Roman" w:hAnsi="Times New Roman" w:cs="Times New Roman"/>
        </w:rPr>
        <w:t xml:space="preserve"> changed position from non-specialization to specialization or vice-versa</w:t>
      </w:r>
      <w:r w:rsidR="00DC6D49">
        <w:rPr>
          <w:rFonts w:ascii="Times New Roman" w:hAnsi="Times New Roman" w:cs="Times New Roman"/>
        </w:rPr>
        <w:t xml:space="preserve"> for a 3-digits level of aggregation (1</w:t>
      </w:r>
      <w:r w:rsidR="00EF2585">
        <w:rPr>
          <w:rFonts w:ascii="Times New Roman" w:hAnsi="Times New Roman" w:cs="Times New Roman"/>
        </w:rPr>
        <w:t>2</w:t>
      </w:r>
      <w:r w:rsidR="00DC6D49">
        <w:rPr>
          <w:rFonts w:ascii="Times New Roman" w:hAnsi="Times New Roman" w:cs="Times New Roman"/>
        </w:rPr>
        <w:t>0 technological classes)</w:t>
      </w:r>
      <w:r w:rsidR="00693A70">
        <w:rPr>
          <w:rFonts w:ascii="Times New Roman" w:hAnsi="Times New Roman" w:cs="Times New Roman"/>
        </w:rPr>
        <w:t xml:space="preserve">. </w:t>
      </w:r>
      <w:r w:rsidRPr="00007658">
        <w:rPr>
          <w:rFonts w:ascii="Times New Roman" w:hAnsi="Times New Roman" w:cs="Times New Roman"/>
        </w:rPr>
        <w:t>Persistence is measured as the percentage of sectors which specialization or de</w:t>
      </w:r>
      <w:r w:rsidR="00631AA8">
        <w:rPr>
          <w:rFonts w:ascii="Times New Roman" w:hAnsi="Times New Roman" w:cs="Times New Roman"/>
        </w:rPr>
        <w:t>s</w:t>
      </w:r>
      <w:r w:rsidRPr="00007658">
        <w:rPr>
          <w:rFonts w:ascii="Times New Roman" w:hAnsi="Times New Roman" w:cs="Times New Roman"/>
        </w:rPr>
        <w:t xml:space="preserve">-specialization remained. </w:t>
      </w:r>
      <w:r w:rsidR="00D81F06">
        <w:rPr>
          <w:rFonts w:ascii="Times New Roman" w:hAnsi="Times New Roman" w:cs="Times New Roman"/>
        </w:rPr>
        <w:t>Data results confirm the theoretical background on the persistence phenomenon and its higher importance over mobility as explicative factor of the stability of the specialization patterns. However, some relevant facts can be observed</w:t>
      </w:r>
      <w:r w:rsidR="00DC6D49">
        <w:rPr>
          <w:rFonts w:ascii="Times New Roman" w:hAnsi="Times New Roman" w:cs="Times New Roman"/>
        </w:rPr>
        <w:t xml:space="preserve"> (table 5)</w:t>
      </w:r>
      <w:r w:rsidR="005A0BE1">
        <w:rPr>
          <w:rFonts w:ascii="Times New Roman" w:hAnsi="Times New Roman" w:cs="Times New Roman"/>
        </w:rPr>
        <w:t>:</w:t>
      </w:r>
      <w:r w:rsidR="00D81F06" w:rsidRPr="00BC489D">
        <w:rPr>
          <w:rFonts w:ascii="Times New Roman" w:hAnsi="Times New Roman" w:cs="Times New Roman"/>
          <w:color w:val="FF0000"/>
        </w:rPr>
        <w:t xml:space="preserve"> </w:t>
      </w:r>
      <w:r w:rsidR="00D81F06" w:rsidRPr="00DC6D49">
        <w:rPr>
          <w:rFonts w:ascii="Times New Roman" w:hAnsi="Times New Roman" w:cs="Times New Roman"/>
        </w:rPr>
        <w:t xml:space="preserve">i) in aggregate, persistence prevails over mobility for all groups of countries; ii) persistence in de-specialization is </w:t>
      </w:r>
      <w:r w:rsidR="008B3BBB" w:rsidRPr="00DC6D49">
        <w:rPr>
          <w:rFonts w:ascii="Times New Roman" w:hAnsi="Times New Roman" w:cs="Times New Roman"/>
        </w:rPr>
        <w:t>very much higher</w:t>
      </w:r>
      <w:r w:rsidR="00D81F06" w:rsidRPr="00DC6D49">
        <w:rPr>
          <w:rFonts w:ascii="Times New Roman" w:hAnsi="Times New Roman" w:cs="Times New Roman"/>
        </w:rPr>
        <w:t xml:space="preserve"> than persistence in specialization</w:t>
      </w:r>
      <w:r w:rsidR="008B3BBB" w:rsidRPr="00DC6D49">
        <w:rPr>
          <w:rFonts w:ascii="Times New Roman" w:hAnsi="Times New Roman" w:cs="Times New Roman"/>
        </w:rPr>
        <w:t>, especially in European Delayers and Latin American countries</w:t>
      </w:r>
      <w:r w:rsidR="00BC489D" w:rsidRPr="00DC6D49">
        <w:rPr>
          <w:rFonts w:ascii="Times New Roman" w:hAnsi="Times New Roman" w:cs="Times New Roman"/>
        </w:rPr>
        <w:t xml:space="preserve">; </w:t>
      </w:r>
      <w:r w:rsidR="008B3BBB" w:rsidRPr="00DC6D49">
        <w:rPr>
          <w:rFonts w:ascii="Times New Roman" w:hAnsi="Times New Roman" w:cs="Times New Roman"/>
        </w:rPr>
        <w:t>ii</w:t>
      </w:r>
      <w:r w:rsidR="00BC489D" w:rsidRPr="00DC6D49">
        <w:rPr>
          <w:rFonts w:ascii="Times New Roman" w:hAnsi="Times New Roman" w:cs="Times New Roman"/>
        </w:rPr>
        <w:t>i</w:t>
      </w:r>
      <w:r w:rsidR="00D81F06" w:rsidRPr="00DC6D49">
        <w:rPr>
          <w:rFonts w:ascii="Times New Roman" w:hAnsi="Times New Roman" w:cs="Times New Roman"/>
        </w:rPr>
        <w:t>) mobility (both, to specialization and to des-specialization) is a</w:t>
      </w:r>
      <w:r w:rsidR="00BC489D" w:rsidRPr="00DC6D49">
        <w:rPr>
          <w:rFonts w:ascii="Times New Roman" w:hAnsi="Times New Roman" w:cs="Times New Roman"/>
        </w:rPr>
        <w:t>t least as</w:t>
      </w:r>
      <w:r w:rsidR="00D81F06" w:rsidRPr="00DC6D49">
        <w:rPr>
          <w:rFonts w:ascii="Times New Roman" w:hAnsi="Times New Roman" w:cs="Times New Roman"/>
        </w:rPr>
        <w:t xml:space="preserve"> relevant </w:t>
      </w:r>
      <w:r w:rsidR="00BC489D" w:rsidRPr="00DC6D49">
        <w:rPr>
          <w:rFonts w:ascii="Times New Roman" w:hAnsi="Times New Roman" w:cs="Times New Roman"/>
        </w:rPr>
        <w:t>as</w:t>
      </w:r>
      <w:r w:rsidR="00D81F06" w:rsidRPr="00DC6D49">
        <w:rPr>
          <w:rFonts w:ascii="Times New Roman" w:hAnsi="Times New Roman" w:cs="Times New Roman"/>
        </w:rPr>
        <w:t xml:space="preserve"> persistence in specialization at 3-digit level of aggregation; </w:t>
      </w:r>
      <w:r w:rsidR="008B3BBB" w:rsidRPr="00DC6D49">
        <w:rPr>
          <w:rFonts w:ascii="Times New Roman" w:hAnsi="Times New Roman" w:cs="Times New Roman"/>
        </w:rPr>
        <w:t>i</w:t>
      </w:r>
      <w:r w:rsidR="00D81F06" w:rsidRPr="00DC6D49">
        <w:rPr>
          <w:rFonts w:ascii="Times New Roman" w:hAnsi="Times New Roman" w:cs="Times New Roman"/>
        </w:rPr>
        <w:t xml:space="preserve">v) the relative importance of mobility rises as the level of technological development assumes lower values. For </w:t>
      </w:r>
      <w:r w:rsidR="00D81F06" w:rsidRPr="00DC6D49">
        <w:rPr>
          <w:rFonts w:ascii="Times New Roman" w:hAnsi="Times New Roman" w:cs="Times New Roman"/>
        </w:rPr>
        <w:lastRenderedPageBreak/>
        <w:t>European followers and Latin American countries, mobility to new technological fields is a more relevant phenomenon than persistence in their s</w:t>
      </w:r>
      <w:r w:rsidR="00BC489D" w:rsidRPr="00DC6D49">
        <w:rPr>
          <w:rFonts w:ascii="Times New Roman" w:hAnsi="Times New Roman" w:cs="Times New Roman"/>
        </w:rPr>
        <w:t>pecialization pattern dynamics.</w:t>
      </w:r>
    </w:p>
    <w:p w:rsidR="00E90AA2" w:rsidRDefault="00E90AA2" w:rsidP="00DC6D49">
      <w:pPr>
        <w:jc w:val="center"/>
        <w:rPr>
          <w:rFonts w:ascii="Times New Roman" w:hAnsi="Times New Roman" w:cs="Times New Roman"/>
        </w:rPr>
      </w:pPr>
    </w:p>
    <w:p w:rsidR="00806A96" w:rsidRDefault="00C5105C" w:rsidP="00DC6D49">
      <w:pPr>
        <w:jc w:val="center"/>
        <w:rPr>
          <w:rFonts w:ascii="Times New Roman" w:hAnsi="Times New Roman" w:cs="Times New Roman"/>
        </w:rPr>
      </w:pPr>
      <w:r w:rsidRPr="00007658">
        <w:rPr>
          <w:rFonts w:ascii="Times New Roman" w:hAnsi="Times New Roman" w:cs="Times New Roman"/>
        </w:rPr>
        <w:t xml:space="preserve">Table </w:t>
      </w:r>
      <w:r w:rsidR="00DC6D49">
        <w:rPr>
          <w:rFonts w:ascii="Times New Roman" w:hAnsi="Times New Roman" w:cs="Times New Roman"/>
        </w:rPr>
        <w:t>5</w:t>
      </w:r>
      <w:r w:rsidRPr="00007658">
        <w:rPr>
          <w:rFonts w:ascii="Times New Roman" w:hAnsi="Times New Roman" w:cs="Times New Roman"/>
        </w:rPr>
        <w:t>. Mobility and persistence of specialization (%)</w:t>
      </w:r>
      <w:r>
        <w:rPr>
          <w:rFonts w:ascii="Times New Roman" w:hAnsi="Times New Roman" w:cs="Times New Roman"/>
        </w:rPr>
        <w:t>.</w:t>
      </w:r>
    </w:p>
    <w:tbl>
      <w:tblPr>
        <w:tblW w:w="5860" w:type="dxa"/>
        <w:jc w:val="center"/>
        <w:tblCellMar>
          <w:left w:w="70" w:type="dxa"/>
          <w:right w:w="70" w:type="dxa"/>
        </w:tblCellMar>
        <w:tblLook w:val="04A0"/>
      </w:tblPr>
      <w:tblGrid>
        <w:gridCol w:w="1580"/>
        <w:gridCol w:w="760"/>
        <w:gridCol w:w="760"/>
        <w:gridCol w:w="760"/>
        <w:gridCol w:w="1119"/>
        <w:gridCol w:w="881"/>
      </w:tblGrid>
      <w:tr w:rsidR="00BC489D" w:rsidRPr="00CB4ED2" w:rsidTr="00BC489D">
        <w:trPr>
          <w:trHeight w:val="227"/>
          <w:jc w:val="center"/>
        </w:trPr>
        <w:tc>
          <w:tcPr>
            <w:tcW w:w="1580" w:type="dxa"/>
            <w:tcBorders>
              <w:top w:val="single" w:sz="4" w:space="0" w:color="auto"/>
              <w:left w:val="nil"/>
              <w:bottom w:val="single" w:sz="4" w:space="0" w:color="auto"/>
              <w:right w:val="nil"/>
            </w:tcBorders>
            <w:shd w:val="clear" w:color="auto" w:fill="auto"/>
            <w:noWrap/>
            <w:vAlign w:val="bottom"/>
            <w:hideMark/>
          </w:tcPr>
          <w:p w:rsidR="00BC489D" w:rsidRPr="00CB4ED2" w:rsidRDefault="00BC489D"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 </w:t>
            </w:r>
          </w:p>
        </w:tc>
        <w:tc>
          <w:tcPr>
            <w:tcW w:w="22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Mobility</w:t>
            </w:r>
          </w:p>
        </w:tc>
        <w:tc>
          <w:tcPr>
            <w:tcW w:w="2000" w:type="dxa"/>
            <w:gridSpan w:val="2"/>
            <w:tcBorders>
              <w:top w:val="single" w:sz="4" w:space="0" w:color="auto"/>
              <w:left w:val="nil"/>
              <w:bottom w:val="single" w:sz="4" w:space="0" w:color="auto"/>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Persistence</w:t>
            </w:r>
          </w:p>
        </w:tc>
      </w:tr>
      <w:tr w:rsidR="00BC489D" w:rsidRPr="00CB4ED2" w:rsidTr="00BC489D">
        <w:trPr>
          <w:trHeight w:val="227"/>
          <w:jc w:val="center"/>
        </w:trPr>
        <w:tc>
          <w:tcPr>
            <w:tcW w:w="1580" w:type="dxa"/>
            <w:tcBorders>
              <w:top w:val="nil"/>
              <w:left w:val="nil"/>
              <w:bottom w:val="single" w:sz="4" w:space="0" w:color="auto"/>
              <w:right w:val="nil"/>
            </w:tcBorders>
            <w:shd w:val="clear" w:color="auto" w:fill="auto"/>
            <w:noWrap/>
            <w:vAlign w:val="bottom"/>
            <w:hideMark/>
          </w:tcPr>
          <w:p w:rsidR="00BC489D" w:rsidRPr="00CB4ED2" w:rsidRDefault="00BC489D" w:rsidP="0001659F">
            <w:pPr>
              <w:autoSpaceDE/>
              <w:autoSpaceDN/>
              <w:adjustRightInd/>
              <w:spacing w:before="0" w:after="0"/>
              <w:ind w:firstLine="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 </w:t>
            </w:r>
          </w:p>
        </w:tc>
        <w:tc>
          <w:tcPr>
            <w:tcW w:w="760" w:type="dxa"/>
            <w:tcBorders>
              <w:top w:val="nil"/>
              <w:left w:val="single" w:sz="4" w:space="0" w:color="auto"/>
              <w:bottom w:val="single" w:sz="4" w:space="0" w:color="auto"/>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Entry</w:t>
            </w:r>
          </w:p>
        </w:tc>
        <w:tc>
          <w:tcPr>
            <w:tcW w:w="760" w:type="dxa"/>
            <w:tcBorders>
              <w:top w:val="nil"/>
              <w:left w:val="nil"/>
              <w:bottom w:val="single" w:sz="4" w:space="0" w:color="auto"/>
              <w:right w:val="nil"/>
            </w:tcBorders>
            <w:shd w:val="clear" w:color="auto" w:fill="auto"/>
            <w:noWrap/>
            <w:vAlign w:val="bottom"/>
            <w:hideMark/>
          </w:tcPr>
          <w:p w:rsidR="00BC489D" w:rsidRPr="00CB4ED2" w:rsidRDefault="00CB4ED2"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Exit</w:t>
            </w:r>
          </w:p>
        </w:tc>
        <w:tc>
          <w:tcPr>
            <w:tcW w:w="760" w:type="dxa"/>
            <w:tcBorders>
              <w:top w:val="nil"/>
              <w:left w:val="nil"/>
              <w:bottom w:val="single" w:sz="4" w:space="0" w:color="auto"/>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Total</w:t>
            </w:r>
          </w:p>
        </w:tc>
        <w:tc>
          <w:tcPr>
            <w:tcW w:w="1119" w:type="dxa"/>
            <w:tcBorders>
              <w:top w:val="nil"/>
              <w:left w:val="single" w:sz="4" w:space="0" w:color="auto"/>
              <w:bottom w:val="single" w:sz="4" w:space="0" w:color="auto"/>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De-Spec.</w:t>
            </w:r>
          </w:p>
        </w:tc>
        <w:tc>
          <w:tcPr>
            <w:tcW w:w="881" w:type="dxa"/>
            <w:tcBorders>
              <w:top w:val="nil"/>
              <w:left w:val="nil"/>
              <w:bottom w:val="single" w:sz="4" w:space="0" w:color="auto"/>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Special.</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left"/>
              <w:rPr>
                <w:rFonts w:ascii="Times New Roman" w:hAnsi="Times New Roman" w:cs="Times New Roman"/>
                <w:i/>
                <w:iCs/>
                <w:color w:val="000000"/>
                <w:sz w:val="18"/>
                <w:szCs w:val="18"/>
                <w:lang w:eastAsia="es-ES"/>
              </w:rPr>
            </w:pPr>
            <w:r w:rsidRPr="00CB4ED2">
              <w:rPr>
                <w:rFonts w:ascii="Times New Roman" w:hAnsi="Times New Roman" w:cs="Times New Roman"/>
                <w:i/>
                <w:iCs/>
                <w:color w:val="000000"/>
                <w:sz w:val="18"/>
                <w:szCs w:val="18"/>
                <w:lang w:eastAsia="es-ES"/>
              </w:rPr>
              <w:t>European Leaders</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13,33</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14,44</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27,78</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45,00</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27,22</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France</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13,33</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16,67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30,00</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41,67</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28,33</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Germany</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17,50</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13,33</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30,83</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34,17</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35,00</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Great Britain</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9,17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13,33</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22,50</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59,17</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18,33</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left"/>
              <w:rPr>
                <w:rFonts w:ascii="Times New Roman" w:hAnsi="Times New Roman" w:cs="Times New Roman"/>
                <w:i/>
                <w:iCs/>
                <w:color w:val="000000"/>
                <w:sz w:val="18"/>
                <w:szCs w:val="18"/>
                <w:lang w:eastAsia="es-ES"/>
              </w:rPr>
            </w:pPr>
            <w:r w:rsidRPr="00CB4ED2">
              <w:rPr>
                <w:rFonts w:ascii="Times New Roman" w:hAnsi="Times New Roman" w:cs="Times New Roman"/>
                <w:i/>
                <w:iCs/>
                <w:color w:val="000000"/>
                <w:sz w:val="18"/>
                <w:szCs w:val="18"/>
                <w:lang w:eastAsia="es-ES"/>
              </w:rPr>
              <w:t>European Mediums</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10,36</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13,93</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24,29</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49,29</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26,43</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 xml:space="preserve"> Austria</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10,00</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10,00</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20,00</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38,33</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41,67</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 xml:space="preserve"> B</w:t>
            </w:r>
            <w:r w:rsidR="00CB4ED2">
              <w:rPr>
                <w:rFonts w:ascii="Times New Roman" w:hAnsi="Times New Roman" w:cs="Times New Roman"/>
                <w:color w:val="000000"/>
                <w:sz w:val="18"/>
                <w:szCs w:val="18"/>
                <w:lang w:eastAsia="es-ES"/>
              </w:rPr>
              <w:t>el</w:t>
            </w:r>
            <w:r w:rsidRPr="00CB4ED2">
              <w:rPr>
                <w:rFonts w:ascii="Times New Roman" w:hAnsi="Times New Roman" w:cs="Times New Roman"/>
                <w:color w:val="000000"/>
                <w:sz w:val="18"/>
                <w:szCs w:val="18"/>
                <w:lang w:eastAsia="es-ES"/>
              </w:rPr>
              <w:t>-Lux</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10,00</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6,67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16,67</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59,17</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24,17</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Denmark</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6,67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14,17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20,83</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55,83</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23,33</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Finland</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8,33</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21,67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30,00</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54,17</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15,83</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 xml:space="preserve"> Italy</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18,33</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10,83</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29,17</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35,00</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35,83</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 xml:space="preserve"> Netherland</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7,50</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10,00</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17,50</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60,00</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22,50</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Sweden</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11,67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24,17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35,83</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42,50</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21,67</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left"/>
              <w:rPr>
                <w:rFonts w:ascii="Times New Roman" w:hAnsi="Times New Roman" w:cs="Times New Roman"/>
                <w:i/>
                <w:iCs/>
                <w:color w:val="000000"/>
                <w:sz w:val="18"/>
                <w:szCs w:val="18"/>
                <w:lang w:eastAsia="es-ES"/>
              </w:rPr>
            </w:pPr>
            <w:r w:rsidRPr="00CB4ED2">
              <w:rPr>
                <w:rFonts w:ascii="Times New Roman" w:hAnsi="Times New Roman" w:cs="Times New Roman"/>
                <w:i/>
                <w:iCs/>
                <w:color w:val="000000"/>
                <w:sz w:val="18"/>
                <w:szCs w:val="18"/>
                <w:lang w:eastAsia="es-ES"/>
              </w:rPr>
              <w:t>European Delayers</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17,08</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17,92</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35,00</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46,67</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18,33</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CB4ED2"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Greece</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21,67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15,00</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36,67</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46,67</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16,67</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Ireland</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11,67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21,67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33,33</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54,17</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12,50</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Portugal</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18,33</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18,33</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36,67</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52,50</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10,83</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Spain</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16,67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16,67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33,33</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33,33</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33,33</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left"/>
              <w:rPr>
                <w:rFonts w:ascii="Times New Roman" w:hAnsi="Times New Roman" w:cs="Times New Roman"/>
                <w:i/>
                <w:iCs/>
                <w:color w:val="000000"/>
                <w:sz w:val="18"/>
                <w:szCs w:val="18"/>
                <w:lang w:eastAsia="es-ES"/>
              </w:rPr>
            </w:pPr>
            <w:r w:rsidRPr="00CB4ED2">
              <w:rPr>
                <w:rFonts w:ascii="Times New Roman" w:hAnsi="Times New Roman" w:cs="Times New Roman"/>
                <w:i/>
                <w:iCs/>
                <w:color w:val="000000"/>
                <w:sz w:val="18"/>
                <w:szCs w:val="18"/>
                <w:lang w:eastAsia="es-ES"/>
              </w:rPr>
              <w:t>Latin America</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20,00</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16,04</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36,04</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47,08</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16,88</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Argentina</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25,00</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24,17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49,17</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41,67</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9,17</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Brazil</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15,83</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14,17</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30,00</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39,17</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30,83</w:t>
            </w:r>
          </w:p>
        </w:tc>
      </w:tr>
      <w:tr w:rsidR="00BC489D" w:rsidRPr="00CB4ED2" w:rsidTr="00BC489D">
        <w:trPr>
          <w:trHeight w:val="227"/>
          <w:jc w:val="center"/>
        </w:trPr>
        <w:tc>
          <w:tcPr>
            <w:tcW w:w="158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Chile</w:t>
            </w:r>
          </w:p>
        </w:tc>
        <w:tc>
          <w:tcPr>
            <w:tcW w:w="760"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20,83</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15,00</w:t>
            </w:r>
          </w:p>
        </w:tc>
        <w:tc>
          <w:tcPr>
            <w:tcW w:w="760"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35,83</w:t>
            </w:r>
          </w:p>
        </w:tc>
        <w:tc>
          <w:tcPr>
            <w:tcW w:w="1119" w:type="dxa"/>
            <w:tcBorders>
              <w:top w:val="nil"/>
              <w:left w:val="single" w:sz="4" w:space="0" w:color="auto"/>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57,50</w:t>
            </w:r>
          </w:p>
        </w:tc>
        <w:tc>
          <w:tcPr>
            <w:tcW w:w="881" w:type="dxa"/>
            <w:tcBorders>
              <w:top w:val="nil"/>
              <w:left w:val="nil"/>
              <w:bottom w:val="nil"/>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6,67</w:t>
            </w:r>
          </w:p>
        </w:tc>
      </w:tr>
      <w:tr w:rsidR="00BC489D" w:rsidRPr="00CB4ED2" w:rsidTr="00BC489D">
        <w:trPr>
          <w:trHeight w:val="227"/>
          <w:jc w:val="center"/>
        </w:trPr>
        <w:tc>
          <w:tcPr>
            <w:tcW w:w="1580" w:type="dxa"/>
            <w:tcBorders>
              <w:top w:val="nil"/>
              <w:left w:val="nil"/>
              <w:bottom w:val="single" w:sz="4" w:space="0" w:color="auto"/>
              <w:right w:val="nil"/>
            </w:tcBorders>
            <w:shd w:val="clear" w:color="auto" w:fill="auto"/>
            <w:noWrap/>
            <w:vAlign w:val="bottom"/>
            <w:hideMark/>
          </w:tcPr>
          <w:p w:rsidR="00BC489D" w:rsidRPr="00CB4ED2" w:rsidRDefault="00BC489D" w:rsidP="0001659F">
            <w:pPr>
              <w:autoSpaceDE/>
              <w:autoSpaceDN/>
              <w:adjustRightInd/>
              <w:spacing w:before="0" w:after="0"/>
              <w:ind w:firstLineChars="100" w:firstLine="180"/>
              <w:jc w:val="left"/>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Mexico</w:t>
            </w:r>
          </w:p>
        </w:tc>
        <w:tc>
          <w:tcPr>
            <w:tcW w:w="760" w:type="dxa"/>
            <w:tcBorders>
              <w:top w:val="nil"/>
              <w:left w:val="single" w:sz="4" w:space="0" w:color="auto"/>
              <w:bottom w:val="single" w:sz="4" w:space="0" w:color="auto"/>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18,33</w:t>
            </w:r>
          </w:p>
        </w:tc>
        <w:tc>
          <w:tcPr>
            <w:tcW w:w="760" w:type="dxa"/>
            <w:tcBorders>
              <w:top w:val="nil"/>
              <w:left w:val="nil"/>
              <w:bottom w:val="single" w:sz="4" w:space="0" w:color="auto"/>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10,83</w:t>
            </w:r>
          </w:p>
        </w:tc>
        <w:tc>
          <w:tcPr>
            <w:tcW w:w="760" w:type="dxa"/>
            <w:tcBorders>
              <w:top w:val="nil"/>
              <w:left w:val="nil"/>
              <w:bottom w:val="single" w:sz="4" w:space="0" w:color="auto"/>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29,17</w:t>
            </w:r>
          </w:p>
        </w:tc>
        <w:tc>
          <w:tcPr>
            <w:tcW w:w="1119" w:type="dxa"/>
            <w:tcBorders>
              <w:top w:val="nil"/>
              <w:left w:val="single" w:sz="4" w:space="0" w:color="auto"/>
              <w:bottom w:val="single" w:sz="4" w:space="0" w:color="auto"/>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50,00</w:t>
            </w:r>
          </w:p>
        </w:tc>
        <w:tc>
          <w:tcPr>
            <w:tcW w:w="881" w:type="dxa"/>
            <w:tcBorders>
              <w:top w:val="nil"/>
              <w:left w:val="nil"/>
              <w:bottom w:val="single" w:sz="4" w:space="0" w:color="auto"/>
              <w:right w:val="nil"/>
            </w:tcBorders>
            <w:shd w:val="clear" w:color="auto" w:fill="auto"/>
            <w:noWrap/>
            <w:vAlign w:val="bottom"/>
            <w:hideMark/>
          </w:tcPr>
          <w:p w:rsidR="00BC489D" w:rsidRPr="00CB4ED2" w:rsidRDefault="00BC489D" w:rsidP="0001659F">
            <w:pPr>
              <w:autoSpaceDE/>
              <w:autoSpaceDN/>
              <w:adjustRightInd/>
              <w:spacing w:before="0" w:after="0"/>
              <w:ind w:firstLine="0"/>
              <w:jc w:val="center"/>
              <w:rPr>
                <w:rFonts w:ascii="Times New Roman" w:hAnsi="Times New Roman" w:cs="Times New Roman"/>
                <w:color w:val="000000"/>
                <w:sz w:val="18"/>
                <w:szCs w:val="18"/>
                <w:lang w:eastAsia="es-ES"/>
              </w:rPr>
            </w:pPr>
            <w:r w:rsidRPr="00CB4ED2">
              <w:rPr>
                <w:rFonts w:ascii="Times New Roman" w:hAnsi="Times New Roman" w:cs="Times New Roman"/>
                <w:color w:val="000000"/>
                <w:sz w:val="18"/>
                <w:szCs w:val="18"/>
                <w:lang w:eastAsia="es-ES"/>
              </w:rPr>
              <w:t>20,83</w:t>
            </w:r>
          </w:p>
        </w:tc>
      </w:tr>
    </w:tbl>
    <w:p w:rsidR="00C5105C" w:rsidRPr="000746C4" w:rsidRDefault="00C5105C" w:rsidP="0001659F">
      <w:pPr>
        <w:ind w:left="1701" w:firstLine="0"/>
        <w:rPr>
          <w:rFonts w:ascii="Times New Roman" w:hAnsi="Times New Roman" w:cs="Times New Roman"/>
          <w:sz w:val="18"/>
          <w:szCs w:val="18"/>
        </w:rPr>
      </w:pPr>
      <w:r w:rsidRPr="000746C4">
        <w:rPr>
          <w:rFonts w:ascii="Times New Roman" w:hAnsi="Times New Roman" w:cs="Times New Roman"/>
          <w:sz w:val="18"/>
          <w:szCs w:val="18"/>
        </w:rPr>
        <w:t>Source: EPO and own elaboration.</w:t>
      </w:r>
    </w:p>
    <w:p w:rsidR="00631AA8" w:rsidRDefault="00631AA8" w:rsidP="0001659F">
      <w:pPr>
        <w:pStyle w:val="Corpodetexto"/>
        <w:rPr>
          <w:rFonts w:ascii="Times New Roman" w:hAnsi="Times New Roman" w:cs="Times New Roman"/>
        </w:rPr>
      </w:pPr>
      <w:r>
        <w:rPr>
          <w:rFonts w:ascii="Times New Roman" w:hAnsi="Times New Roman" w:cs="Times New Roman"/>
        </w:rPr>
        <w:t>These findings support the theoretical hypothesis that cumulativeness and path dependence influence patterns of specialization in hindering the development of relevant technological activity and catching-up in technical fields where the country has not previously developed absorptive capacity. But these results also reveal that persistence in specialization does not always prevail over mobility. Mobility can be at least as important as persistence in technologically developed countries and more relevant in catching-up countries, where the patterns of technological specialization are not stable.</w:t>
      </w:r>
    </w:p>
    <w:p w:rsidR="00757166" w:rsidRDefault="00757166" w:rsidP="00594FB3">
      <w:pPr>
        <w:pStyle w:val="Corpodetexto"/>
        <w:rPr>
          <w:rFonts w:ascii="Times New Roman" w:hAnsi="Times New Roman" w:cs="Times New Roman"/>
        </w:rPr>
      </w:pPr>
      <w:r w:rsidRPr="00007658">
        <w:rPr>
          <w:rFonts w:ascii="Times New Roman" w:hAnsi="Times New Roman" w:cs="Times New Roman"/>
        </w:rPr>
        <w:t xml:space="preserve">Over this last </w:t>
      </w:r>
      <w:r>
        <w:rPr>
          <w:rFonts w:ascii="Times New Roman" w:hAnsi="Times New Roman" w:cs="Times New Roman"/>
        </w:rPr>
        <w:t>feature</w:t>
      </w:r>
      <w:r w:rsidRPr="00007658">
        <w:rPr>
          <w:rFonts w:ascii="Times New Roman" w:hAnsi="Times New Roman" w:cs="Times New Roman"/>
        </w:rPr>
        <w:t xml:space="preserve">, what can theory explain at </w:t>
      </w:r>
      <w:r>
        <w:rPr>
          <w:rFonts w:ascii="Times New Roman" w:hAnsi="Times New Roman" w:cs="Times New Roman"/>
        </w:rPr>
        <w:t>last</w:t>
      </w:r>
      <w:r w:rsidRPr="00007658">
        <w:rPr>
          <w:rFonts w:ascii="Times New Roman" w:hAnsi="Times New Roman" w:cs="Times New Roman"/>
        </w:rPr>
        <w:t xml:space="preserve">? </w:t>
      </w:r>
      <w:r w:rsidR="00594FB3">
        <w:rPr>
          <w:rFonts w:ascii="Times New Roman" w:hAnsi="Times New Roman" w:cs="Times New Roman"/>
        </w:rPr>
        <w:t>If technological opportunity is not a major expletive factor of mobility, is cumulative knowledge an explicative factor of changes in technological specialization</w:t>
      </w:r>
      <w:r w:rsidR="00885891">
        <w:rPr>
          <w:rFonts w:ascii="Times New Roman" w:hAnsi="Times New Roman" w:cs="Times New Roman"/>
        </w:rPr>
        <w:t>?</w:t>
      </w:r>
      <w:r w:rsidR="00594FB3">
        <w:rPr>
          <w:rFonts w:ascii="Times New Roman" w:hAnsi="Times New Roman" w:cs="Times New Roman"/>
        </w:rPr>
        <w:t xml:space="preserve"> </w:t>
      </w:r>
      <w:r w:rsidR="00885891">
        <w:rPr>
          <w:rFonts w:ascii="Times New Roman" w:hAnsi="Times New Roman" w:cs="Times New Roman"/>
        </w:rPr>
        <w:t>or, by contrary,</w:t>
      </w:r>
      <w:r w:rsidR="00594FB3">
        <w:rPr>
          <w:rFonts w:ascii="Times New Roman" w:hAnsi="Times New Roman" w:cs="Times New Roman"/>
        </w:rPr>
        <w:t xml:space="preserve"> i</w:t>
      </w:r>
      <w:r w:rsidRPr="00007658">
        <w:rPr>
          <w:rFonts w:ascii="Times New Roman" w:hAnsi="Times New Roman" w:cs="Times New Roman"/>
        </w:rPr>
        <w:t xml:space="preserve">s it possible to expect that other mechanisms associated </w:t>
      </w:r>
      <w:r>
        <w:rPr>
          <w:rFonts w:ascii="Times New Roman" w:hAnsi="Times New Roman" w:cs="Times New Roman"/>
        </w:rPr>
        <w:t>with</w:t>
      </w:r>
      <w:r w:rsidRPr="00007658">
        <w:rPr>
          <w:rFonts w:ascii="Times New Roman" w:hAnsi="Times New Roman" w:cs="Times New Roman"/>
        </w:rPr>
        <w:t xml:space="preserve"> economic integration </w:t>
      </w:r>
      <w:r w:rsidR="00631AA8">
        <w:rPr>
          <w:rFonts w:ascii="Times New Roman" w:hAnsi="Times New Roman" w:cs="Times New Roman"/>
        </w:rPr>
        <w:t xml:space="preserve">and structural change </w:t>
      </w:r>
      <w:r>
        <w:rPr>
          <w:rFonts w:ascii="Times New Roman" w:hAnsi="Times New Roman" w:cs="Times New Roman"/>
        </w:rPr>
        <w:t xml:space="preserve">play </w:t>
      </w:r>
      <w:r w:rsidRPr="00007658">
        <w:rPr>
          <w:rFonts w:ascii="Times New Roman" w:hAnsi="Times New Roman" w:cs="Times New Roman"/>
        </w:rPr>
        <w:t xml:space="preserve">an essential role in </w:t>
      </w:r>
      <w:r w:rsidR="00631AA8">
        <w:rPr>
          <w:rFonts w:ascii="Times New Roman" w:hAnsi="Times New Roman" w:cs="Times New Roman"/>
        </w:rPr>
        <w:t xml:space="preserve">the </w:t>
      </w:r>
      <w:r w:rsidRPr="00007658">
        <w:rPr>
          <w:rFonts w:ascii="Times New Roman" w:hAnsi="Times New Roman" w:cs="Times New Roman"/>
        </w:rPr>
        <w:t>observed changes?</w:t>
      </w:r>
      <w:r w:rsidR="00162BF0">
        <w:rPr>
          <w:rFonts w:ascii="Times New Roman" w:hAnsi="Times New Roman" w:cs="Times New Roman"/>
        </w:rPr>
        <w:t xml:space="preserve"> </w:t>
      </w:r>
      <w:r>
        <w:rPr>
          <w:rFonts w:ascii="Times New Roman" w:hAnsi="Times New Roman" w:cs="Times New Roman"/>
        </w:rPr>
        <w:t xml:space="preserve">In order to </w:t>
      </w:r>
      <w:r w:rsidRPr="002A172B">
        <w:rPr>
          <w:rFonts w:ascii="Times New Roman" w:hAnsi="Times New Roman" w:cs="Times New Roman"/>
        </w:rPr>
        <w:t>answer these questions, a final empirical exercise on evolution of patterns of technological specialization is undertaking, using technological competence analysis. According to Patel and Pavitt (1997), competences can be classified in Core, Niche, Background and Marginal</w:t>
      </w:r>
      <w:r w:rsidRPr="002A172B">
        <w:rPr>
          <w:rStyle w:val="Refdenotaderodap"/>
          <w:rFonts w:ascii="Times New Roman" w:hAnsi="Times New Roman"/>
        </w:rPr>
        <w:footnoteReference w:id="6"/>
      </w:r>
      <w:r w:rsidRPr="002A172B">
        <w:rPr>
          <w:rFonts w:ascii="Times New Roman" w:hAnsi="Times New Roman" w:cs="Times New Roman"/>
        </w:rPr>
        <w:t>. Core competences represent the technological strengths and Marginal competences represent technological shortcomings. Both, Niche and Background competences represent the potential and</w:t>
      </w:r>
      <w:r w:rsidRPr="00007658">
        <w:rPr>
          <w:rFonts w:ascii="Times New Roman" w:hAnsi="Times New Roman" w:cs="Times New Roman"/>
        </w:rPr>
        <w:t xml:space="preserve"> the </w:t>
      </w:r>
      <w:r w:rsidRPr="00D22D09">
        <w:rPr>
          <w:rFonts w:ascii="Times New Roman" w:hAnsi="Times New Roman" w:cs="Times New Roman"/>
        </w:rPr>
        <w:t xml:space="preserve">natural </w:t>
      </w:r>
      <w:r>
        <w:rPr>
          <w:rFonts w:ascii="Times New Roman" w:hAnsi="Times New Roman" w:cs="Times New Roman"/>
        </w:rPr>
        <w:t>trend of technological growth. N</w:t>
      </w:r>
      <w:r w:rsidRPr="00007658">
        <w:rPr>
          <w:rFonts w:ascii="Times New Roman" w:hAnsi="Times New Roman" w:cs="Times New Roman"/>
        </w:rPr>
        <w:t xml:space="preserve">iche competences explore technological niches from previous cumulative knowledge and background competences allow </w:t>
      </w:r>
      <w:r>
        <w:rPr>
          <w:rFonts w:ascii="Times New Roman" w:hAnsi="Times New Roman" w:cs="Times New Roman"/>
        </w:rPr>
        <w:t>the exploration of</w:t>
      </w:r>
      <w:r w:rsidRPr="00007658">
        <w:rPr>
          <w:rFonts w:ascii="Times New Roman" w:hAnsi="Times New Roman" w:cs="Times New Roman"/>
        </w:rPr>
        <w:t xml:space="preserve"> new technological opportunities and </w:t>
      </w:r>
      <w:r>
        <w:rPr>
          <w:rFonts w:ascii="Times New Roman" w:hAnsi="Times New Roman" w:cs="Times New Roman"/>
        </w:rPr>
        <w:t xml:space="preserve">the </w:t>
      </w:r>
      <w:r w:rsidRPr="00007658">
        <w:rPr>
          <w:rFonts w:ascii="Times New Roman" w:hAnsi="Times New Roman" w:cs="Times New Roman"/>
        </w:rPr>
        <w:t>develop</w:t>
      </w:r>
      <w:r>
        <w:rPr>
          <w:rFonts w:ascii="Times New Roman" w:hAnsi="Times New Roman" w:cs="Times New Roman"/>
        </w:rPr>
        <w:t>ment</w:t>
      </w:r>
      <w:r w:rsidRPr="00007658">
        <w:rPr>
          <w:rFonts w:ascii="Times New Roman" w:hAnsi="Times New Roman" w:cs="Times New Roman"/>
        </w:rPr>
        <w:t xml:space="preserve"> absorptive capacity to</w:t>
      </w:r>
      <w:r>
        <w:rPr>
          <w:rFonts w:ascii="Times New Roman" w:hAnsi="Times New Roman" w:cs="Times New Roman"/>
        </w:rPr>
        <w:t xml:space="preserve"> catch-up</w:t>
      </w:r>
      <w:r w:rsidRPr="00007658">
        <w:rPr>
          <w:rFonts w:ascii="Times New Roman" w:hAnsi="Times New Roman" w:cs="Times New Roman"/>
        </w:rPr>
        <w:t xml:space="preserve">. </w:t>
      </w:r>
      <w:r>
        <w:rPr>
          <w:rFonts w:ascii="Times New Roman" w:hAnsi="Times New Roman" w:cs="Times New Roman"/>
        </w:rPr>
        <w:t>As a consequence</w:t>
      </w:r>
      <w:r w:rsidRPr="00007658">
        <w:rPr>
          <w:rFonts w:ascii="Times New Roman" w:hAnsi="Times New Roman" w:cs="Times New Roman"/>
        </w:rPr>
        <w:t xml:space="preserve">, core competences can be built from background and niche </w:t>
      </w:r>
      <w:r>
        <w:rPr>
          <w:rFonts w:ascii="Times New Roman" w:hAnsi="Times New Roman" w:cs="Times New Roman"/>
        </w:rPr>
        <w:t>competences</w:t>
      </w:r>
      <w:r w:rsidRPr="00007658">
        <w:rPr>
          <w:rFonts w:ascii="Times New Roman" w:hAnsi="Times New Roman" w:cs="Times New Roman"/>
        </w:rPr>
        <w:t>.</w:t>
      </w:r>
    </w:p>
    <w:p w:rsidR="00C5105C" w:rsidRDefault="00757166" w:rsidP="00E90AA2">
      <w:pPr>
        <w:pStyle w:val="Corpodetexto"/>
        <w:rPr>
          <w:rFonts w:ascii="Times New Roman" w:hAnsi="Times New Roman" w:cs="Times New Roman"/>
        </w:rPr>
      </w:pPr>
      <w:r>
        <w:rPr>
          <w:rFonts w:ascii="Times New Roman" w:hAnsi="Times New Roman" w:cs="Times New Roman"/>
        </w:rPr>
        <w:t xml:space="preserve">Table </w:t>
      </w:r>
      <w:r w:rsidR="00885891">
        <w:rPr>
          <w:rFonts w:ascii="Times New Roman" w:hAnsi="Times New Roman" w:cs="Times New Roman"/>
        </w:rPr>
        <w:t>6</w:t>
      </w:r>
      <w:r>
        <w:rPr>
          <w:rFonts w:ascii="Times New Roman" w:hAnsi="Times New Roman" w:cs="Times New Roman"/>
        </w:rPr>
        <w:t xml:space="preserve"> </w:t>
      </w:r>
      <w:r w:rsidR="00E90AA2">
        <w:rPr>
          <w:rFonts w:ascii="Times New Roman" w:hAnsi="Times New Roman" w:cs="Times New Roman"/>
        </w:rPr>
        <w:t>shows the results of that</w:t>
      </w:r>
      <w:r w:rsidRPr="00007658">
        <w:rPr>
          <w:rFonts w:ascii="Times New Roman" w:hAnsi="Times New Roman" w:cs="Times New Roman"/>
        </w:rPr>
        <w:t xml:space="preserve"> approach in persistence and mobility analysis. The first four columns show the weight distribution of each type of competences over the total sectors in each group of </w:t>
      </w:r>
      <w:r w:rsidRPr="00007658">
        <w:rPr>
          <w:rFonts w:ascii="Times New Roman" w:hAnsi="Times New Roman" w:cs="Times New Roman"/>
        </w:rPr>
        <w:lastRenderedPageBreak/>
        <w:t>countr</w:t>
      </w:r>
      <w:r>
        <w:rPr>
          <w:rFonts w:ascii="Times New Roman" w:hAnsi="Times New Roman" w:cs="Times New Roman"/>
        </w:rPr>
        <w:t>ies</w:t>
      </w:r>
      <w:r w:rsidRPr="00007658">
        <w:rPr>
          <w:rFonts w:ascii="Times New Roman" w:hAnsi="Times New Roman" w:cs="Times New Roman"/>
        </w:rPr>
        <w:t xml:space="preserve"> and in the pre and post integration period. Persistence aggregates the weights of diagonal and mobility </w:t>
      </w:r>
      <w:r>
        <w:rPr>
          <w:rFonts w:ascii="Times New Roman" w:hAnsi="Times New Roman" w:cs="Times New Roman"/>
        </w:rPr>
        <w:t xml:space="preserve">the </w:t>
      </w:r>
      <w:r w:rsidRPr="00007658">
        <w:rPr>
          <w:rFonts w:ascii="Times New Roman" w:hAnsi="Times New Roman" w:cs="Times New Roman"/>
        </w:rPr>
        <w:t>rest of weights.</w:t>
      </w:r>
      <w:r w:rsidR="00E4190E">
        <w:rPr>
          <w:rFonts w:ascii="Times New Roman" w:hAnsi="Times New Roman" w:cs="Times New Roman"/>
        </w:rPr>
        <w:t xml:space="preserve"> </w:t>
      </w:r>
      <w:r w:rsidR="00C5105C" w:rsidRPr="00007658">
        <w:rPr>
          <w:rFonts w:ascii="Times New Roman" w:hAnsi="Times New Roman" w:cs="Times New Roman"/>
        </w:rPr>
        <w:t xml:space="preserve">The mobility can be decomposed in three components. The first one, called “Expected mobility” measures the part of mobility that is due to </w:t>
      </w:r>
      <w:r w:rsidR="004A6267">
        <w:rPr>
          <w:rFonts w:ascii="Times New Roman" w:hAnsi="Times New Roman" w:cs="Times New Roman"/>
        </w:rPr>
        <w:t xml:space="preserve">the </w:t>
      </w:r>
      <w:r w:rsidR="00C5105C" w:rsidRPr="00D22D09">
        <w:rPr>
          <w:rFonts w:ascii="Times New Roman" w:hAnsi="Times New Roman" w:cs="Times New Roman"/>
        </w:rPr>
        <w:t xml:space="preserve">natural </w:t>
      </w:r>
      <w:r w:rsidR="00D22D09">
        <w:rPr>
          <w:rFonts w:ascii="Times New Roman" w:hAnsi="Times New Roman" w:cs="Times New Roman"/>
        </w:rPr>
        <w:t>trend</w:t>
      </w:r>
      <w:r w:rsidR="00C5105C" w:rsidRPr="00007658">
        <w:rPr>
          <w:rFonts w:ascii="Times New Roman" w:hAnsi="Times New Roman" w:cs="Times New Roman"/>
        </w:rPr>
        <w:t xml:space="preserve"> of technical change through accumulation and previous learning processes. Expected mobility aggregate the weights registered from niche to core and from background to core or niche. Second and third components are “Not expected” </w:t>
      </w:r>
      <w:r w:rsidR="00A07303">
        <w:rPr>
          <w:rFonts w:ascii="Times New Roman" w:hAnsi="Times New Roman" w:cs="Times New Roman"/>
        </w:rPr>
        <w:t xml:space="preserve">and that </w:t>
      </w:r>
      <w:r w:rsidR="00C5105C">
        <w:rPr>
          <w:rFonts w:ascii="Times New Roman" w:hAnsi="Times New Roman" w:cs="Times New Roman"/>
        </w:rPr>
        <w:t>can be</w:t>
      </w:r>
      <w:r w:rsidR="00C5105C" w:rsidRPr="00007658">
        <w:rPr>
          <w:rFonts w:ascii="Times New Roman" w:hAnsi="Times New Roman" w:cs="Times New Roman"/>
        </w:rPr>
        <w:t xml:space="preserve"> associated to drastic changes in technological structure. The second component is a positive effect and it refers to the building of central, niche and background competences from marginal competences. Given that this cannot result </w:t>
      </w:r>
      <w:r w:rsidR="004A6267">
        <w:rPr>
          <w:rFonts w:ascii="Times New Roman" w:hAnsi="Times New Roman" w:cs="Times New Roman"/>
        </w:rPr>
        <w:t xml:space="preserve">from </w:t>
      </w:r>
      <w:r w:rsidR="00C5105C" w:rsidRPr="00007658">
        <w:rPr>
          <w:rFonts w:ascii="Times New Roman" w:hAnsi="Times New Roman" w:cs="Times New Roman"/>
        </w:rPr>
        <w:t xml:space="preserve">either </w:t>
      </w:r>
      <w:r w:rsidR="004A6267">
        <w:rPr>
          <w:rFonts w:ascii="Times New Roman" w:hAnsi="Times New Roman" w:cs="Times New Roman"/>
        </w:rPr>
        <w:t xml:space="preserve">natural trends </w:t>
      </w:r>
      <w:r w:rsidR="00C5105C" w:rsidRPr="00007658">
        <w:rPr>
          <w:rFonts w:ascii="Times New Roman" w:hAnsi="Times New Roman" w:cs="Times New Roman"/>
        </w:rPr>
        <w:t xml:space="preserve">of technical change or </w:t>
      </w:r>
      <w:r w:rsidR="004A6267">
        <w:rPr>
          <w:rFonts w:ascii="Times New Roman" w:hAnsi="Times New Roman" w:cs="Times New Roman"/>
        </w:rPr>
        <w:t xml:space="preserve">from </w:t>
      </w:r>
      <w:r w:rsidR="00C5105C" w:rsidRPr="00007658">
        <w:rPr>
          <w:rFonts w:ascii="Times New Roman" w:hAnsi="Times New Roman" w:cs="Times New Roman"/>
        </w:rPr>
        <w:t xml:space="preserve">technological accumulation, it can be only understood as an answer given by private agents to the new technological opportunities </w:t>
      </w:r>
      <w:r w:rsidR="00C5105C">
        <w:rPr>
          <w:rFonts w:ascii="Times New Roman" w:hAnsi="Times New Roman" w:cs="Times New Roman"/>
        </w:rPr>
        <w:t>emerged in</w:t>
      </w:r>
      <w:r w:rsidR="00C5105C" w:rsidRPr="00007658">
        <w:rPr>
          <w:rFonts w:ascii="Times New Roman" w:hAnsi="Times New Roman" w:cs="Times New Roman"/>
        </w:rPr>
        <w:t xml:space="preserve"> integration process or an answer given by governments </w:t>
      </w:r>
      <w:r w:rsidR="00C5105C">
        <w:rPr>
          <w:rFonts w:ascii="Times New Roman" w:hAnsi="Times New Roman" w:cs="Times New Roman"/>
        </w:rPr>
        <w:t>consisting in</w:t>
      </w:r>
      <w:r w:rsidR="00C5105C" w:rsidRPr="00007658">
        <w:rPr>
          <w:rFonts w:ascii="Times New Roman" w:hAnsi="Times New Roman" w:cs="Times New Roman"/>
        </w:rPr>
        <w:t xml:space="preserve"> the re-allocation of resources to innovation in new technological fields.</w:t>
      </w:r>
    </w:p>
    <w:p w:rsidR="00ED1839" w:rsidRDefault="001338CD" w:rsidP="00E90AA2">
      <w:pPr>
        <w:rPr>
          <w:rFonts w:ascii="Times New Roman" w:hAnsi="Times New Roman" w:cs="Times New Roman"/>
        </w:rPr>
      </w:pPr>
      <w:r>
        <w:rPr>
          <w:rFonts w:ascii="Times New Roman" w:hAnsi="Times New Roman" w:cs="Times New Roman"/>
        </w:rPr>
        <w:t xml:space="preserve">Third component is </w:t>
      </w:r>
      <w:r w:rsidR="00ED1839" w:rsidRPr="007A1AE0">
        <w:rPr>
          <w:rFonts w:ascii="Times New Roman" w:hAnsi="Times New Roman" w:cs="Times New Roman"/>
        </w:rPr>
        <w:t>understood as a ‘perverse’ effect of market integration, consisting in destruction of competences created in the past, which means a real structural change</w:t>
      </w:r>
      <w:r>
        <w:rPr>
          <w:rFonts w:ascii="Times New Roman" w:hAnsi="Times New Roman" w:cs="Times New Roman"/>
        </w:rPr>
        <w:t xml:space="preserve">. This effect can emerge from the re-structuring of productive base or from induced technology policies. It is measured as the aggregation of the weights of previous core competences that become niche, background and marginal. Those previous niche competences that became background or marginal; and those background competences that became marginal. </w:t>
      </w:r>
    </w:p>
    <w:p w:rsidR="00EF2585" w:rsidRPr="00EF2585" w:rsidRDefault="00EF2585" w:rsidP="00EF2585">
      <w:pPr>
        <w:pStyle w:val="Corpodetexto"/>
      </w:pPr>
    </w:p>
    <w:p w:rsidR="00C5105C" w:rsidRDefault="00C5105C" w:rsidP="0001659F">
      <w:pPr>
        <w:ind w:firstLine="0"/>
        <w:jc w:val="center"/>
        <w:rPr>
          <w:rFonts w:ascii="Times New Roman" w:hAnsi="Times New Roman" w:cs="Times New Roman"/>
        </w:rPr>
      </w:pPr>
      <w:r w:rsidRPr="00007658">
        <w:rPr>
          <w:rFonts w:ascii="Times New Roman" w:hAnsi="Times New Roman" w:cs="Times New Roman"/>
        </w:rPr>
        <w:t>Table 4. Mobility and persistence of national technological competences</w:t>
      </w:r>
      <w:r>
        <w:rPr>
          <w:rFonts w:ascii="Times New Roman" w:hAnsi="Times New Roman" w:cs="Times New Roman"/>
        </w:rPr>
        <w:t>*</w:t>
      </w:r>
      <w:r w:rsidRPr="00007658">
        <w:rPr>
          <w:rFonts w:ascii="Times New Roman" w:hAnsi="Times New Roman" w:cs="Times New Roman"/>
        </w:rPr>
        <w:t xml:space="preserve"> (%)</w:t>
      </w:r>
    </w:p>
    <w:p w:rsidR="00ED1839" w:rsidRDefault="00427ACC" w:rsidP="00ED1839">
      <w:pPr>
        <w:pStyle w:val="Corpodetexto"/>
        <w:ind w:firstLine="0"/>
        <w:contextualSpacing/>
        <w:jc w:val="center"/>
      </w:pPr>
      <w:r>
        <w:object w:dxaOrig="9126" w:dyaOrig="5722">
          <v:shape id="_x0000_i1026" type="#_x0000_t75" style="width:455.85pt;height:286.25pt" o:ole="">
            <v:imagedata r:id="rId16" o:title=""/>
          </v:shape>
          <o:OLEObject Type="Embed" ProgID="Excel.Sheet.12" ShapeID="_x0000_i1026" DrawAspect="Content" ObjectID="_1371906997" r:id="rId17"/>
        </w:object>
      </w:r>
    </w:p>
    <w:p w:rsidR="00BC489D" w:rsidRDefault="00C5105C" w:rsidP="00ED1839">
      <w:pPr>
        <w:pStyle w:val="Corpodetexto"/>
        <w:ind w:left="567" w:firstLine="0"/>
        <w:contextualSpacing/>
        <w:rPr>
          <w:rFonts w:ascii="Times New Roman" w:hAnsi="Times New Roman" w:cs="Times New Roman"/>
          <w:sz w:val="18"/>
          <w:szCs w:val="18"/>
        </w:rPr>
      </w:pPr>
      <w:r>
        <w:rPr>
          <w:rFonts w:ascii="Times New Roman" w:hAnsi="Times New Roman" w:cs="Times New Roman"/>
          <w:sz w:val="18"/>
          <w:szCs w:val="18"/>
        </w:rPr>
        <w:t>*(3-digit level of aggregation). The numbers between brackets are the contribution of eac</w:t>
      </w:r>
      <w:r w:rsidR="00BC489D">
        <w:rPr>
          <w:rFonts w:ascii="Times New Roman" w:hAnsi="Times New Roman" w:cs="Times New Roman"/>
          <w:sz w:val="18"/>
          <w:szCs w:val="18"/>
        </w:rPr>
        <w:t>h factor to the mobility index.</w:t>
      </w:r>
    </w:p>
    <w:p w:rsidR="00C5105C" w:rsidRPr="00FC5771" w:rsidRDefault="00C5105C" w:rsidP="00ED1839">
      <w:pPr>
        <w:pStyle w:val="Corpodetexto"/>
        <w:ind w:left="567" w:firstLine="0"/>
        <w:contextualSpacing/>
        <w:rPr>
          <w:rFonts w:ascii="Times New Roman" w:hAnsi="Times New Roman" w:cs="Times New Roman"/>
          <w:sz w:val="20"/>
          <w:szCs w:val="20"/>
        </w:rPr>
      </w:pPr>
      <w:r w:rsidRPr="000746C4">
        <w:rPr>
          <w:rFonts w:ascii="Times New Roman" w:hAnsi="Times New Roman" w:cs="Times New Roman"/>
          <w:sz w:val="18"/>
          <w:szCs w:val="18"/>
        </w:rPr>
        <w:t>Source: EPO, Space Bulletin and own elaboration</w:t>
      </w:r>
      <w:r w:rsidRPr="00FC5771">
        <w:rPr>
          <w:rFonts w:ascii="Times New Roman" w:hAnsi="Times New Roman" w:cs="Times New Roman"/>
          <w:sz w:val="20"/>
          <w:szCs w:val="20"/>
        </w:rPr>
        <w:t>.</w:t>
      </w:r>
    </w:p>
    <w:p w:rsidR="00ED1839" w:rsidRDefault="00ED1839" w:rsidP="00ED1839">
      <w:pPr>
        <w:pStyle w:val="Corpodetexto"/>
        <w:contextualSpacing/>
        <w:rPr>
          <w:rFonts w:ascii="Times New Roman" w:hAnsi="Times New Roman" w:cs="Times New Roman"/>
        </w:rPr>
      </w:pPr>
    </w:p>
    <w:p w:rsidR="00EF2585" w:rsidRDefault="00EF2585" w:rsidP="00EF2585">
      <w:pPr>
        <w:pStyle w:val="Corpodetexto"/>
        <w:contextualSpacing/>
        <w:rPr>
          <w:rFonts w:ascii="Times New Roman" w:hAnsi="Times New Roman" w:cs="Times New Roman"/>
        </w:rPr>
      </w:pPr>
      <w:r w:rsidRPr="007A1AE0">
        <w:rPr>
          <w:rFonts w:ascii="Times New Roman" w:hAnsi="Times New Roman"/>
        </w:rPr>
        <w:t xml:space="preserve">The results of </w:t>
      </w:r>
      <w:r>
        <w:rPr>
          <w:rFonts w:ascii="Times New Roman" w:hAnsi="Times New Roman"/>
        </w:rPr>
        <w:t>t</w:t>
      </w:r>
      <w:r w:rsidRPr="007A1AE0">
        <w:rPr>
          <w:rFonts w:ascii="Times New Roman" w:hAnsi="Times New Roman"/>
        </w:rPr>
        <w:t xml:space="preserve">able </w:t>
      </w:r>
      <w:r>
        <w:rPr>
          <w:rFonts w:ascii="Times New Roman" w:hAnsi="Times New Roman"/>
        </w:rPr>
        <w:t>6</w:t>
      </w:r>
      <w:r w:rsidRPr="007A1AE0">
        <w:rPr>
          <w:rFonts w:ascii="Times New Roman" w:hAnsi="Times New Roman"/>
        </w:rPr>
        <w:t xml:space="preserve"> show, once </w:t>
      </w:r>
      <w:r w:rsidRPr="00EF2585">
        <w:rPr>
          <w:rFonts w:ascii="Times New Roman" w:hAnsi="Times New Roman"/>
        </w:rPr>
        <w:t>again, that the role of cumulativity to determine some degree of “irreversibility” of technical change is possible, but with some qualifications. Irreversibility is a phenomenon basically referred to persistence in marginal competences. But this</w:t>
      </w:r>
      <w:r w:rsidRPr="007A1AE0">
        <w:rPr>
          <w:rFonts w:ascii="Times New Roman" w:hAnsi="Times New Roman"/>
        </w:rPr>
        <w:t xml:space="preserve"> kind of persistence does not necessarily involve a constraint for technological</w:t>
      </w:r>
      <w:r>
        <w:rPr>
          <w:rFonts w:ascii="Times New Roman" w:hAnsi="Times New Roman"/>
        </w:rPr>
        <w:t xml:space="preserve"> development in the long run. A </w:t>
      </w:r>
      <w:r w:rsidRPr="007A1AE0">
        <w:rPr>
          <w:rFonts w:ascii="Times New Roman" w:hAnsi="Times New Roman"/>
        </w:rPr>
        <w:t xml:space="preserve">part of the national specialization in this kind of competences appears because countries are not expected to be active in all technical fields, that is, there is a </w:t>
      </w:r>
      <w:bookmarkStart w:id="24" w:name="OLE_LINK51"/>
      <w:bookmarkStart w:id="25" w:name="OLE_LINK54"/>
      <w:r w:rsidRPr="007A1AE0">
        <w:rPr>
          <w:rFonts w:ascii="Times New Roman" w:hAnsi="Times New Roman"/>
        </w:rPr>
        <w:t>kind of ‘</w:t>
      </w:r>
      <w:bookmarkStart w:id="26" w:name="OLE_LINK49"/>
      <w:bookmarkStart w:id="27" w:name="OLE_LINK50"/>
      <w:r w:rsidRPr="00B6701F">
        <w:rPr>
          <w:rFonts w:ascii="Times New Roman" w:hAnsi="Times New Roman"/>
          <w:i/>
          <w:iCs/>
        </w:rPr>
        <w:t>natural rate of technological inactivity’</w:t>
      </w:r>
      <w:r w:rsidRPr="007A1AE0">
        <w:rPr>
          <w:rFonts w:ascii="Times New Roman" w:hAnsi="Times New Roman"/>
        </w:rPr>
        <w:t xml:space="preserve"> </w:t>
      </w:r>
      <w:bookmarkEnd w:id="24"/>
      <w:bookmarkEnd w:id="25"/>
      <w:bookmarkEnd w:id="26"/>
      <w:bookmarkEnd w:id="27"/>
      <w:r w:rsidRPr="007A1AE0">
        <w:rPr>
          <w:rFonts w:ascii="Times New Roman" w:hAnsi="Times New Roman"/>
        </w:rPr>
        <w:t xml:space="preserve">that remains over time. This ‘natural rate of technological inactivity’ </w:t>
      </w:r>
      <w:r>
        <w:rPr>
          <w:rFonts w:ascii="Times New Roman" w:hAnsi="Times New Roman"/>
        </w:rPr>
        <w:t>tends to</w:t>
      </w:r>
      <w:r w:rsidRPr="007A1AE0">
        <w:rPr>
          <w:rFonts w:ascii="Times New Roman" w:hAnsi="Times New Roman"/>
        </w:rPr>
        <w:t xml:space="preserve"> </w:t>
      </w:r>
      <w:r>
        <w:rPr>
          <w:rFonts w:ascii="Times New Roman" w:hAnsi="Times New Roman"/>
        </w:rPr>
        <w:t xml:space="preserve">persist </w:t>
      </w:r>
      <w:r w:rsidRPr="007A1AE0">
        <w:rPr>
          <w:rFonts w:ascii="Times New Roman" w:hAnsi="Times New Roman"/>
        </w:rPr>
        <w:t xml:space="preserve">the smaller the country and the more specialized its productive structure is. In other cases, this </w:t>
      </w:r>
      <w:bookmarkStart w:id="28" w:name="OLE_LINK55"/>
      <w:bookmarkStart w:id="29" w:name="OLE_LINK56"/>
      <w:r w:rsidRPr="007A1AE0">
        <w:rPr>
          <w:rFonts w:ascii="Times New Roman" w:hAnsi="Times New Roman"/>
        </w:rPr>
        <w:t xml:space="preserve">‘natural rate of technological inactivity’ </w:t>
      </w:r>
      <w:bookmarkEnd w:id="28"/>
      <w:bookmarkEnd w:id="29"/>
      <w:r w:rsidRPr="007A1AE0">
        <w:rPr>
          <w:rFonts w:ascii="Times New Roman" w:hAnsi="Times New Roman"/>
        </w:rPr>
        <w:t xml:space="preserve">can be </w:t>
      </w:r>
      <w:r w:rsidRPr="007A1AE0">
        <w:rPr>
          <w:rFonts w:ascii="Times New Roman" w:hAnsi="Times New Roman"/>
        </w:rPr>
        <w:lastRenderedPageBreak/>
        <w:t>higher when the path of technological development responds to a strategy of concentration of innovative efforts over specific technical fields.</w:t>
      </w:r>
      <w:r w:rsidRPr="00EF2585">
        <w:rPr>
          <w:rFonts w:ascii="Times New Roman" w:hAnsi="Times New Roman"/>
        </w:rPr>
        <w:t xml:space="preserve"> </w:t>
      </w:r>
      <w:r w:rsidRPr="007A1AE0">
        <w:rPr>
          <w:rFonts w:ascii="Times New Roman" w:hAnsi="Times New Roman"/>
        </w:rPr>
        <w:t>So, the</w:t>
      </w:r>
      <w:r>
        <w:rPr>
          <w:rFonts w:ascii="Times New Roman" w:hAnsi="Times New Roman"/>
        </w:rPr>
        <w:t>se can explain the</w:t>
      </w:r>
      <w:r w:rsidRPr="007A1AE0">
        <w:rPr>
          <w:rFonts w:ascii="Times New Roman" w:hAnsi="Times New Roman"/>
        </w:rPr>
        <w:t xml:space="preserve"> high</w:t>
      </w:r>
      <w:r>
        <w:rPr>
          <w:rFonts w:ascii="Times New Roman" w:hAnsi="Times New Roman"/>
        </w:rPr>
        <w:t>er</w:t>
      </w:r>
      <w:r w:rsidRPr="007A1AE0">
        <w:rPr>
          <w:rFonts w:ascii="Times New Roman" w:hAnsi="Times New Roman"/>
        </w:rPr>
        <w:t xml:space="preserve"> persistence in marginal competences</w:t>
      </w:r>
      <w:r>
        <w:rPr>
          <w:rFonts w:ascii="Times New Roman" w:hAnsi="Times New Roman"/>
        </w:rPr>
        <w:t xml:space="preserve">. </w:t>
      </w:r>
      <w:r w:rsidRPr="007A1AE0">
        <w:rPr>
          <w:rFonts w:ascii="Times New Roman" w:hAnsi="Times New Roman"/>
        </w:rPr>
        <w:t>With much less importance, technological strengths (core and niche) tend to persist in a greater extent in European countries than in Latin American and only persistence of niche competences seems to be positively associated to the level of the technological development.</w:t>
      </w:r>
      <w:r w:rsidRPr="00E14DD2">
        <w:rPr>
          <w:rFonts w:ascii="Times New Roman" w:hAnsi="Times New Roman"/>
        </w:rPr>
        <w:t xml:space="preserve"> </w:t>
      </w:r>
      <w:r w:rsidRPr="008126F3">
        <w:rPr>
          <w:rFonts w:ascii="Times New Roman" w:hAnsi="Times New Roman"/>
        </w:rPr>
        <w:t>Niche</w:t>
      </w:r>
      <w:r w:rsidRPr="00E14DD2">
        <w:rPr>
          <w:rFonts w:ascii="Times New Roman" w:hAnsi="Times New Roman"/>
        </w:rPr>
        <w:t xml:space="preserve"> competences persist more in Europeans Leaders and Mediums</w:t>
      </w:r>
      <w:r>
        <w:rPr>
          <w:rFonts w:ascii="Times New Roman" w:hAnsi="Times New Roman"/>
        </w:rPr>
        <w:t>. P</w:t>
      </w:r>
      <w:r w:rsidRPr="00E14DD2">
        <w:rPr>
          <w:rFonts w:ascii="Times New Roman" w:hAnsi="Times New Roman"/>
        </w:rPr>
        <w:t>ersistence of core competences is smaller and does not carry large differences across groups of countries</w:t>
      </w:r>
      <w:r>
        <w:rPr>
          <w:rFonts w:ascii="Times New Roman" w:hAnsi="Times New Roman"/>
        </w:rPr>
        <w:t>.</w:t>
      </w:r>
    </w:p>
    <w:p w:rsidR="00EF2585" w:rsidRDefault="00EF2585" w:rsidP="00ED1839">
      <w:pPr>
        <w:pStyle w:val="Corpodetexto"/>
        <w:contextualSpacing/>
        <w:rPr>
          <w:rFonts w:ascii="Times New Roman" w:hAnsi="Times New Roman" w:cs="Times New Roman"/>
        </w:rPr>
      </w:pPr>
    </w:p>
    <w:p w:rsidR="00B67F21" w:rsidRDefault="00ED1839" w:rsidP="00793D1C">
      <w:pPr>
        <w:pStyle w:val="Corpodetexto"/>
        <w:rPr>
          <w:rFonts w:ascii="Times New Roman" w:hAnsi="Times New Roman" w:cs="Times New Roman"/>
        </w:rPr>
      </w:pPr>
      <w:r w:rsidRPr="002A172B">
        <w:rPr>
          <w:rFonts w:ascii="Times New Roman" w:hAnsi="Times New Roman" w:cs="Times New Roman"/>
        </w:rPr>
        <w:t xml:space="preserve">Some empirical findings on mobility are </w:t>
      </w:r>
      <w:r w:rsidR="00EF2585">
        <w:rPr>
          <w:rFonts w:ascii="Times New Roman" w:hAnsi="Times New Roman" w:cs="Times New Roman"/>
        </w:rPr>
        <w:t>also quite interesting</w:t>
      </w:r>
      <w:r w:rsidRPr="002A172B">
        <w:rPr>
          <w:rFonts w:ascii="Times New Roman" w:hAnsi="Times New Roman" w:cs="Times New Roman"/>
        </w:rPr>
        <w:t xml:space="preserve">. </w:t>
      </w:r>
      <w:r w:rsidR="00D24422">
        <w:rPr>
          <w:rFonts w:ascii="Times New Roman" w:hAnsi="Times New Roman" w:cs="Times New Roman"/>
        </w:rPr>
        <w:t>M</w:t>
      </w:r>
      <w:r w:rsidR="00D24422" w:rsidRPr="007A1AE0">
        <w:rPr>
          <w:rFonts w:ascii="Times New Roman" w:hAnsi="Times New Roman"/>
        </w:rPr>
        <w:t xml:space="preserve">obility is not a depreciable phenomenon when defined in terms of ‘changes of the type of competences’. In European </w:t>
      </w:r>
      <w:r w:rsidR="00D24422">
        <w:rPr>
          <w:rFonts w:ascii="Times New Roman" w:hAnsi="Times New Roman"/>
        </w:rPr>
        <w:t xml:space="preserve">Delayers </w:t>
      </w:r>
      <w:r w:rsidR="00D24422" w:rsidRPr="007A1AE0">
        <w:rPr>
          <w:rFonts w:ascii="Times New Roman" w:hAnsi="Times New Roman"/>
        </w:rPr>
        <w:t>and Latin</w:t>
      </w:r>
      <w:r w:rsidR="00D24422">
        <w:rPr>
          <w:rFonts w:ascii="Times New Roman" w:hAnsi="Times New Roman"/>
        </w:rPr>
        <w:t xml:space="preserve"> American countries</w:t>
      </w:r>
      <w:r w:rsidR="00D24422" w:rsidRPr="007A1AE0">
        <w:rPr>
          <w:rFonts w:ascii="Times New Roman" w:hAnsi="Times New Roman"/>
        </w:rPr>
        <w:t xml:space="preserve">, around </w:t>
      </w:r>
      <w:r w:rsidR="00D24422">
        <w:rPr>
          <w:rFonts w:ascii="Times New Roman" w:hAnsi="Times New Roman"/>
        </w:rPr>
        <w:t>40</w:t>
      </w:r>
      <w:r w:rsidR="00D24422" w:rsidRPr="007A1AE0">
        <w:rPr>
          <w:rFonts w:ascii="Times New Roman" w:hAnsi="Times New Roman"/>
        </w:rPr>
        <w:t>% of technical fields lost their initial characterization. This percentage is lower for the rest of the groups, but still significant (around 3</w:t>
      </w:r>
      <w:r w:rsidR="00D24422">
        <w:rPr>
          <w:rFonts w:ascii="Times New Roman" w:hAnsi="Times New Roman"/>
        </w:rPr>
        <w:t>2-33</w:t>
      </w:r>
      <w:r w:rsidR="00D24422" w:rsidRPr="007A1AE0">
        <w:rPr>
          <w:rFonts w:ascii="Times New Roman" w:hAnsi="Times New Roman"/>
        </w:rPr>
        <w:t>%).</w:t>
      </w:r>
      <w:r w:rsidR="00D24422">
        <w:rPr>
          <w:rFonts w:ascii="Times New Roman" w:hAnsi="Times New Roman"/>
        </w:rPr>
        <w:t xml:space="preserve"> </w:t>
      </w:r>
      <w:r w:rsidR="00D24422" w:rsidRPr="003B117D">
        <w:rPr>
          <w:rFonts w:ascii="Times New Roman" w:hAnsi="Times New Roman"/>
        </w:rPr>
        <w:t>And once again, mobility is a more frequent phenomenon that persistence in specialization (core plus niche) for all groups of countries</w:t>
      </w:r>
      <w:r w:rsidR="00B67F21">
        <w:rPr>
          <w:rFonts w:ascii="Times New Roman" w:hAnsi="Times New Roman"/>
        </w:rPr>
        <w:t xml:space="preserve"> and it is</w:t>
      </w:r>
      <w:r w:rsidRPr="002A172B">
        <w:rPr>
          <w:rFonts w:ascii="Times New Roman" w:hAnsi="Times New Roman" w:cs="Times New Roman"/>
        </w:rPr>
        <w:t xml:space="preserve"> characterized by movements between niche and marginal competences. </w:t>
      </w:r>
    </w:p>
    <w:p w:rsidR="00ED1839" w:rsidRPr="002A172B" w:rsidRDefault="00ED1839" w:rsidP="00793D1C">
      <w:pPr>
        <w:pStyle w:val="Corpodetexto"/>
        <w:rPr>
          <w:rFonts w:ascii="Times New Roman" w:hAnsi="Times New Roman" w:cs="Times New Roman"/>
        </w:rPr>
      </w:pPr>
      <w:r w:rsidRPr="002A172B">
        <w:rPr>
          <w:rFonts w:ascii="Times New Roman" w:hAnsi="Times New Roman" w:cs="Times New Roman"/>
        </w:rPr>
        <w:t>Mobility is also a phenomenon more associated to structural change motives. Expected mobility is only responsible for around 6-8% of total mobility observed in Europe and about 9% in Latin America. The effect of this structural change is associated with the loosing of previous specialization and destruction of initial</w:t>
      </w:r>
      <w:r>
        <w:rPr>
          <w:rFonts w:ascii="Times New Roman" w:hAnsi="Times New Roman" w:cs="Times New Roman"/>
        </w:rPr>
        <w:t xml:space="preserve"> advantages. This occurs for all groups of countries and it is much more relevant the weaker the initial technological level. So, for European delayers, 54.5% of its total inter-sectoral mobility consisted in the abandonment of its initial advantages and a new allocation of resources to innovation. In Leaders and Medium technological level this effect is more important (55.5% and 59.0% respectively). In Latin American countries, markets integration was accompanied by the building of new specializations even in </w:t>
      </w:r>
      <w:r w:rsidRPr="002A172B">
        <w:rPr>
          <w:rFonts w:ascii="Times New Roman" w:hAnsi="Times New Roman" w:cs="Times New Roman"/>
        </w:rPr>
        <w:t>technological fields with no pre</w:t>
      </w:r>
      <w:r>
        <w:rPr>
          <w:rFonts w:ascii="Times New Roman" w:hAnsi="Times New Roman" w:cs="Times New Roman"/>
        </w:rPr>
        <w:t>vious efforts, which explains 44</w:t>
      </w:r>
      <w:r w:rsidRPr="002A172B">
        <w:rPr>
          <w:rFonts w:ascii="Times New Roman" w:hAnsi="Times New Roman" w:cs="Times New Roman"/>
        </w:rPr>
        <w:t>.</w:t>
      </w:r>
      <w:r>
        <w:rPr>
          <w:rFonts w:ascii="Times New Roman" w:hAnsi="Times New Roman" w:cs="Times New Roman"/>
        </w:rPr>
        <w:t>9</w:t>
      </w:r>
      <w:r w:rsidRPr="002A172B">
        <w:rPr>
          <w:rFonts w:ascii="Times New Roman" w:hAnsi="Times New Roman" w:cs="Times New Roman"/>
        </w:rPr>
        <w:t>% of total mobility. So, they present a more balanced impact between building and destruction of previous competences.</w:t>
      </w:r>
    </w:p>
    <w:p w:rsidR="00507EE4" w:rsidRDefault="00A07303" w:rsidP="00507EE4">
      <w:pPr>
        <w:pStyle w:val="Corpodetexto"/>
        <w:contextualSpacing/>
        <w:rPr>
          <w:rFonts w:ascii="Times New Roman" w:hAnsi="Times New Roman" w:cs="Times New Roman"/>
        </w:rPr>
      </w:pPr>
      <w:r w:rsidRPr="002A172B">
        <w:rPr>
          <w:rFonts w:ascii="Times New Roman" w:hAnsi="Times New Roman" w:cs="Times New Roman"/>
        </w:rPr>
        <w:t>At least 90% of mobility is “non-expected”, this is, neither due to the taking advantages of technological opportunities nor by the creation of absorptive capacity. That may be an evidence that mobility is probably associated with structural change. Europe is clearly more characterized by the loosing of competences or by a ‘creative destruction processes’. More than 50% of mobility consisted in the loss of initial advantages or capabilities (although different</w:t>
      </w:r>
      <w:r>
        <w:rPr>
          <w:rFonts w:ascii="Times New Roman" w:hAnsi="Times New Roman" w:cs="Times New Roman"/>
        </w:rPr>
        <w:t xml:space="preserve"> behaviors can be observed by country). And this happened in all groups, becoming more relevant the lower the level of technological development was. </w:t>
      </w:r>
      <w:r w:rsidR="00507EE4" w:rsidRPr="007A1AE0">
        <w:rPr>
          <w:rFonts w:ascii="Times New Roman" w:hAnsi="Times New Roman"/>
        </w:rPr>
        <w:t xml:space="preserve">So, </w:t>
      </w:r>
      <w:r w:rsidR="00507EE4">
        <w:rPr>
          <w:rFonts w:ascii="Times New Roman" w:hAnsi="Times New Roman"/>
        </w:rPr>
        <w:t>Latin American countries</w:t>
      </w:r>
      <w:r w:rsidR="00507EE4" w:rsidRPr="007A1AE0">
        <w:rPr>
          <w:rFonts w:ascii="Times New Roman" w:hAnsi="Times New Roman"/>
        </w:rPr>
        <w:t xml:space="preserve"> present a more balanced impact between building and destruction of previous competences</w:t>
      </w:r>
      <w:r>
        <w:rPr>
          <w:rFonts w:ascii="Times New Roman" w:hAnsi="Times New Roman" w:cs="Times New Roman"/>
        </w:rPr>
        <w:t xml:space="preserve">. </w:t>
      </w:r>
    </w:p>
    <w:p w:rsidR="00507EE4" w:rsidRDefault="00507EE4" w:rsidP="0001659F">
      <w:pPr>
        <w:pStyle w:val="Corpodetexto"/>
        <w:contextualSpacing/>
        <w:rPr>
          <w:rFonts w:ascii="Times New Roman" w:hAnsi="Times New Roman" w:cs="Times New Roman"/>
        </w:rPr>
      </w:pPr>
    </w:p>
    <w:p w:rsidR="00C5105C" w:rsidRDefault="00C5105C" w:rsidP="0001659F">
      <w:pPr>
        <w:pStyle w:val="Corpodetexto"/>
        <w:ind w:firstLine="708"/>
        <w:rPr>
          <w:rFonts w:ascii="Times New Roman" w:hAnsi="Times New Roman" w:cs="Times New Roman"/>
        </w:rPr>
      </w:pPr>
    </w:p>
    <w:p w:rsidR="00C5105C" w:rsidRDefault="00C5105C" w:rsidP="0001659F">
      <w:pPr>
        <w:pStyle w:val="Corpodetexto"/>
        <w:ind w:firstLine="0"/>
        <w:rPr>
          <w:rFonts w:ascii="Times New Roman" w:hAnsi="Times New Roman" w:cs="Times New Roman"/>
        </w:rPr>
      </w:pPr>
      <w:r w:rsidRPr="002C5507">
        <w:rPr>
          <w:rFonts w:ascii="Times New Roman" w:hAnsi="Times New Roman" w:cs="Times New Roman"/>
          <w:b/>
        </w:rPr>
        <w:t>Concluding remarks</w:t>
      </w:r>
      <w:r>
        <w:rPr>
          <w:rFonts w:ascii="Times New Roman" w:hAnsi="Times New Roman" w:cs="Times New Roman"/>
        </w:rPr>
        <w:t>.</w:t>
      </w:r>
    </w:p>
    <w:p w:rsidR="00507EE4" w:rsidRDefault="00507EE4" w:rsidP="0001659F">
      <w:pPr>
        <w:pStyle w:val="Corpodetexto"/>
        <w:rPr>
          <w:rFonts w:ascii="Times New Roman" w:hAnsi="Times New Roman" w:cs="Times New Roman"/>
        </w:rPr>
      </w:pPr>
    </w:p>
    <w:p w:rsidR="00507EE4" w:rsidRDefault="00507EE4" w:rsidP="00507EE4">
      <w:pPr>
        <w:pStyle w:val="Corpodetexto"/>
        <w:rPr>
          <w:rFonts w:ascii="Times New Roman" w:hAnsi="Times New Roman" w:cs="Times New Roman"/>
        </w:rPr>
      </w:pPr>
      <w:r w:rsidRPr="00507EE4">
        <w:rPr>
          <w:rFonts w:ascii="Times New Roman" w:hAnsi="Times New Roman" w:cs="Times New Roman"/>
        </w:rPr>
        <w:t>This paper aimed to show that there are theoretical reasons to think that technological structures are changing along integration market processes. And, in the extent that technological structures are closely linked to economic structures, these changes should be considered a part of structural change.</w:t>
      </w:r>
      <w:r w:rsidRPr="007A1AE0">
        <w:rPr>
          <w:rFonts w:ascii="Times New Roman" w:hAnsi="Times New Roman" w:cs="Times New Roman"/>
        </w:rPr>
        <w:t xml:space="preserve"> A group of countries was chosen to test the principal changes registered in their technological structures between pre and post market integration periods. More specifically, the paper has chosen fifteen European countries that were referred to the pre and post Monetary Union period</w:t>
      </w:r>
      <w:r>
        <w:rPr>
          <w:rFonts w:ascii="Times New Roman" w:hAnsi="Times New Roman" w:cs="Times New Roman"/>
        </w:rPr>
        <w:t xml:space="preserve"> and</w:t>
      </w:r>
      <w:r w:rsidRPr="007A1AE0">
        <w:rPr>
          <w:rFonts w:ascii="Times New Roman" w:hAnsi="Times New Roman" w:cs="Times New Roman"/>
        </w:rPr>
        <w:t xml:space="preserve"> four Latin-American countries referred to the nineties liberalization policies, which marked the decade for the openness of </w:t>
      </w:r>
      <w:r>
        <w:rPr>
          <w:rFonts w:ascii="Times New Roman" w:hAnsi="Times New Roman" w:cs="Times New Roman"/>
        </w:rPr>
        <w:t>their</w:t>
      </w:r>
      <w:r w:rsidRPr="007A1AE0">
        <w:rPr>
          <w:rFonts w:ascii="Times New Roman" w:hAnsi="Times New Roman" w:cs="Times New Roman"/>
        </w:rPr>
        <w:t xml:space="preserve"> markets and their exposure to higher international competition</w:t>
      </w:r>
      <w:r>
        <w:rPr>
          <w:rFonts w:ascii="Times New Roman" w:hAnsi="Times New Roman" w:cs="Times New Roman"/>
        </w:rPr>
        <w:t>.</w:t>
      </w:r>
    </w:p>
    <w:p w:rsidR="00C5105C" w:rsidRPr="002A172B" w:rsidRDefault="00292F9A" w:rsidP="0001659F">
      <w:pPr>
        <w:pStyle w:val="Corpodetexto"/>
        <w:rPr>
          <w:rFonts w:ascii="Times New Roman" w:hAnsi="Times New Roman" w:cs="Times New Roman"/>
          <w:strike/>
        </w:rPr>
      </w:pPr>
      <w:r>
        <w:rPr>
          <w:rFonts w:ascii="Times New Roman" w:hAnsi="Times New Roman" w:cs="Times New Roman"/>
        </w:rPr>
        <w:t>Market</w:t>
      </w:r>
      <w:r w:rsidR="00C5105C" w:rsidRPr="005D22FD">
        <w:rPr>
          <w:rFonts w:ascii="Times New Roman" w:hAnsi="Times New Roman" w:cs="Times New Roman"/>
        </w:rPr>
        <w:t xml:space="preserve"> integration </w:t>
      </w:r>
      <w:r w:rsidR="00C5105C">
        <w:rPr>
          <w:rFonts w:ascii="Times New Roman" w:hAnsi="Times New Roman" w:cs="Times New Roman"/>
        </w:rPr>
        <w:t>in UE-15 and AL-4 was companied by</w:t>
      </w:r>
      <w:r w:rsidR="00C5105C" w:rsidRPr="005D22FD">
        <w:rPr>
          <w:rFonts w:ascii="Times New Roman" w:hAnsi="Times New Roman" w:cs="Times New Roman"/>
        </w:rPr>
        <w:t xml:space="preserve"> technological </w:t>
      </w:r>
      <w:r w:rsidR="00C5105C" w:rsidRPr="002A172B">
        <w:rPr>
          <w:rFonts w:ascii="Times New Roman" w:hAnsi="Times New Roman" w:cs="Times New Roman"/>
        </w:rPr>
        <w:t>convergence</w:t>
      </w:r>
      <w:r w:rsidR="003C39BD" w:rsidRPr="002A172B">
        <w:rPr>
          <w:rFonts w:ascii="Times New Roman" w:hAnsi="Times New Roman" w:cs="Times New Roman"/>
        </w:rPr>
        <w:t>, that is,</w:t>
      </w:r>
      <w:r w:rsidR="00C5105C" w:rsidRPr="002A172B">
        <w:rPr>
          <w:rFonts w:ascii="Times New Roman" w:hAnsi="Times New Roman" w:cs="Times New Roman"/>
        </w:rPr>
        <w:t xml:space="preserve"> a </w:t>
      </w:r>
      <w:r w:rsidR="00910B83" w:rsidRPr="002A172B">
        <w:rPr>
          <w:rFonts w:ascii="Times New Roman" w:hAnsi="Times New Roman" w:cs="Times New Roman"/>
        </w:rPr>
        <w:t>r</w:t>
      </w:r>
      <w:r w:rsidR="00C5105C" w:rsidRPr="002A172B">
        <w:rPr>
          <w:rFonts w:ascii="Times New Roman" w:hAnsi="Times New Roman" w:cs="Times New Roman"/>
        </w:rPr>
        <w:t>eduction</w:t>
      </w:r>
      <w:r w:rsidR="00C5105C">
        <w:rPr>
          <w:rFonts w:ascii="Times New Roman" w:hAnsi="Times New Roman" w:cs="Times New Roman"/>
        </w:rPr>
        <w:t xml:space="preserve"> of technolog</w:t>
      </w:r>
      <w:r w:rsidR="00910B83">
        <w:rPr>
          <w:rFonts w:ascii="Times New Roman" w:hAnsi="Times New Roman" w:cs="Times New Roman"/>
        </w:rPr>
        <w:t>y</w:t>
      </w:r>
      <w:r w:rsidR="00C5105C">
        <w:rPr>
          <w:rFonts w:ascii="Times New Roman" w:hAnsi="Times New Roman" w:cs="Times New Roman"/>
        </w:rPr>
        <w:t xml:space="preserve"> gaps between leaders and </w:t>
      </w:r>
      <w:r w:rsidR="00FD78D3">
        <w:rPr>
          <w:rFonts w:ascii="Times New Roman" w:hAnsi="Times New Roman" w:cs="Times New Roman"/>
        </w:rPr>
        <w:t>follower</w:t>
      </w:r>
      <w:r w:rsidR="00C5105C">
        <w:rPr>
          <w:rFonts w:ascii="Times New Roman" w:hAnsi="Times New Roman" w:cs="Times New Roman"/>
        </w:rPr>
        <w:t>s</w:t>
      </w:r>
      <w:r w:rsidR="00F2707D">
        <w:rPr>
          <w:rFonts w:ascii="Times New Roman" w:hAnsi="Times New Roman" w:cs="Times New Roman"/>
        </w:rPr>
        <w:t xml:space="preserve"> and more similar share of patents distributions, </w:t>
      </w:r>
      <w:r w:rsidR="00F2707D" w:rsidRPr="002A172B">
        <w:rPr>
          <w:rFonts w:ascii="Times New Roman" w:hAnsi="Times New Roman" w:cs="Times New Roman"/>
        </w:rPr>
        <w:t>which means a technological competition performance</w:t>
      </w:r>
      <w:r w:rsidR="00C5105C" w:rsidRPr="002A172B">
        <w:rPr>
          <w:rFonts w:ascii="Times New Roman" w:hAnsi="Times New Roman" w:cs="Times New Roman"/>
        </w:rPr>
        <w:t xml:space="preserve">. This is mainly </w:t>
      </w:r>
      <w:r w:rsidR="004A6267" w:rsidRPr="002A172B">
        <w:rPr>
          <w:rFonts w:ascii="Times New Roman" w:hAnsi="Times New Roman" w:cs="Times New Roman"/>
        </w:rPr>
        <w:t>due</w:t>
      </w:r>
      <w:r w:rsidR="00C5105C" w:rsidRPr="002A172B">
        <w:rPr>
          <w:rFonts w:ascii="Times New Roman" w:hAnsi="Times New Roman" w:cs="Times New Roman"/>
        </w:rPr>
        <w:t xml:space="preserve"> </w:t>
      </w:r>
      <w:r w:rsidR="004A6267" w:rsidRPr="002A172B">
        <w:rPr>
          <w:rFonts w:ascii="Times New Roman" w:hAnsi="Times New Roman" w:cs="Times New Roman"/>
        </w:rPr>
        <w:t>to</w:t>
      </w:r>
      <w:r w:rsidR="00C5105C" w:rsidRPr="002A172B">
        <w:rPr>
          <w:rFonts w:ascii="Times New Roman" w:hAnsi="Times New Roman" w:cs="Times New Roman"/>
        </w:rPr>
        <w:t xml:space="preserve"> the acceleration of the catch</w:t>
      </w:r>
      <w:r w:rsidR="00910B83" w:rsidRPr="002A172B">
        <w:rPr>
          <w:rFonts w:ascii="Times New Roman" w:hAnsi="Times New Roman" w:cs="Times New Roman"/>
        </w:rPr>
        <w:t>i</w:t>
      </w:r>
      <w:r w:rsidR="004A6267" w:rsidRPr="002A172B">
        <w:rPr>
          <w:rFonts w:ascii="Times New Roman" w:hAnsi="Times New Roman" w:cs="Times New Roman"/>
        </w:rPr>
        <w:t>ng</w:t>
      </w:r>
      <w:r w:rsidR="00C5105C" w:rsidRPr="002A172B">
        <w:rPr>
          <w:rFonts w:ascii="Times New Roman" w:hAnsi="Times New Roman" w:cs="Times New Roman"/>
        </w:rPr>
        <w:t xml:space="preserve">-up process, which was characterized by high technological dynamism that </w:t>
      </w:r>
      <w:r w:rsidR="004A6267" w:rsidRPr="002A172B">
        <w:rPr>
          <w:rFonts w:ascii="Times New Roman" w:hAnsi="Times New Roman" w:cs="Times New Roman"/>
        </w:rPr>
        <w:t>made followers develop new competences</w:t>
      </w:r>
      <w:r w:rsidR="00C5105C" w:rsidRPr="002A172B">
        <w:rPr>
          <w:rFonts w:ascii="Times New Roman" w:hAnsi="Times New Roman" w:cs="Times New Roman"/>
        </w:rPr>
        <w:t xml:space="preserve">. </w:t>
      </w:r>
      <w:r w:rsidR="004A6267" w:rsidRPr="002A172B">
        <w:rPr>
          <w:rFonts w:ascii="Times New Roman" w:hAnsi="Times New Roman" w:cs="Times New Roman"/>
        </w:rPr>
        <w:t>T</w:t>
      </w:r>
      <w:r w:rsidR="00C5105C" w:rsidRPr="002A172B">
        <w:rPr>
          <w:rFonts w:ascii="Times New Roman" w:hAnsi="Times New Roman" w:cs="Times New Roman"/>
        </w:rPr>
        <w:t>echnological dynamism and diversification</w:t>
      </w:r>
      <w:r w:rsidR="004A6267" w:rsidRPr="002A172B">
        <w:rPr>
          <w:rFonts w:ascii="Times New Roman" w:hAnsi="Times New Roman" w:cs="Times New Roman"/>
        </w:rPr>
        <w:t xml:space="preserve"> were</w:t>
      </w:r>
      <w:r w:rsidR="00C5105C" w:rsidRPr="002A172B">
        <w:rPr>
          <w:rFonts w:ascii="Times New Roman" w:hAnsi="Times New Roman" w:cs="Times New Roman"/>
        </w:rPr>
        <w:t xml:space="preserve"> so powerful </w:t>
      </w:r>
      <w:r w:rsidR="00C5105C" w:rsidRPr="002A172B">
        <w:rPr>
          <w:rFonts w:ascii="Times New Roman" w:hAnsi="Times New Roman" w:cs="Times New Roman"/>
        </w:rPr>
        <w:lastRenderedPageBreak/>
        <w:t xml:space="preserve">that movements towards stagnant TO fields (or from dynamic) </w:t>
      </w:r>
      <w:r w:rsidR="004A6267" w:rsidRPr="002A172B">
        <w:rPr>
          <w:rFonts w:ascii="Times New Roman" w:hAnsi="Times New Roman" w:cs="Times New Roman"/>
        </w:rPr>
        <w:t>did</w:t>
      </w:r>
      <w:r w:rsidR="00C5105C" w:rsidRPr="002A172B">
        <w:rPr>
          <w:rFonts w:ascii="Times New Roman" w:hAnsi="Times New Roman" w:cs="Times New Roman"/>
        </w:rPr>
        <w:t xml:space="preserve"> not represent a constraint to convergence.</w:t>
      </w:r>
      <w:r w:rsidR="003C39BD" w:rsidRPr="002A172B">
        <w:rPr>
          <w:rFonts w:ascii="Times New Roman" w:hAnsi="Times New Roman" w:cs="Times New Roman"/>
        </w:rPr>
        <w:t xml:space="preserve"> </w:t>
      </w:r>
      <w:r w:rsidR="00910B83" w:rsidRPr="002A172B">
        <w:rPr>
          <w:rFonts w:ascii="Times New Roman" w:hAnsi="Times New Roman" w:cs="Times New Roman"/>
        </w:rPr>
        <w:t xml:space="preserve">The paper </w:t>
      </w:r>
      <w:r w:rsidR="00F2707D" w:rsidRPr="002A172B">
        <w:rPr>
          <w:rFonts w:ascii="Times New Roman" w:hAnsi="Times New Roman" w:cs="Times New Roman"/>
        </w:rPr>
        <w:t xml:space="preserve">also </w:t>
      </w:r>
      <w:r w:rsidR="00910B83" w:rsidRPr="002A172B">
        <w:rPr>
          <w:rFonts w:ascii="Times New Roman" w:hAnsi="Times New Roman" w:cs="Times New Roman"/>
        </w:rPr>
        <w:t xml:space="preserve">shows that followers before integration had very high levels of technological specialization. After the integration, </w:t>
      </w:r>
      <w:r w:rsidR="00F2707D" w:rsidRPr="002A172B">
        <w:rPr>
          <w:rFonts w:ascii="Times New Roman" w:hAnsi="Times New Roman" w:cs="Times New Roman"/>
        </w:rPr>
        <w:t xml:space="preserve">the </w:t>
      </w:r>
      <w:r w:rsidR="00910B83" w:rsidRPr="002A172B">
        <w:rPr>
          <w:rFonts w:ascii="Times New Roman" w:hAnsi="Times New Roman" w:cs="Times New Roman"/>
        </w:rPr>
        <w:t>technolog</w:t>
      </w:r>
      <w:r w:rsidR="00DB0610" w:rsidRPr="002A172B">
        <w:rPr>
          <w:rFonts w:ascii="Times New Roman" w:hAnsi="Times New Roman" w:cs="Times New Roman"/>
        </w:rPr>
        <w:t xml:space="preserve">ical </w:t>
      </w:r>
      <w:r w:rsidR="001338CD" w:rsidRPr="002A172B">
        <w:rPr>
          <w:rFonts w:ascii="Times New Roman" w:hAnsi="Times New Roman" w:cs="Times New Roman"/>
        </w:rPr>
        <w:t>dynamism</w:t>
      </w:r>
      <w:r w:rsidR="00910B83" w:rsidRPr="002A172B">
        <w:rPr>
          <w:rFonts w:ascii="Times New Roman" w:hAnsi="Times New Roman" w:cs="Times New Roman"/>
        </w:rPr>
        <w:t xml:space="preserve"> </w:t>
      </w:r>
      <w:r w:rsidR="00F2707D" w:rsidRPr="002A172B">
        <w:rPr>
          <w:rFonts w:ascii="Times New Roman" w:hAnsi="Times New Roman" w:cs="Times New Roman"/>
        </w:rPr>
        <w:t xml:space="preserve">of followers </w:t>
      </w:r>
      <w:r w:rsidR="00910B83" w:rsidRPr="002A172B">
        <w:rPr>
          <w:rFonts w:ascii="Times New Roman" w:hAnsi="Times New Roman" w:cs="Times New Roman"/>
        </w:rPr>
        <w:t>was accompanied by greater levels of technological diversification</w:t>
      </w:r>
      <w:r w:rsidR="00F2707D" w:rsidRPr="002A172B">
        <w:rPr>
          <w:rFonts w:ascii="Times New Roman" w:hAnsi="Times New Roman" w:cs="Times New Roman"/>
        </w:rPr>
        <w:t xml:space="preserve">, while </w:t>
      </w:r>
      <w:r w:rsidR="00910B83" w:rsidRPr="002A172B">
        <w:rPr>
          <w:rFonts w:ascii="Times New Roman" w:hAnsi="Times New Roman" w:cs="Times New Roman"/>
        </w:rPr>
        <w:t>leader</w:t>
      </w:r>
      <w:r w:rsidR="004D5DE6" w:rsidRPr="002A172B">
        <w:rPr>
          <w:rFonts w:ascii="Times New Roman" w:hAnsi="Times New Roman" w:cs="Times New Roman"/>
        </w:rPr>
        <w:t>s</w:t>
      </w:r>
      <w:r w:rsidR="00910B83" w:rsidRPr="002A172B">
        <w:rPr>
          <w:rFonts w:ascii="Times New Roman" w:hAnsi="Times New Roman" w:cs="Times New Roman"/>
        </w:rPr>
        <w:t xml:space="preserve"> became more specialized.</w:t>
      </w:r>
    </w:p>
    <w:p w:rsidR="002D0F2D" w:rsidRDefault="002D0F2D" w:rsidP="002D0F2D">
      <w:pPr>
        <w:pStyle w:val="Corpodetexto"/>
        <w:rPr>
          <w:rFonts w:ascii="Times New Roman" w:hAnsi="Times New Roman" w:cs="Times New Roman"/>
          <w:color w:val="FF0000"/>
        </w:rPr>
      </w:pPr>
      <w:r w:rsidRPr="002D0F2D">
        <w:rPr>
          <w:rFonts w:ascii="Times New Roman" w:hAnsi="Times New Roman" w:cs="Times New Roman"/>
        </w:rPr>
        <w:t xml:space="preserve">The </w:t>
      </w:r>
      <w:r w:rsidRPr="002D0F2D">
        <w:rPr>
          <w:rFonts w:ascii="Times New Roman" w:hAnsi="Times New Roman" w:cs="Times New Roman"/>
          <w:i/>
          <w:iCs/>
        </w:rPr>
        <w:t>shift-share</w:t>
      </w:r>
      <w:r w:rsidRPr="002D0F2D">
        <w:rPr>
          <w:rFonts w:ascii="Times New Roman" w:hAnsi="Times New Roman" w:cs="Times New Roman"/>
        </w:rPr>
        <w:t xml:space="preserve"> analysis showed that technological opportunity did not play a significant role to explain the technological dynamism. Initial ‘correct’ specialization does not necessarily conduct to movements in the same direction. By the contrary, countries which registered higher technological dynamism and patent activity used to move to stagnant technologies independently of their initial positioning, this is, their dynamism was not oriented by the enjoyment of advantages provided by movements towards dynamic technologies but by an exploitation of their initial endowment advantag</w:t>
      </w:r>
      <w:r>
        <w:rPr>
          <w:rFonts w:ascii="Times New Roman" w:hAnsi="Times New Roman" w:cs="Times New Roman"/>
        </w:rPr>
        <w:t>es.</w:t>
      </w:r>
    </w:p>
    <w:p w:rsidR="00C5105C" w:rsidRPr="002D0F2D" w:rsidRDefault="00292F9A" w:rsidP="00292F9A">
      <w:pPr>
        <w:pStyle w:val="Corpodetexto"/>
        <w:rPr>
          <w:rFonts w:ascii="Times New Roman" w:hAnsi="Times New Roman" w:cs="Times New Roman"/>
          <w:color w:val="FF0000"/>
        </w:rPr>
      </w:pPr>
      <w:r>
        <w:rPr>
          <w:rFonts w:ascii="Times New Roman" w:hAnsi="Times New Roman" w:cs="Times New Roman"/>
        </w:rPr>
        <w:t>P</w:t>
      </w:r>
      <w:r w:rsidRPr="007A1AE0">
        <w:rPr>
          <w:rFonts w:ascii="Times New Roman" w:hAnsi="Times New Roman" w:cs="Times New Roman"/>
        </w:rPr>
        <w:t>ersistence is really a phenomenon more relevant than mobility</w:t>
      </w:r>
      <w:r w:rsidRPr="00292F9A">
        <w:rPr>
          <w:rFonts w:ascii="Times New Roman" w:hAnsi="Times New Roman" w:cs="Times New Roman"/>
        </w:rPr>
        <w:t>, but with some qualifications</w:t>
      </w:r>
      <w:r>
        <w:rPr>
          <w:rFonts w:ascii="Times New Roman" w:hAnsi="Times New Roman" w:cs="Times New Roman"/>
        </w:rPr>
        <w:t>. P</w:t>
      </w:r>
      <w:r w:rsidRPr="007A1AE0">
        <w:rPr>
          <w:rFonts w:ascii="Times New Roman" w:hAnsi="Times New Roman" w:cs="Times New Roman"/>
        </w:rPr>
        <w:t xml:space="preserve">ersistence is mainly related to de-specialization or, more concretely, </w:t>
      </w:r>
      <w:r>
        <w:rPr>
          <w:rFonts w:ascii="Times New Roman" w:hAnsi="Times New Roman" w:cs="Times New Roman"/>
        </w:rPr>
        <w:t xml:space="preserve">it </w:t>
      </w:r>
      <w:r w:rsidRPr="007A1AE0">
        <w:rPr>
          <w:rFonts w:ascii="Times New Roman" w:hAnsi="Times New Roman" w:cs="Times New Roman"/>
        </w:rPr>
        <w:t xml:space="preserve">is basically a phenomenon that affects to marginal competences. This kind of persistence does not necessarily have to imply irreversibility. It is expected that countries will not be active in all possible technical fields. Their technological possibilities are constrained by their productive and </w:t>
      </w:r>
      <w:r>
        <w:rPr>
          <w:rFonts w:ascii="Times New Roman" w:hAnsi="Times New Roman" w:cs="Times New Roman"/>
        </w:rPr>
        <w:t>technical</w:t>
      </w:r>
      <w:r w:rsidRPr="007A1AE0">
        <w:rPr>
          <w:rFonts w:ascii="Times New Roman" w:hAnsi="Times New Roman" w:cs="Times New Roman"/>
        </w:rPr>
        <w:t xml:space="preserve"> bases</w:t>
      </w:r>
      <w:r w:rsidRPr="00613DC4">
        <w:rPr>
          <w:rFonts w:ascii="Times New Roman" w:hAnsi="Times New Roman" w:cs="Times New Roman"/>
        </w:rPr>
        <w:t>. And, even considering that the technical base is wider than productive base, it is plausible to expect that</w:t>
      </w:r>
      <w:r w:rsidRPr="007A1AE0">
        <w:rPr>
          <w:rFonts w:ascii="Times New Roman" w:hAnsi="Times New Roman" w:cs="Times New Roman"/>
        </w:rPr>
        <w:t xml:space="preserve"> small countries should present a higher ‘natural rate of technological inactivity’ which tends to remain </w:t>
      </w:r>
      <w:r>
        <w:rPr>
          <w:rFonts w:ascii="Times New Roman" w:hAnsi="Times New Roman" w:cs="Times New Roman"/>
        </w:rPr>
        <w:t>throughout</w:t>
      </w:r>
      <w:r w:rsidRPr="007A1AE0">
        <w:rPr>
          <w:rFonts w:ascii="Times New Roman" w:hAnsi="Times New Roman" w:cs="Times New Roman"/>
        </w:rPr>
        <w:t xml:space="preserve"> time. Persistence in de-specialization can be also a result of the concentration of national innovative efforts. The question is if, in this case, path dependence constrains future technological developments in the technical fie</w:t>
      </w:r>
      <w:r>
        <w:rPr>
          <w:rFonts w:ascii="Times New Roman" w:hAnsi="Times New Roman" w:cs="Times New Roman"/>
        </w:rPr>
        <w:t>lds developed in the past. D</w:t>
      </w:r>
      <w:r w:rsidRPr="007A1AE0">
        <w:rPr>
          <w:rFonts w:ascii="Times New Roman" w:hAnsi="Times New Roman" w:cs="Times New Roman"/>
        </w:rPr>
        <w:t xml:space="preserve">ata shows that the answer to this question is </w:t>
      </w:r>
      <w:r>
        <w:rPr>
          <w:rFonts w:ascii="Times New Roman" w:hAnsi="Times New Roman" w:cs="Times New Roman"/>
        </w:rPr>
        <w:t>‘</w:t>
      </w:r>
      <w:r w:rsidRPr="007A1AE0">
        <w:rPr>
          <w:rFonts w:ascii="Times New Roman" w:hAnsi="Times New Roman" w:cs="Times New Roman"/>
        </w:rPr>
        <w:t>no</w:t>
      </w:r>
      <w:r>
        <w:rPr>
          <w:rFonts w:ascii="Times New Roman" w:hAnsi="Times New Roman" w:cs="Times New Roman"/>
        </w:rPr>
        <w:t>’</w:t>
      </w:r>
      <w:r w:rsidRPr="007A1AE0">
        <w:rPr>
          <w:rFonts w:ascii="Times New Roman" w:hAnsi="Times New Roman" w:cs="Times New Roman"/>
        </w:rPr>
        <w:t>. Mobility from and to specialization is at least as important as persistence in specialization in mature c</w:t>
      </w:r>
      <w:r>
        <w:rPr>
          <w:rFonts w:ascii="Times New Roman" w:hAnsi="Times New Roman" w:cs="Times New Roman"/>
        </w:rPr>
        <w:t>ountries (leaders and medium</w:t>
      </w:r>
      <w:r w:rsidRPr="007A1AE0">
        <w:rPr>
          <w:rFonts w:ascii="Times New Roman" w:hAnsi="Times New Roman" w:cs="Times New Roman"/>
        </w:rPr>
        <w:t xml:space="preserve"> European countries), but in catching–up countries, mobility is more than twice more important (European </w:t>
      </w:r>
      <w:r>
        <w:rPr>
          <w:rFonts w:ascii="Times New Roman" w:hAnsi="Times New Roman" w:cs="Times New Roman"/>
        </w:rPr>
        <w:t>Delayers and</w:t>
      </w:r>
      <w:r w:rsidRPr="007A1AE0">
        <w:rPr>
          <w:rFonts w:ascii="Times New Roman" w:hAnsi="Times New Roman" w:cs="Times New Roman"/>
        </w:rPr>
        <w:t xml:space="preserve"> Latin-Americans).</w:t>
      </w:r>
    </w:p>
    <w:p w:rsidR="00597729" w:rsidRPr="002A172B" w:rsidRDefault="00597729" w:rsidP="0001659F">
      <w:pPr>
        <w:pStyle w:val="Corpodetexto"/>
        <w:ind w:firstLine="708"/>
        <w:rPr>
          <w:rFonts w:ascii="Times New Roman" w:hAnsi="Times New Roman" w:cs="Times New Roman"/>
        </w:rPr>
      </w:pPr>
      <w:r w:rsidRPr="002A172B">
        <w:rPr>
          <w:rFonts w:ascii="Times New Roman" w:hAnsi="Times New Roman" w:cs="Times New Roman"/>
        </w:rPr>
        <w:t>The implications of th</w:t>
      </w:r>
      <w:r w:rsidR="0020541F" w:rsidRPr="002A172B">
        <w:rPr>
          <w:rFonts w:ascii="Times New Roman" w:hAnsi="Times New Roman" w:cs="Times New Roman"/>
        </w:rPr>
        <w:t>ese</w:t>
      </w:r>
      <w:r w:rsidRPr="002A172B">
        <w:rPr>
          <w:rFonts w:ascii="Times New Roman" w:hAnsi="Times New Roman" w:cs="Times New Roman"/>
        </w:rPr>
        <w:t xml:space="preserve"> findings </w:t>
      </w:r>
      <w:r w:rsidR="00DB7117" w:rsidRPr="002A172B">
        <w:rPr>
          <w:rFonts w:ascii="Times New Roman" w:hAnsi="Times New Roman" w:cs="Times New Roman"/>
        </w:rPr>
        <w:t>i</w:t>
      </w:r>
      <w:r w:rsidRPr="002A172B">
        <w:rPr>
          <w:rFonts w:ascii="Times New Roman" w:hAnsi="Times New Roman" w:cs="Times New Roman"/>
        </w:rPr>
        <w:t xml:space="preserve">n the long run are uncertain. It is still early to know the dimension of the consequences of the international financial crisis in terms of </w:t>
      </w:r>
      <w:r w:rsidR="00EF2A0B" w:rsidRPr="002A172B">
        <w:rPr>
          <w:rFonts w:ascii="Times New Roman" w:hAnsi="Times New Roman" w:cs="Times New Roman"/>
        </w:rPr>
        <w:t xml:space="preserve">the international allocation of resources or modification of national productive bases. </w:t>
      </w:r>
      <w:r w:rsidR="00DB7117" w:rsidRPr="002A172B">
        <w:rPr>
          <w:rFonts w:ascii="Times New Roman" w:hAnsi="Times New Roman" w:cs="Times New Roman"/>
        </w:rPr>
        <w:t>I</w:t>
      </w:r>
      <w:r w:rsidR="00EF2A0B" w:rsidRPr="002A172B">
        <w:rPr>
          <w:rFonts w:ascii="Times New Roman" w:hAnsi="Times New Roman" w:cs="Times New Roman"/>
        </w:rPr>
        <w:t xml:space="preserve">t is </w:t>
      </w:r>
      <w:r w:rsidR="00DB7117" w:rsidRPr="002A172B">
        <w:rPr>
          <w:rFonts w:ascii="Times New Roman" w:hAnsi="Times New Roman" w:cs="Times New Roman"/>
        </w:rPr>
        <w:t xml:space="preserve">also </w:t>
      </w:r>
      <w:r w:rsidR="00EF2A0B" w:rsidRPr="002A172B">
        <w:rPr>
          <w:rFonts w:ascii="Times New Roman" w:hAnsi="Times New Roman" w:cs="Times New Roman"/>
        </w:rPr>
        <w:t>difficult to know which will be the responses of governments in terms of market</w:t>
      </w:r>
      <w:r w:rsidR="00DB7117" w:rsidRPr="002A172B">
        <w:rPr>
          <w:rFonts w:ascii="Times New Roman" w:hAnsi="Times New Roman" w:cs="Times New Roman"/>
        </w:rPr>
        <w:t>s</w:t>
      </w:r>
      <w:r w:rsidR="00EF2A0B" w:rsidRPr="002A172B">
        <w:rPr>
          <w:rFonts w:ascii="Times New Roman" w:hAnsi="Times New Roman" w:cs="Times New Roman"/>
        </w:rPr>
        <w:t xml:space="preserve"> openness. But following the observed tendencies, it is plausible to think that </w:t>
      </w:r>
      <w:r w:rsidR="00DB7117" w:rsidRPr="002A172B">
        <w:rPr>
          <w:rFonts w:ascii="Times New Roman" w:hAnsi="Times New Roman" w:cs="Times New Roman"/>
        </w:rPr>
        <w:t xml:space="preserve">if there is a </w:t>
      </w:r>
      <w:r w:rsidR="0020541F" w:rsidRPr="002A172B">
        <w:rPr>
          <w:rFonts w:ascii="Times New Roman" w:hAnsi="Times New Roman" w:cs="Times New Roman"/>
        </w:rPr>
        <w:t>closure</w:t>
      </w:r>
      <w:r w:rsidR="00EF2A0B" w:rsidRPr="002A172B">
        <w:rPr>
          <w:rFonts w:ascii="Times New Roman" w:hAnsi="Times New Roman" w:cs="Times New Roman"/>
        </w:rPr>
        <w:t xml:space="preserve"> of international market</w:t>
      </w:r>
      <w:r w:rsidR="00DB7117" w:rsidRPr="002A172B">
        <w:rPr>
          <w:rFonts w:ascii="Times New Roman" w:hAnsi="Times New Roman" w:cs="Times New Roman"/>
        </w:rPr>
        <w:t>s,</w:t>
      </w:r>
      <w:r w:rsidR="00EF2A0B" w:rsidRPr="002A172B">
        <w:rPr>
          <w:rFonts w:ascii="Times New Roman" w:hAnsi="Times New Roman" w:cs="Times New Roman"/>
        </w:rPr>
        <w:t xml:space="preserve"> the </w:t>
      </w:r>
      <w:r w:rsidR="00DB7117" w:rsidRPr="002A172B">
        <w:rPr>
          <w:rFonts w:ascii="Times New Roman" w:hAnsi="Times New Roman" w:cs="Times New Roman"/>
        </w:rPr>
        <w:t xml:space="preserve">international technological diffusion and the </w:t>
      </w:r>
      <w:r w:rsidR="00EF2A0B" w:rsidRPr="002A172B">
        <w:rPr>
          <w:rFonts w:ascii="Times New Roman" w:hAnsi="Times New Roman" w:cs="Times New Roman"/>
        </w:rPr>
        <w:t>catching-up process</w:t>
      </w:r>
      <w:r w:rsidR="0020541F" w:rsidRPr="002A172B">
        <w:rPr>
          <w:rFonts w:ascii="Times New Roman" w:hAnsi="Times New Roman" w:cs="Times New Roman"/>
        </w:rPr>
        <w:t>es</w:t>
      </w:r>
      <w:r w:rsidR="00EF2A0B" w:rsidRPr="002A172B">
        <w:rPr>
          <w:rFonts w:ascii="Times New Roman" w:hAnsi="Times New Roman" w:cs="Times New Roman"/>
        </w:rPr>
        <w:t xml:space="preserve"> for follower countries</w:t>
      </w:r>
      <w:r w:rsidR="00DB7117" w:rsidRPr="002A172B">
        <w:rPr>
          <w:rFonts w:ascii="Times New Roman" w:hAnsi="Times New Roman" w:cs="Times New Roman"/>
        </w:rPr>
        <w:t xml:space="preserve"> will hinder and lock-in problems will be able </w:t>
      </w:r>
      <w:r w:rsidR="007F4DF2" w:rsidRPr="002A172B">
        <w:rPr>
          <w:rFonts w:ascii="Times New Roman" w:hAnsi="Times New Roman" w:cs="Times New Roman"/>
        </w:rPr>
        <w:t xml:space="preserve">to </w:t>
      </w:r>
      <w:r w:rsidR="00DB7117" w:rsidRPr="002A172B">
        <w:rPr>
          <w:rFonts w:ascii="Times New Roman" w:hAnsi="Times New Roman" w:cs="Times New Roman"/>
        </w:rPr>
        <w:t xml:space="preserve">appear.  </w:t>
      </w:r>
      <w:r w:rsidR="007F4DF2" w:rsidRPr="002A172B">
        <w:rPr>
          <w:rFonts w:ascii="Times New Roman" w:hAnsi="Times New Roman" w:cs="Times New Roman"/>
        </w:rPr>
        <w:t xml:space="preserve">In this case, technological specialization of countries will be more restricted to their internal advantages and technological endowments and it is </w:t>
      </w:r>
      <w:r w:rsidR="0020541F" w:rsidRPr="002A172B">
        <w:rPr>
          <w:rFonts w:ascii="Times New Roman" w:hAnsi="Times New Roman" w:cs="Times New Roman"/>
        </w:rPr>
        <w:t>predictable</w:t>
      </w:r>
      <w:r w:rsidR="007F4DF2" w:rsidRPr="002A172B">
        <w:rPr>
          <w:rFonts w:ascii="Times New Roman" w:hAnsi="Times New Roman" w:cs="Times New Roman"/>
        </w:rPr>
        <w:t xml:space="preserve"> a tendency to the international polarization of actual national </w:t>
      </w:r>
      <w:r w:rsidR="00305D5D" w:rsidRPr="002A172B">
        <w:rPr>
          <w:rFonts w:ascii="Times New Roman" w:hAnsi="Times New Roman" w:cs="Times New Roman"/>
        </w:rPr>
        <w:t xml:space="preserve">technological </w:t>
      </w:r>
      <w:r w:rsidR="007F4DF2" w:rsidRPr="002A172B">
        <w:rPr>
          <w:rFonts w:ascii="Times New Roman" w:hAnsi="Times New Roman" w:cs="Times New Roman"/>
        </w:rPr>
        <w:t>specializations.</w:t>
      </w:r>
    </w:p>
    <w:p w:rsidR="002D0F2D" w:rsidRDefault="00507EE4" w:rsidP="00292F9A">
      <w:pPr>
        <w:pStyle w:val="Corpodetexto"/>
        <w:rPr>
          <w:rFonts w:ascii="Times New Roman" w:hAnsi="Times New Roman"/>
        </w:rPr>
      </w:pPr>
      <w:r w:rsidRPr="007A1AE0">
        <w:rPr>
          <w:rFonts w:ascii="Times New Roman" w:hAnsi="Times New Roman"/>
        </w:rPr>
        <w:t>Th</w:t>
      </w:r>
      <w:r w:rsidR="00292F9A">
        <w:rPr>
          <w:rFonts w:ascii="Times New Roman" w:hAnsi="Times New Roman"/>
        </w:rPr>
        <w:t>e findings also</w:t>
      </w:r>
      <w:r w:rsidRPr="007A1AE0">
        <w:rPr>
          <w:rFonts w:ascii="Times New Roman" w:hAnsi="Times New Roman"/>
        </w:rPr>
        <w:t xml:space="preserve"> permit to visualize </w:t>
      </w:r>
      <w:r w:rsidRPr="002D0F2D">
        <w:rPr>
          <w:rFonts w:ascii="Times New Roman" w:hAnsi="Times New Roman"/>
        </w:rPr>
        <w:t xml:space="preserve">the changes of technological structures as a result of both ‘creative accumulation’ and ‘creative destruction’ processes. ‘Creative accumulation’ did not represent a crucial role in mobility between pre and post integration periods, even in most technologically developed countries. On the contrary, ‘creative destruction’ configured the main characteristic of mobility between the considered periods for pre and post market integration. To determine </w:t>
      </w:r>
      <w:bookmarkStart w:id="30" w:name="OLE_LINK65"/>
      <w:r w:rsidRPr="002D0F2D">
        <w:rPr>
          <w:rFonts w:ascii="Times New Roman" w:hAnsi="Times New Roman"/>
        </w:rPr>
        <w:t xml:space="preserve">which part of this is due to autonomous </w:t>
      </w:r>
      <w:bookmarkEnd w:id="30"/>
      <w:r w:rsidRPr="002D0F2D">
        <w:rPr>
          <w:rFonts w:ascii="Times New Roman" w:hAnsi="Times New Roman"/>
        </w:rPr>
        <w:t>factors, to induced factors or to endogenous structural factors is</w:t>
      </w:r>
      <w:r w:rsidRPr="007A1AE0">
        <w:rPr>
          <w:rFonts w:ascii="Times New Roman" w:hAnsi="Times New Roman"/>
        </w:rPr>
        <w:t xml:space="preserve"> impossible</w:t>
      </w:r>
      <w:r w:rsidRPr="003B117D">
        <w:rPr>
          <w:rFonts w:ascii="Times New Roman" w:hAnsi="Times New Roman"/>
        </w:rPr>
        <w:t>. But it is quite plausible that Creative Destruction is associated to market integration</w:t>
      </w:r>
      <w:r w:rsidR="002D0F2D">
        <w:rPr>
          <w:rFonts w:ascii="Times New Roman" w:hAnsi="Times New Roman"/>
        </w:rPr>
        <w:t>.</w:t>
      </w:r>
    </w:p>
    <w:p w:rsidR="0020541F" w:rsidRDefault="00292F9A" w:rsidP="00292F9A">
      <w:pPr>
        <w:pStyle w:val="Corpodetexto"/>
        <w:rPr>
          <w:rFonts w:ascii="Times New Roman" w:hAnsi="Times New Roman" w:cs="Times New Roman"/>
        </w:rPr>
      </w:pPr>
      <w:r>
        <w:rPr>
          <w:rFonts w:ascii="Times New Roman" w:hAnsi="Times New Roman" w:cs="Times New Roman"/>
        </w:rPr>
        <w:t>Finally, the results</w:t>
      </w:r>
      <w:r w:rsidR="00507EE4">
        <w:rPr>
          <w:rFonts w:ascii="Times New Roman" w:hAnsi="Times New Roman" w:cs="Times New Roman"/>
        </w:rPr>
        <w:t xml:space="preserve"> characterize different catching-up processes under integration environments in Europe and in Latin American countries. The reasons for that are not completely clear </w:t>
      </w:r>
      <w:r w:rsidR="00507EE4" w:rsidRPr="004D5DE6">
        <w:rPr>
          <w:rFonts w:ascii="Times New Roman" w:hAnsi="Times New Roman" w:cs="Times New Roman"/>
        </w:rPr>
        <w:t>but one can speculate that it is linked to the</w:t>
      </w:r>
      <w:r w:rsidR="00507EE4">
        <w:rPr>
          <w:rFonts w:ascii="Times New Roman" w:hAnsi="Times New Roman" w:cs="Times New Roman"/>
        </w:rPr>
        <w:t xml:space="preserve"> initial level of technological development and to the trend towards diversification. Traditional theory on NTS patterns does not give enough elements to explain why the diversification paths do not prevail over the previous specialization patterns in the catching-up process. This is a challenge for future works.</w:t>
      </w:r>
    </w:p>
    <w:p w:rsidR="00507EE4" w:rsidRDefault="00507EE4" w:rsidP="00507EE4">
      <w:pPr>
        <w:pStyle w:val="Corpodetexto"/>
        <w:ind w:firstLine="0"/>
        <w:rPr>
          <w:rFonts w:ascii="Times New Roman" w:hAnsi="Times New Roman" w:cs="Times New Roman"/>
        </w:rPr>
      </w:pPr>
    </w:p>
    <w:p w:rsidR="00711E84" w:rsidRDefault="00711E84" w:rsidP="00507EE4">
      <w:pPr>
        <w:pStyle w:val="Corpodetexto"/>
        <w:ind w:firstLine="0"/>
        <w:rPr>
          <w:rFonts w:ascii="Times New Roman" w:hAnsi="Times New Roman" w:cs="Times New Roman"/>
        </w:rPr>
      </w:pPr>
    </w:p>
    <w:p w:rsidR="00711E84" w:rsidRDefault="00711E84" w:rsidP="00507EE4">
      <w:pPr>
        <w:pStyle w:val="Corpodetexto"/>
        <w:ind w:firstLine="0"/>
        <w:rPr>
          <w:rFonts w:ascii="Times New Roman" w:hAnsi="Times New Roman" w:cs="Times New Roman"/>
        </w:rPr>
      </w:pPr>
    </w:p>
    <w:p w:rsidR="00C5105C" w:rsidRPr="00B21ECE" w:rsidRDefault="00C5105C" w:rsidP="0001659F">
      <w:pPr>
        <w:pStyle w:val="Corpodetexto"/>
        <w:ind w:firstLine="0"/>
        <w:rPr>
          <w:rFonts w:ascii="Times New Roman" w:hAnsi="Times New Roman" w:cs="Times New Roman"/>
          <w:b/>
        </w:rPr>
      </w:pPr>
      <w:r w:rsidRPr="00B21ECE">
        <w:rPr>
          <w:rFonts w:ascii="Times New Roman" w:hAnsi="Times New Roman" w:cs="Times New Roman"/>
          <w:b/>
        </w:rPr>
        <w:lastRenderedPageBreak/>
        <w:t>Bibliography</w:t>
      </w:r>
    </w:p>
    <w:p w:rsidR="008975FA" w:rsidRDefault="008975FA" w:rsidP="008975FA">
      <w:pPr>
        <w:ind w:firstLine="0"/>
        <w:rPr>
          <w:rFonts w:ascii="Times New Roman" w:hAnsi="Times New Roman" w:cs="Times New Roman"/>
        </w:rPr>
      </w:pPr>
    </w:p>
    <w:p w:rsidR="00C5105C" w:rsidRPr="00B21ECE" w:rsidRDefault="00C5105C" w:rsidP="008975FA">
      <w:pPr>
        <w:ind w:firstLine="0"/>
        <w:rPr>
          <w:rFonts w:ascii="Times New Roman" w:hAnsi="Times New Roman" w:cs="Times New Roman"/>
        </w:rPr>
      </w:pPr>
      <w:r w:rsidRPr="00B21ECE">
        <w:rPr>
          <w:rFonts w:ascii="Times New Roman" w:hAnsi="Times New Roman" w:cs="Times New Roman"/>
        </w:rPr>
        <w:t xml:space="preserve">Archibugi, D. and Pianta, M. (1992). </w:t>
      </w:r>
      <w:r w:rsidRPr="00B21ECE">
        <w:rPr>
          <w:rFonts w:ascii="Times New Roman" w:hAnsi="Times New Roman" w:cs="Times New Roman"/>
          <w:i/>
          <w:iCs/>
        </w:rPr>
        <w:t>The technological specialization of advanced countries.</w:t>
      </w:r>
      <w:r w:rsidRPr="00B21ECE">
        <w:rPr>
          <w:rFonts w:ascii="Times New Roman" w:hAnsi="Times New Roman" w:cs="Times New Roman"/>
        </w:rPr>
        <w:t xml:space="preserve"> Kluwer Academic, Dordrecht.</w:t>
      </w:r>
    </w:p>
    <w:p w:rsidR="0020541F" w:rsidRDefault="00C5105C" w:rsidP="0001659F">
      <w:pPr>
        <w:rPr>
          <w:rFonts w:ascii="Times New Roman" w:hAnsi="Times New Roman" w:cs="Times New Roman"/>
        </w:rPr>
      </w:pPr>
      <w:r w:rsidRPr="00B21ECE">
        <w:rPr>
          <w:rFonts w:ascii="Times New Roman" w:hAnsi="Times New Roman" w:cs="Times New Roman"/>
        </w:rPr>
        <w:t xml:space="preserve">___(1994). “Aggregate convergence and sectoral specialisation in innovation”. </w:t>
      </w:r>
      <w:r w:rsidRPr="00B21ECE">
        <w:rPr>
          <w:rFonts w:ascii="Times New Roman" w:hAnsi="Times New Roman" w:cs="Times New Roman"/>
          <w:i/>
        </w:rPr>
        <w:t>Journal of Evolutionary Economics</w:t>
      </w:r>
      <w:r w:rsidRPr="00B21ECE">
        <w:rPr>
          <w:rFonts w:ascii="Times New Roman" w:hAnsi="Times New Roman" w:cs="Times New Roman"/>
        </w:rPr>
        <w:t>, 4, 17-33.</w:t>
      </w:r>
    </w:p>
    <w:p w:rsidR="00C5105C" w:rsidRPr="00B21ECE" w:rsidRDefault="00C5105C" w:rsidP="008975FA">
      <w:pPr>
        <w:ind w:firstLine="0"/>
        <w:rPr>
          <w:rFonts w:ascii="Times New Roman" w:hAnsi="Times New Roman" w:cs="Times New Roman"/>
        </w:rPr>
      </w:pPr>
      <w:r w:rsidRPr="00B21ECE">
        <w:rPr>
          <w:rFonts w:ascii="Times New Roman" w:hAnsi="Times New Roman" w:cs="Times New Roman"/>
        </w:rPr>
        <w:t xml:space="preserve">Brusoni, S. and Geuna, A. (2003). “An international comparison of sectoral knowledge bases: persistence and integration in the pharmaceutical industry”. </w:t>
      </w:r>
      <w:r w:rsidRPr="00B21ECE">
        <w:rPr>
          <w:rFonts w:ascii="Times New Roman" w:hAnsi="Times New Roman" w:cs="Times New Roman"/>
          <w:i/>
        </w:rPr>
        <w:t>Research Policy</w:t>
      </w:r>
      <w:r w:rsidRPr="00B21ECE">
        <w:rPr>
          <w:rFonts w:ascii="Times New Roman" w:hAnsi="Times New Roman" w:cs="Times New Roman"/>
        </w:rPr>
        <w:t>, 32 1897–1912.</w:t>
      </w:r>
    </w:p>
    <w:p w:rsidR="00C5105C" w:rsidRPr="00B21ECE" w:rsidRDefault="00C5105C" w:rsidP="008975FA">
      <w:pPr>
        <w:ind w:firstLine="0"/>
        <w:rPr>
          <w:rFonts w:ascii="Times New Roman" w:hAnsi="Times New Roman" w:cs="Times New Roman"/>
        </w:rPr>
      </w:pPr>
      <w:r w:rsidRPr="00B21ECE">
        <w:rPr>
          <w:rFonts w:ascii="Times New Roman" w:hAnsi="Times New Roman" w:cs="Times New Roman"/>
        </w:rPr>
        <w:t xml:space="preserve">Cohen, W.M. (1995). "Empirical studies of innovative activity". In: Stoneman, P., (ed.) </w:t>
      </w:r>
      <w:r w:rsidRPr="00B21ECE">
        <w:rPr>
          <w:rFonts w:ascii="Times New Roman" w:hAnsi="Times New Roman" w:cs="Times New Roman"/>
          <w:i/>
        </w:rPr>
        <w:t>Handbook of the economics of innovation and technological change</w:t>
      </w:r>
      <w:r w:rsidRPr="00B21ECE">
        <w:rPr>
          <w:rFonts w:ascii="Times New Roman" w:hAnsi="Times New Roman" w:cs="Times New Roman"/>
        </w:rPr>
        <w:t>. Blackwell Publishers LTD. Oxford.págs. 183-264.</w:t>
      </w:r>
    </w:p>
    <w:p w:rsidR="00E908E8" w:rsidRDefault="00B21ECE" w:rsidP="0001659F">
      <w:pPr>
        <w:pStyle w:val="Corpodetexto"/>
        <w:rPr>
          <w:rFonts w:ascii="Times New Roman" w:hAnsi="Times New Roman"/>
          <w:sz w:val="20"/>
        </w:rPr>
      </w:pPr>
      <w:r w:rsidRPr="00B21ECE">
        <w:rPr>
          <w:rFonts w:ascii="Times New Roman" w:hAnsi="Times New Roman" w:cs="Times New Roman"/>
        </w:rPr>
        <w:t>___ and</w:t>
      </w:r>
      <w:r w:rsidR="00E908E8" w:rsidRPr="00B21ECE">
        <w:rPr>
          <w:rFonts w:ascii="Times New Roman" w:hAnsi="Times New Roman" w:cs="Times New Roman"/>
        </w:rPr>
        <w:t xml:space="preserve"> Levinthal,</w:t>
      </w:r>
      <w:r w:rsidRPr="00B21ECE">
        <w:rPr>
          <w:rFonts w:ascii="Times New Roman" w:hAnsi="Times New Roman" w:cs="Times New Roman"/>
        </w:rPr>
        <w:t xml:space="preserve"> D.A. (</w:t>
      </w:r>
      <w:r w:rsidR="00E908E8" w:rsidRPr="00B21ECE">
        <w:rPr>
          <w:rFonts w:ascii="Times New Roman" w:hAnsi="Times New Roman" w:cs="Times New Roman"/>
        </w:rPr>
        <w:t>1990</w:t>
      </w:r>
      <w:r w:rsidRPr="00B21ECE">
        <w:rPr>
          <w:rFonts w:ascii="Times New Roman" w:hAnsi="Times New Roman" w:cs="Times New Roman"/>
        </w:rPr>
        <w:t xml:space="preserve">). </w:t>
      </w:r>
      <w:r w:rsidRPr="00B21ECE">
        <w:rPr>
          <w:rFonts w:ascii="Times New Roman" w:hAnsi="Times New Roman"/>
        </w:rPr>
        <w:t xml:space="preserve">“Absorptive capacity: a new perspective on learning and innovation”. </w:t>
      </w:r>
      <w:r w:rsidRPr="00B21ECE">
        <w:rPr>
          <w:rFonts w:ascii="Times New Roman" w:hAnsi="Times New Roman"/>
          <w:i/>
        </w:rPr>
        <w:t>Administrative Science Quaterly</w:t>
      </w:r>
      <w:r w:rsidRPr="00B21ECE">
        <w:rPr>
          <w:rFonts w:ascii="Times New Roman" w:hAnsi="Times New Roman"/>
        </w:rPr>
        <w:t>, 35, 128-152</w:t>
      </w:r>
      <w:r w:rsidRPr="00B21ECE">
        <w:rPr>
          <w:rFonts w:ascii="Times New Roman" w:hAnsi="Times New Roman"/>
          <w:sz w:val="20"/>
        </w:rPr>
        <w:t>.</w:t>
      </w:r>
    </w:p>
    <w:p w:rsidR="008975FA" w:rsidRPr="00B21ECE" w:rsidRDefault="008975FA" w:rsidP="008975FA">
      <w:pPr>
        <w:pStyle w:val="Corpodetexto"/>
        <w:ind w:firstLine="0"/>
      </w:pPr>
      <w:r w:rsidRPr="00CC6A7E">
        <w:rPr>
          <w:rFonts w:ascii="Times New Roman" w:hAnsi="Times New Roman"/>
        </w:rPr>
        <w:t xml:space="preserve">Dalum, B., Laursen, K. and Villumsen, G., (1998). ”Structural Change in OECD exports specializations patterns: de-specialization and ‘stickiness’”. </w:t>
      </w:r>
      <w:r w:rsidRPr="00CC6A7E">
        <w:rPr>
          <w:rFonts w:ascii="Times New Roman" w:hAnsi="Times New Roman"/>
          <w:i/>
        </w:rPr>
        <w:t>International Review of Applied Economies</w:t>
      </w:r>
      <w:r w:rsidRPr="00CC6A7E">
        <w:rPr>
          <w:rFonts w:ascii="Times New Roman" w:hAnsi="Times New Roman"/>
        </w:rPr>
        <w:t>, 12 (3), 423-443.</w:t>
      </w:r>
    </w:p>
    <w:p w:rsidR="00C5105C" w:rsidRPr="00B21ECE" w:rsidRDefault="00C5105C" w:rsidP="008975FA">
      <w:pPr>
        <w:ind w:firstLine="0"/>
        <w:rPr>
          <w:rFonts w:ascii="Times New Roman" w:hAnsi="Times New Roman" w:cs="Times New Roman"/>
        </w:rPr>
      </w:pPr>
      <w:r w:rsidRPr="00B21ECE">
        <w:rPr>
          <w:rFonts w:ascii="Times New Roman" w:hAnsi="Times New Roman" w:cs="Times New Roman"/>
        </w:rPr>
        <w:t xml:space="preserve">Dosi, G., (1988). "Sources, procedures and microeconomics effects of innovation". </w:t>
      </w:r>
      <w:r w:rsidRPr="00B21ECE">
        <w:rPr>
          <w:rFonts w:ascii="Times New Roman" w:hAnsi="Times New Roman" w:cs="Times New Roman"/>
          <w:i/>
        </w:rPr>
        <w:t>Journal of Economic Literature,</w:t>
      </w:r>
      <w:r w:rsidRPr="00B21ECE">
        <w:rPr>
          <w:rFonts w:ascii="Times New Roman" w:hAnsi="Times New Roman" w:cs="Times New Roman"/>
        </w:rPr>
        <w:t xml:space="preserve"> 26, Septiembre, 1120-1171.</w:t>
      </w:r>
    </w:p>
    <w:p w:rsidR="00C5105C" w:rsidRDefault="00C5105C" w:rsidP="008975FA">
      <w:pPr>
        <w:ind w:firstLine="0"/>
        <w:rPr>
          <w:rFonts w:ascii="Times New Roman" w:hAnsi="Times New Roman" w:cs="Times New Roman"/>
        </w:rPr>
      </w:pPr>
      <w:r w:rsidRPr="00B21ECE">
        <w:rPr>
          <w:rFonts w:ascii="Times New Roman" w:hAnsi="Times New Roman" w:cs="Times New Roman"/>
        </w:rPr>
        <w:t xml:space="preserve">Grupp, H. and Schomach, U. (1999). “Patent Statistics in the age of glabalisation: new legal procedures, new analytical methods, new economic interpretation”. </w:t>
      </w:r>
      <w:r w:rsidRPr="00B21ECE">
        <w:rPr>
          <w:rFonts w:ascii="Times New Roman" w:hAnsi="Times New Roman" w:cs="Times New Roman"/>
          <w:i/>
          <w:iCs/>
        </w:rPr>
        <w:t>Research Policy</w:t>
      </w:r>
      <w:r w:rsidRPr="00B21ECE">
        <w:rPr>
          <w:rFonts w:ascii="Times New Roman" w:hAnsi="Times New Roman" w:cs="Times New Roman"/>
        </w:rPr>
        <w:t>, 28, 377-396.</w:t>
      </w:r>
    </w:p>
    <w:p w:rsidR="0009201B" w:rsidRPr="0009201B" w:rsidRDefault="0009201B" w:rsidP="0009201B">
      <w:pPr>
        <w:pStyle w:val="Corpodetexto"/>
        <w:ind w:firstLine="0"/>
      </w:pPr>
      <w:r w:rsidRPr="007F4845">
        <w:rPr>
          <w:rFonts w:ascii="Times New Roman" w:hAnsi="Times New Roman"/>
        </w:rPr>
        <w:t>Huang</w:t>
      </w:r>
      <w:r>
        <w:rPr>
          <w:rFonts w:ascii="Times New Roman" w:hAnsi="Times New Roman"/>
        </w:rPr>
        <w:t xml:space="preserve">, H.T. </w:t>
      </w:r>
      <w:r w:rsidRPr="007F4845">
        <w:rPr>
          <w:rFonts w:ascii="Times New Roman" w:hAnsi="Times New Roman"/>
        </w:rPr>
        <w:t xml:space="preserve">and </w:t>
      </w:r>
      <w:r>
        <w:rPr>
          <w:rFonts w:ascii="Times New Roman" w:hAnsi="Times New Roman"/>
        </w:rPr>
        <w:t>M</w:t>
      </w:r>
      <w:r w:rsidRPr="007F4845">
        <w:rPr>
          <w:rFonts w:ascii="Times New Roman" w:hAnsi="Times New Roman"/>
        </w:rPr>
        <w:t>iozzo</w:t>
      </w:r>
      <w:r>
        <w:rPr>
          <w:rFonts w:ascii="Times New Roman" w:hAnsi="Times New Roman"/>
        </w:rPr>
        <w:t>, M., (2004). “</w:t>
      </w:r>
      <w:r w:rsidRPr="007F4845">
        <w:rPr>
          <w:rFonts w:ascii="Times New Roman" w:hAnsi="Times New Roman"/>
        </w:rPr>
        <w:t>Patterns of technological specialisation in Latin-American</w:t>
      </w:r>
      <w:r>
        <w:rPr>
          <w:rFonts w:ascii="Times New Roman" w:hAnsi="Times New Roman"/>
        </w:rPr>
        <w:t xml:space="preserve"> and E</w:t>
      </w:r>
      <w:r w:rsidRPr="007F4845">
        <w:rPr>
          <w:rFonts w:ascii="Times New Roman" w:hAnsi="Times New Roman"/>
        </w:rPr>
        <w:t>ast Asian countries: an analysis of patents and trade flows</w:t>
      </w:r>
      <w:r>
        <w:rPr>
          <w:rFonts w:ascii="Times New Roman" w:hAnsi="Times New Roman"/>
        </w:rPr>
        <w:t>”</w:t>
      </w:r>
      <w:r w:rsidRPr="007F4845">
        <w:rPr>
          <w:rFonts w:ascii="Times New Roman" w:hAnsi="Times New Roman"/>
        </w:rPr>
        <w:t xml:space="preserve">. </w:t>
      </w:r>
      <w:r w:rsidRPr="00E86A37">
        <w:rPr>
          <w:rFonts w:ascii="Times New Roman" w:hAnsi="Times New Roman"/>
          <w:i/>
          <w:iCs/>
        </w:rPr>
        <w:t>Economic Innovation and New Technologies</w:t>
      </w:r>
      <w:r>
        <w:rPr>
          <w:rFonts w:ascii="Times New Roman" w:hAnsi="Times New Roman"/>
        </w:rPr>
        <w:t xml:space="preserve">, </w:t>
      </w:r>
      <w:r w:rsidRPr="007F4845">
        <w:rPr>
          <w:rFonts w:ascii="Times New Roman" w:hAnsi="Times New Roman"/>
        </w:rPr>
        <w:t>13</w:t>
      </w:r>
      <w:r>
        <w:rPr>
          <w:rFonts w:ascii="Times New Roman" w:hAnsi="Times New Roman"/>
        </w:rPr>
        <w:t xml:space="preserve"> </w:t>
      </w:r>
      <w:r w:rsidRPr="007F4845">
        <w:rPr>
          <w:rFonts w:ascii="Times New Roman" w:hAnsi="Times New Roman"/>
        </w:rPr>
        <w:t>(7), 615–653</w:t>
      </w:r>
    </w:p>
    <w:p w:rsidR="00C5105C" w:rsidRDefault="00C5105C" w:rsidP="008975FA">
      <w:pPr>
        <w:ind w:firstLine="0"/>
        <w:rPr>
          <w:rFonts w:ascii="Times New Roman" w:hAnsi="Times New Roman" w:cs="Times New Roman"/>
          <w:lang w:eastAsia="en-US"/>
        </w:rPr>
      </w:pPr>
      <w:r w:rsidRPr="00B21ECE">
        <w:rPr>
          <w:rFonts w:ascii="Times New Roman" w:hAnsi="Times New Roman" w:cs="Times New Roman"/>
          <w:lang w:eastAsia="en-US"/>
        </w:rPr>
        <w:t xml:space="preserve">Imbs, J. and Wacziarg, R. (2003) “Stages of diversification”. </w:t>
      </w:r>
      <w:r w:rsidRPr="00B21ECE">
        <w:rPr>
          <w:rFonts w:ascii="Times New Roman" w:hAnsi="Times New Roman" w:cs="Times New Roman"/>
          <w:i/>
          <w:iCs/>
          <w:lang w:eastAsia="en-US"/>
        </w:rPr>
        <w:t xml:space="preserve">American Economic Review, </w:t>
      </w:r>
      <w:r w:rsidRPr="00B21ECE">
        <w:rPr>
          <w:rFonts w:ascii="Times New Roman" w:hAnsi="Times New Roman" w:cs="Times New Roman"/>
          <w:lang w:eastAsia="en-US"/>
        </w:rPr>
        <w:t>93 (1), 63-86.</w:t>
      </w:r>
    </w:p>
    <w:p w:rsidR="0009201B" w:rsidRPr="0009201B" w:rsidRDefault="0009201B" w:rsidP="0009201B">
      <w:pPr>
        <w:pStyle w:val="Corpodetexto"/>
        <w:ind w:firstLine="0"/>
        <w:rPr>
          <w:lang w:eastAsia="en-US"/>
        </w:rPr>
      </w:pPr>
      <w:r w:rsidRPr="0069512C">
        <w:rPr>
          <w:rFonts w:ascii="Times New Roman" w:hAnsi="Times New Roman"/>
          <w:bCs/>
        </w:rPr>
        <w:t>Jungmittag, A.</w:t>
      </w:r>
      <w:r>
        <w:rPr>
          <w:rFonts w:ascii="Times New Roman" w:hAnsi="Times New Roman"/>
          <w:bCs/>
        </w:rPr>
        <w:t>, (2004).</w:t>
      </w:r>
      <w:r w:rsidRPr="0069512C">
        <w:rPr>
          <w:rFonts w:ascii="Times New Roman" w:hAnsi="Times New Roman"/>
          <w:bCs/>
        </w:rPr>
        <w:t xml:space="preserve"> </w:t>
      </w:r>
      <w:r>
        <w:rPr>
          <w:rFonts w:ascii="Times New Roman" w:hAnsi="Times New Roman"/>
          <w:bCs/>
        </w:rPr>
        <w:t>“</w:t>
      </w:r>
      <w:r w:rsidRPr="0069512C">
        <w:rPr>
          <w:rFonts w:ascii="Times New Roman" w:hAnsi="Times New Roman"/>
          <w:bCs/>
        </w:rPr>
        <w:t>Innovations, technological specialisation and economic growth in the EU</w:t>
      </w:r>
      <w:r>
        <w:rPr>
          <w:rFonts w:ascii="Times New Roman" w:hAnsi="Times New Roman"/>
          <w:bCs/>
        </w:rPr>
        <w:t>”</w:t>
      </w:r>
      <w:r w:rsidRPr="0069512C">
        <w:rPr>
          <w:rFonts w:ascii="Times New Roman" w:hAnsi="Times New Roman"/>
          <w:bCs/>
        </w:rPr>
        <w:t xml:space="preserve">. </w:t>
      </w:r>
      <w:r w:rsidRPr="0069512C">
        <w:rPr>
          <w:rFonts w:ascii="Times New Roman" w:hAnsi="Times New Roman"/>
          <w:bCs/>
          <w:i/>
          <w:iCs/>
        </w:rPr>
        <w:t>International Economics and Economic Policy</w:t>
      </w:r>
      <w:r>
        <w:rPr>
          <w:rFonts w:ascii="Times New Roman" w:hAnsi="Times New Roman"/>
          <w:bCs/>
        </w:rPr>
        <w:t>,</w:t>
      </w:r>
      <w:r w:rsidRPr="0069512C">
        <w:rPr>
          <w:rFonts w:ascii="Times New Roman" w:hAnsi="Times New Roman"/>
          <w:bCs/>
        </w:rPr>
        <w:t xml:space="preserve"> 1</w:t>
      </w:r>
      <w:r>
        <w:rPr>
          <w:rFonts w:ascii="Times New Roman" w:hAnsi="Times New Roman"/>
          <w:bCs/>
        </w:rPr>
        <w:t xml:space="preserve">, </w:t>
      </w:r>
      <w:r w:rsidRPr="0069512C">
        <w:rPr>
          <w:rFonts w:ascii="Times New Roman" w:hAnsi="Times New Roman"/>
          <w:bCs/>
        </w:rPr>
        <w:t>247–273</w:t>
      </w:r>
    </w:p>
    <w:p w:rsidR="00C5105C" w:rsidRPr="00B21ECE" w:rsidRDefault="00C5105C" w:rsidP="008975FA">
      <w:pPr>
        <w:ind w:firstLine="0"/>
        <w:rPr>
          <w:rFonts w:ascii="Times New Roman" w:hAnsi="Times New Roman" w:cs="Times New Roman"/>
        </w:rPr>
      </w:pPr>
      <w:r w:rsidRPr="00B21ECE">
        <w:rPr>
          <w:rFonts w:ascii="Times New Roman" w:hAnsi="Times New Roman" w:cs="Times New Roman"/>
        </w:rPr>
        <w:t xml:space="preserve">Laursen, K. (1999). “The impact of technological opportunity on the dynamics of trade performance”. </w:t>
      </w:r>
      <w:r w:rsidR="00F815D0">
        <w:rPr>
          <w:rFonts w:ascii="Times New Roman" w:hAnsi="Times New Roman" w:cs="Times New Roman"/>
          <w:i/>
        </w:rPr>
        <w:t>Structural Change and Econ</w:t>
      </w:r>
      <w:r w:rsidRPr="00B21ECE">
        <w:rPr>
          <w:rFonts w:ascii="Times New Roman" w:hAnsi="Times New Roman" w:cs="Times New Roman"/>
          <w:i/>
        </w:rPr>
        <w:t>omic Dynamics</w:t>
      </w:r>
      <w:r w:rsidRPr="00B21ECE">
        <w:rPr>
          <w:rFonts w:ascii="Times New Roman" w:hAnsi="Times New Roman" w:cs="Times New Roman"/>
        </w:rPr>
        <w:t>, 10, 341-357.</w:t>
      </w:r>
    </w:p>
    <w:p w:rsidR="00C5105C" w:rsidRPr="00B21ECE" w:rsidRDefault="00C5105C" w:rsidP="008975FA">
      <w:pPr>
        <w:ind w:firstLine="0"/>
        <w:rPr>
          <w:rFonts w:ascii="Times New Roman" w:hAnsi="Times New Roman" w:cs="Times New Roman"/>
        </w:rPr>
      </w:pPr>
      <w:r w:rsidRPr="00332FFF">
        <w:rPr>
          <w:rFonts w:ascii="Times New Roman" w:hAnsi="Times New Roman" w:cs="Times New Roman"/>
        </w:rPr>
        <w:t>Le Bas</w:t>
      </w:r>
      <w:r w:rsidRPr="00332FFF">
        <w:rPr>
          <w:rFonts w:ascii="Times New Roman" w:hAnsi="Times New Roman" w:cs="Times New Roman"/>
          <w:iCs/>
        </w:rPr>
        <w:t>, C. and</w:t>
      </w:r>
      <w:r w:rsidRPr="00332FFF">
        <w:rPr>
          <w:rFonts w:ascii="Times New Roman" w:hAnsi="Times New Roman" w:cs="Times New Roman"/>
        </w:rPr>
        <w:t xml:space="preserve"> Sierra, C., (2002). </w:t>
      </w:r>
      <w:r w:rsidRPr="00B21ECE">
        <w:rPr>
          <w:rFonts w:ascii="Times New Roman" w:hAnsi="Times New Roman" w:cs="Times New Roman"/>
        </w:rPr>
        <w:t xml:space="preserve">“Location versus home country advantages’ in R&amp;D activities: some further results on multinationals’ locational strategies”. </w:t>
      </w:r>
      <w:r w:rsidRPr="00B21ECE">
        <w:rPr>
          <w:rFonts w:ascii="Times New Roman" w:hAnsi="Times New Roman" w:cs="Times New Roman"/>
          <w:i/>
        </w:rPr>
        <w:t>Research Policy</w:t>
      </w:r>
      <w:r w:rsidRPr="00B21ECE">
        <w:rPr>
          <w:rFonts w:ascii="Times New Roman" w:hAnsi="Times New Roman" w:cs="Times New Roman"/>
        </w:rPr>
        <w:t>, 31, 589–609.</w:t>
      </w:r>
    </w:p>
    <w:p w:rsidR="00B21ECE" w:rsidRPr="00B21ECE" w:rsidRDefault="00C5105C" w:rsidP="008975FA">
      <w:pPr>
        <w:ind w:firstLine="0"/>
        <w:rPr>
          <w:rFonts w:ascii="Times New Roman" w:hAnsi="Times New Roman"/>
        </w:rPr>
      </w:pPr>
      <w:r w:rsidRPr="00B21ECE">
        <w:rPr>
          <w:rFonts w:ascii="Times New Roman" w:hAnsi="Times New Roman" w:cs="Times New Roman"/>
        </w:rPr>
        <w:t xml:space="preserve">Malerba, F., </w:t>
      </w:r>
      <w:r w:rsidR="00ED2D04" w:rsidRPr="00B21ECE">
        <w:rPr>
          <w:rFonts w:ascii="Times New Roman" w:hAnsi="Times New Roman" w:cs="Times New Roman"/>
        </w:rPr>
        <w:t>(1992)</w:t>
      </w:r>
      <w:r w:rsidR="00B21ECE" w:rsidRPr="00B21ECE">
        <w:rPr>
          <w:rFonts w:ascii="Times New Roman" w:hAnsi="Times New Roman" w:cs="Times New Roman"/>
        </w:rPr>
        <w:t xml:space="preserve">. </w:t>
      </w:r>
      <w:r w:rsidR="00B21ECE" w:rsidRPr="00B21ECE">
        <w:rPr>
          <w:rFonts w:ascii="Times New Roman" w:hAnsi="Times New Roman"/>
        </w:rPr>
        <w:t xml:space="preserve">"Learning by firms and incremental technical change". </w:t>
      </w:r>
      <w:r w:rsidR="00B21ECE" w:rsidRPr="00B21ECE">
        <w:rPr>
          <w:rFonts w:ascii="Times New Roman" w:hAnsi="Times New Roman"/>
          <w:i/>
        </w:rPr>
        <w:t>Economic Journal,</w:t>
      </w:r>
      <w:r w:rsidR="00B21ECE" w:rsidRPr="00B21ECE">
        <w:rPr>
          <w:rFonts w:ascii="Times New Roman" w:hAnsi="Times New Roman"/>
        </w:rPr>
        <w:t xml:space="preserve"> 102, Junio, 845-859.</w:t>
      </w:r>
    </w:p>
    <w:p w:rsidR="00C5105C" w:rsidRPr="00B21ECE" w:rsidRDefault="00ED2D04" w:rsidP="0001659F">
      <w:pPr>
        <w:rPr>
          <w:rFonts w:ascii="Times New Roman" w:hAnsi="Times New Roman" w:cs="Times New Roman"/>
        </w:rPr>
      </w:pPr>
      <w:r w:rsidRPr="00B21ECE">
        <w:rPr>
          <w:rFonts w:ascii="Times New Roman" w:hAnsi="Times New Roman" w:cs="Times New Roman"/>
        </w:rPr>
        <w:t>___</w:t>
      </w:r>
      <w:r w:rsidR="00C5105C" w:rsidRPr="00B21ECE">
        <w:rPr>
          <w:rFonts w:ascii="Times New Roman" w:hAnsi="Times New Roman" w:cs="Times New Roman"/>
        </w:rPr>
        <w:t xml:space="preserve">Orsenigo, L., and Peretto, P. (1997). “Persistence of innovative activities, sectoral patterns of innovation and international technological specialization”. </w:t>
      </w:r>
      <w:r w:rsidR="00C5105C" w:rsidRPr="00B21ECE">
        <w:rPr>
          <w:rFonts w:ascii="Times New Roman" w:hAnsi="Times New Roman" w:cs="Times New Roman"/>
          <w:i/>
          <w:iCs/>
        </w:rPr>
        <w:t>International Journal of Industrial Organization</w:t>
      </w:r>
      <w:r w:rsidR="00C5105C" w:rsidRPr="00B21ECE">
        <w:rPr>
          <w:rFonts w:ascii="Times New Roman" w:hAnsi="Times New Roman" w:cs="Times New Roman"/>
        </w:rPr>
        <w:t>, 15, 801-826.</w:t>
      </w:r>
    </w:p>
    <w:p w:rsidR="00C5105C" w:rsidRPr="00B21ECE" w:rsidRDefault="00C5105C" w:rsidP="0001659F">
      <w:pPr>
        <w:rPr>
          <w:rFonts w:ascii="Times New Roman" w:hAnsi="Times New Roman" w:cs="Times New Roman"/>
        </w:rPr>
      </w:pPr>
      <w:r w:rsidRPr="00B21ECE">
        <w:rPr>
          <w:rFonts w:ascii="Times New Roman" w:hAnsi="Times New Roman" w:cs="Times New Roman"/>
        </w:rPr>
        <w:t xml:space="preserve">___and Montobbio, F., (2003). “Exploring factors affecting international technological specialization”. </w:t>
      </w:r>
      <w:r w:rsidRPr="00B21ECE">
        <w:rPr>
          <w:rFonts w:ascii="Times New Roman" w:hAnsi="Times New Roman" w:cs="Times New Roman"/>
          <w:i/>
          <w:iCs/>
        </w:rPr>
        <w:t>Journal of Evolutionary Economics</w:t>
      </w:r>
      <w:r w:rsidRPr="00B21ECE">
        <w:rPr>
          <w:rFonts w:ascii="Times New Roman" w:hAnsi="Times New Roman" w:cs="Times New Roman"/>
        </w:rPr>
        <w:t>, 13, 411-434.</w:t>
      </w:r>
    </w:p>
    <w:p w:rsidR="00C5105C" w:rsidRPr="00B21ECE" w:rsidRDefault="00C5105C" w:rsidP="008975FA">
      <w:pPr>
        <w:ind w:firstLine="0"/>
        <w:rPr>
          <w:rFonts w:ascii="Times New Roman" w:hAnsi="Times New Roman" w:cs="Times New Roman"/>
        </w:rPr>
      </w:pPr>
      <w:r w:rsidRPr="00B21ECE">
        <w:rPr>
          <w:rFonts w:ascii="Times New Roman" w:hAnsi="Times New Roman" w:cs="Times New Roman"/>
        </w:rPr>
        <w:t xml:space="preserve">Mancusi, M.L. (2001). “International technological specialization in industrial countries: patterns and dynamics. </w:t>
      </w:r>
      <w:r w:rsidRPr="00B21ECE">
        <w:rPr>
          <w:rFonts w:ascii="Times New Roman" w:hAnsi="Times New Roman" w:cs="Times New Roman"/>
          <w:i/>
          <w:iCs/>
        </w:rPr>
        <w:t>Weltwirtschaftliches Archiv</w:t>
      </w:r>
      <w:r w:rsidRPr="00B21ECE">
        <w:rPr>
          <w:rFonts w:ascii="Times New Roman" w:hAnsi="Times New Roman" w:cs="Times New Roman"/>
        </w:rPr>
        <w:t>, 137, (4), 593-621.</w:t>
      </w:r>
    </w:p>
    <w:p w:rsidR="00C5105C" w:rsidRDefault="00C5105C" w:rsidP="0001659F">
      <w:pPr>
        <w:rPr>
          <w:rFonts w:ascii="Times New Roman" w:hAnsi="Times New Roman" w:cs="Times New Roman"/>
        </w:rPr>
      </w:pPr>
      <w:r w:rsidRPr="00B21ECE">
        <w:rPr>
          <w:rFonts w:ascii="Times New Roman" w:hAnsi="Times New Roman" w:cs="Times New Roman"/>
        </w:rPr>
        <w:t>___(2003). “</w:t>
      </w:r>
      <w:r w:rsidR="00A31935" w:rsidRPr="00B21ECE">
        <w:rPr>
          <w:rFonts w:ascii="Times New Roman" w:hAnsi="Times New Roman" w:cs="Times New Roman"/>
        </w:rPr>
        <w:t>Geographical</w:t>
      </w:r>
      <w:r w:rsidRPr="00B21ECE">
        <w:rPr>
          <w:rFonts w:ascii="Times New Roman" w:hAnsi="Times New Roman" w:cs="Times New Roman"/>
        </w:rPr>
        <w:t xml:space="preserve"> concentration and the dynamics of countries specialization”. </w:t>
      </w:r>
      <w:r w:rsidRPr="00B21ECE">
        <w:rPr>
          <w:rFonts w:ascii="Times New Roman" w:hAnsi="Times New Roman" w:cs="Times New Roman"/>
          <w:i/>
        </w:rPr>
        <w:t>Economics of innovation and new technologies,</w:t>
      </w:r>
      <w:r w:rsidRPr="00B21ECE">
        <w:rPr>
          <w:rFonts w:ascii="Times New Roman" w:hAnsi="Times New Roman" w:cs="Times New Roman"/>
        </w:rPr>
        <w:t>12 (3), 269-291.</w:t>
      </w:r>
    </w:p>
    <w:p w:rsidR="0009201B" w:rsidRPr="0009201B" w:rsidRDefault="0009201B" w:rsidP="0009201B">
      <w:pPr>
        <w:pStyle w:val="Corpodetexto"/>
        <w:ind w:firstLine="0"/>
      </w:pPr>
      <w:r w:rsidRPr="004676A8">
        <w:rPr>
          <w:rFonts w:ascii="Times New Roman" w:hAnsi="Times New Roman"/>
        </w:rPr>
        <w:t xml:space="preserve">Meyer, D. R., (2008). “Structural Changes in the Economy of Hong Kong since 1997”. </w:t>
      </w:r>
      <w:r w:rsidRPr="004676A8">
        <w:rPr>
          <w:rFonts w:ascii="Times New Roman" w:hAnsi="Times New Roman"/>
          <w:i/>
        </w:rPr>
        <w:t>The China Review</w:t>
      </w:r>
      <w:r w:rsidRPr="004676A8">
        <w:rPr>
          <w:rFonts w:ascii="Times New Roman" w:hAnsi="Times New Roman"/>
        </w:rPr>
        <w:t>, 8 (1) 7–29</w:t>
      </w:r>
    </w:p>
    <w:p w:rsidR="00C5105C" w:rsidRPr="00B21ECE" w:rsidRDefault="00C5105C" w:rsidP="008975FA">
      <w:pPr>
        <w:ind w:firstLine="0"/>
        <w:rPr>
          <w:rFonts w:ascii="Times New Roman" w:hAnsi="Times New Roman" w:cs="Times New Roman"/>
        </w:rPr>
      </w:pPr>
      <w:r w:rsidRPr="00B21ECE">
        <w:rPr>
          <w:rFonts w:ascii="Times New Roman" w:hAnsi="Times New Roman" w:cs="Times New Roman"/>
        </w:rPr>
        <w:t xml:space="preserve">Montobbio F. and Rampa, F. (2005). “The Impact of Technology and Structural Change on Export Performance in Nine Developing Countries”. </w:t>
      </w:r>
      <w:r w:rsidRPr="00B21ECE">
        <w:rPr>
          <w:rFonts w:ascii="Times New Roman" w:hAnsi="Times New Roman" w:cs="Times New Roman"/>
          <w:i/>
        </w:rPr>
        <w:t>World Development</w:t>
      </w:r>
      <w:r w:rsidRPr="00B21ECE">
        <w:rPr>
          <w:rFonts w:ascii="Times New Roman" w:hAnsi="Times New Roman" w:cs="Times New Roman"/>
        </w:rPr>
        <w:t>, 33 (4), 527–547.</w:t>
      </w:r>
    </w:p>
    <w:p w:rsidR="00C5105C" w:rsidRPr="00B21ECE" w:rsidRDefault="00C5105C" w:rsidP="008975FA">
      <w:pPr>
        <w:ind w:firstLine="0"/>
        <w:rPr>
          <w:rFonts w:ascii="Times New Roman" w:hAnsi="Times New Roman" w:cs="Times New Roman"/>
        </w:rPr>
      </w:pPr>
      <w:r w:rsidRPr="00B21ECE">
        <w:rPr>
          <w:rFonts w:ascii="Times New Roman" w:hAnsi="Times New Roman" w:cs="Times New Roman"/>
        </w:rPr>
        <w:lastRenderedPageBreak/>
        <w:t xml:space="preserve">Patel, P. and Pavitt, K., 1991. “Large firms in the production of the world’s technology: an important case of ‘non-globalisation’”. </w:t>
      </w:r>
      <w:r w:rsidRPr="00B21ECE">
        <w:rPr>
          <w:rFonts w:ascii="Times New Roman" w:hAnsi="Times New Roman" w:cs="Times New Roman"/>
          <w:i/>
        </w:rPr>
        <w:t>Journal of International Business Studies</w:t>
      </w:r>
      <w:r w:rsidRPr="00B21ECE">
        <w:rPr>
          <w:rFonts w:ascii="Times New Roman" w:hAnsi="Times New Roman" w:cs="Times New Roman"/>
        </w:rPr>
        <w:t>, 22 (1), 1–21.</w:t>
      </w:r>
    </w:p>
    <w:p w:rsidR="00C5105C" w:rsidRPr="00B21ECE" w:rsidRDefault="00C5105C" w:rsidP="0001659F">
      <w:pPr>
        <w:rPr>
          <w:rFonts w:ascii="Times New Roman" w:hAnsi="Times New Roman" w:cs="Times New Roman"/>
        </w:rPr>
      </w:pPr>
      <w:r w:rsidRPr="00B21ECE">
        <w:rPr>
          <w:rFonts w:ascii="Times New Roman" w:hAnsi="Times New Roman" w:cs="Times New Roman"/>
        </w:rPr>
        <w:t xml:space="preserve">___ (1997). “The technological competences in the world´s largest firms: complex and path dependent, but not much variety”. </w:t>
      </w:r>
      <w:r w:rsidRPr="00B21ECE">
        <w:rPr>
          <w:rFonts w:ascii="Times New Roman" w:hAnsi="Times New Roman" w:cs="Times New Roman"/>
          <w:i/>
        </w:rPr>
        <w:t>Research Policy</w:t>
      </w:r>
      <w:r w:rsidRPr="00B21ECE">
        <w:rPr>
          <w:rFonts w:ascii="Times New Roman" w:hAnsi="Times New Roman" w:cs="Times New Roman"/>
        </w:rPr>
        <w:t>, 26, 141-156.</w:t>
      </w:r>
    </w:p>
    <w:p w:rsidR="00C5105C" w:rsidRPr="00B21ECE" w:rsidRDefault="00C5105C" w:rsidP="008975FA">
      <w:pPr>
        <w:pStyle w:val="Corpodetexto"/>
        <w:ind w:firstLine="0"/>
        <w:rPr>
          <w:rFonts w:ascii="Times New Roman" w:hAnsi="Times New Roman" w:cs="Times New Roman"/>
        </w:rPr>
      </w:pPr>
      <w:r w:rsidRPr="00B21ECE">
        <w:rPr>
          <w:rFonts w:ascii="Times New Roman" w:hAnsi="Times New Roman" w:cs="Times New Roman"/>
        </w:rPr>
        <w:t>Pavitt (1984).</w:t>
      </w:r>
      <w:r w:rsidRPr="00B21ECE">
        <w:rPr>
          <w:rFonts w:ascii="Times New Roman" w:hAnsi="Times New Roman"/>
        </w:rPr>
        <w:t xml:space="preserve"> "Sectoral patterns of technical change: towards a taxonomy and a theory". </w:t>
      </w:r>
      <w:r w:rsidRPr="00B21ECE">
        <w:rPr>
          <w:rFonts w:ascii="Times New Roman" w:hAnsi="Times New Roman"/>
          <w:i/>
        </w:rPr>
        <w:t>Research Policy</w:t>
      </w:r>
      <w:r w:rsidRPr="00B21ECE">
        <w:rPr>
          <w:rFonts w:ascii="Times New Roman" w:hAnsi="Times New Roman"/>
        </w:rPr>
        <w:t>, 13 (6), 343-373.</w:t>
      </w:r>
    </w:p>
    <w:p w:rsidR="00C5105C" w:rsidRDefault="00C5105C" w:rsidP="008975FA">
      <w:pPr>
        <w:ind w:firstLine="0"/>
        <w:rPr>
          <w:rFonts w:ascii="Times New Roman" w:hAnsi="Times New Roman" w:cs="Times New Roman"/>
        </w:rPr>
      </w:pPr>
      <w:r w:rsidRPr="00A31935">
        <w:rPr>
          <w:rFonts w:ascii="Times New Roman" w:hAnsi="Times New Roman" w:cs="Times New Roman"/>
        </w:rPr>
        <w:t xml:space="preserve">Pianta, M. and Meliciani, V. (1996). “Technological specialization and economic performance in OECD countries”. </w:t>
      </w:r>
      <w:r w:rsidRPr="00A31935">
        <w:rPr>
          <w:rFonts w:ascii="Times New Roman" w:hAnsi="Times New Roman" w:cs="Times New Roman"/>
          <w:i/>
          <w:iCs/>
        </w:rPr>
        <w:t>Technology Analysis &amp; Strategic Management</w:t>
      </w:r>
      <w:r w:rsidRPr="00A31935">
        <w:rPr>
          <w:rFonts w:ascii="Times New Roman" w:hAnsi="Times New Roman" w:cs="Times New Roman"/>
        </w:rPr>
        <w:t>, 8 (2), 157-174.</w:t>
      </w:r>
    </w:p>
    <w:p w:rsidR="008975FA" w:rsidRPr="00CC6A7E" w:rsidRDefault="008975FA" w:rsidP="008975FA">
      <w:pPr>
        <w:ind w:firstLine="0"/>
        <w:rPr>
          <w:rFonts w:ascii="Times New Roman" w:hAnsi="Times New Roman"/>
        </w:rPr>
      </w:pPr>
      <w:r w:rsidRPr="00CC6A7E">
        <w:rPr>
          <w:rFonts w:ascii="Times New Roman" w:hAnsi="Times New Roman"/>
        </w:rPr>
        <w:t>Shafaeddin, S.M., (2005). “Trade liberalization and economic reform in developing countries: structural change or de-industrialization?.</w:t>
      </w:r>
      <w:r w:rsidRPr="00CC6A7E">
        <w:rPr>
          <w:sz w:val="28"/>
        </w:rPr>
        <w:t xml:space="preserve"> </w:t>
      </w:r>
      <w:r w:rsidRPr="00CC6A7E">
        <w:rPr>
          <w:rFonts w:ascii="Times New Roman" w:hAnsi="Times New Roman"/>
        </w:rPr>
        <w:t>United Nations Conference on trade and development. Discussion Paper No. 179. April.</w:t>
      </w:r>
    </w:p>
    <w:p w:rsidR="008975FA" w:rsidRDefault="008975FA" w:rsidP="008975FA">
      <w:pPr>
        <w:ind w:firstLine="0"/>
        <w:rPr>
          <w:rFonts w:ascii="Times New Roman" w:hAnsi="Times New Roman"/>
        </w:rPr>
      </w:pPr>
      <w:r w:rsidRPr="00CC6A7E">
        <w:rPr>
          <w:rFonts w:ascii="Times New Roman" w:hAnsi="Times New Roman"/>
        </w:rPr>
        <w:t xml:space="preserve">Song Tan, K. and Ee Khor, H., (2006). “China’s Changing Economic Structure and Implications for Regional Patterns of Trade, Production and Integration”. </w:t>
      </w:r>
      <w:r w:rsidRPr="00CC6A7E">
        <w:rPr>
          <w:rFonts w:ascii="Times New Roman" w:hAnsi="Times New Roman"/>
          <w:i/>
        </w:rPr>
        <w:t>China &amp; World Economy</w:t>
      </w:r>
      <w:r w:rsidRPr="00CC6A7E">
        <w:rPr>
          <w:rFonts w:ascii="Times New Roman" w:hAnsi="Times New Roman"/>
        </w:rPr>
        <w:t>,  14, (6), 1 – 19.</w:t>
      </w:r>
    </w:p>
    <w:p w:rsidR="00A4194A" w:rsidRPr="00A4194A" w:rsidRDefault="00A4194A" w:rsidP="00A4194A">
      <w:pPr>
        <w:pStyle w:val="Corpodetexto"/>
        <w:ind w:firstLine="0"/>
      </w:pPr>
      <w:r w:rsidRPr="0077241F">
        <w:rPr>
          <w:rFonts w:ascii="Times New Roman" w:hAnsi="Times New Roman"/>
        </w:rPr>
        <w:t xml:space="preserve">Stolpe, M., (1995). </w:t>
      </w:r>
      <w:r w:rsidRPr="00C42268">
        <w:rPr>
          <w:rFonts w:ascii="Times New Roman" w:hAnsi="Times New Roman"/>
          <w:bCs/>
          <w:i/>
          <w:iCs/>
        </w:rPr>
        <w:t>Technology and the dynamics of specialization in open economies</w:t>
      </w:r>
      <w:r w:rsidRPr="00C42268">
        <w:rPr>
          <w:rFonts w:ascii="Times New Roman" w:hAnsi="Times New Roman"/>
          <w:bCs/>
        </w:rPr>
        <w:t xml:space="preserve">. </w:t>
      </w:r>
      <w:r w:rsidRPr="00B0661D">
        <w:rPr>
          <w:rFonts w:ascii="Times New Roman" w:hAnsi="Times New Roman"/>
          <w:bCs/>
        </w:rPr>
        <w:t>Tubingen Mohr</w:t>
      </w:r>
      <w:r>
        <w:rPr>
          <w:rFonts w:ascii="Times New Roman" w:hAnsi="Times New Roman"/>
          <w:bCs/>
        </w:rPr>
        <w:t>.</w:t>
      </w:r>
    </w:p>
    <w:p w:rsidR="00C5105C" w:rsidRPr="00270DA7" w:rsidRDefault="00C5105C" w:rsidP="008975FA">
      <w:pPr>
        <w:tabs>
          <w:tab w:val="left" w:pos="1843"/>
        </w:tabs>
        <w:ind w:firstLine="0"/>
        <w:rPr>
          <w:rFonts w:ascii="Times New Roman" w:hAnsi="Times New Roman" w:cs="Times New Roman"/>
        </w:rPr>
      </w:pPr>
      <w:r w:rsidRPr="00A31935">
        <w:rPr>
          <w:rFonts w:ascii="Times New Roman" w:hAnsi="Times New Roman" w:cs="Times New Roman"/>
        </w:rPr>
        <w:t xml:space="preserve">Vertova, G. (2001). “National technological specialisation and the highest technological opportunities historically”. </w:t>
      </w:r>
      <w:r w:rsidRPr="00270DA7">
        <w:rPr>
          <w:rFonts w:ascii="Times New Roman" w:hAnsi="Times New Roman" w:cs="Times New Roman"/>
          <w:i/>
        </w:rPr>
        <w:t>Technovation</w:t>
      </w:r>
      <w:r w:rsidRPr="00270DA7">
        <w:rPr>
          <w:rFonts w:ascii="Times New Roman" w:hAnsi="Times New Roman" w:cs="Times New Roman"/>
        </w:rPr>
        <w:t>, 21, 605–612.</w:t>
      </w:r>
    </w:p>
    <w:p w:rsidR="00C5105C" w:rsidRDefault="00C5105C" w:rsidP="008975FA">
      <w:pPr>
        <w:pStyle w:val="Corpodetexto"/>
        <w:ind w:firstLine="0"/>
        <w:rPr>
          <w:rFonts w:ascii="Times New Roman" w:hAnsi="Times New Roman" w:cs="Times New Roman"/>
          <w:sz w:val="22"/>
          <w:szCs w:val="22"/>
        </w:rPr>
      </w:pPr>
      <w:r w:rsidRPr="00270DA7">
        <w:rPr>
          <w:rFonts w:ascii="Times New Roman" w:hAnsi="Times New Roman" w:cs="Times New Roman"/>
        </w:rPr>
        <w:t xml:space="preserve">van Zeebroeck, N., van Pottelsberghe de la Potterie, B. y Han, W. (2006). </w:t>
      </w:r>
      <w:r w:rsidRPr="00A31935">
        <w:rPr>
          <w:rFonts w:ascii="Times New Roman" w:hAnsi="Times New Roman" w:cs="Times New Roman"/>
        </w:rPr>
        <w:t>“Issues in measuring t</w:t>
      </w:r>
      <w:r w:rsidRPr="00B21ECE">
        <w:rPr>
          <w:rFonts w:ascii="Times New Roman" w:hAnsi="Times New Roman" w:cs="Times New Roman"/>
        </w:rPr>
        <w:t xml:space="preserve">he degree of technological specialisation with patent data”. </w:t>
      </w:r>
      <w:r w:rsidRPr="00B21ECE">
        <w:rPr>
          <w:rFonts w:ascii="Times New Roman" w:hAnsi="Times New Roman" w:cs="Times New Roman"/>
          <w:i/>
        </w:rPr>
        <w:t>Scientometrics,</w:t>
      </w:r>
      <w:r w:rsidRPr="00B21ECE">
        <w:rPr>
          <w:rFonts w:ascii="Times New Roman" w:hAnsi="Times New Roman" w:cs="Times New Roman"/>
        </w:rPr>
        <w:t xml:space="preserve"> 66 (3), 481-492</w:t>
      </w:r>
      <w:r w:rsidRPr="004D5DE6">
        <w:rPr>
          <w:rFonts w:ascii="Times New Roman" w:hAnsi="Times New Roman" w:cs="Times New Roman"/>
          <w:sz w:val="22"/>
          <w:szCs w:val="22"/>
        </w:rPr>
        <w:t>.</w:t>
      </w:r>
    </w:p>
    <w:p w:rsidR="008975FA" w:rsidRDefault="008975FA" w:rsidP="008975FA">
      <w:pPr>
        <w:pStyle w:val="Corpodetexto"/>
        <w:ind w:firstLine="0"/>
        <w:rPr>
          <w:rFonts w:ascii="Times New Roman" w:hAnsi="Times New Roman" w:cs="Times New Roman"/>
          <w:sz w:val="22"/>
          <w:szCs w:val="22"/>
        </w:rPr>
      </w:pPr>
    </w:p>
    <w:p w:rsidR="008975FA" w:rsidRDefault="008975FA" w:rsidP="008975FA">
      <w:pPr>
        <w:pStyle w:val="Corpodetexto"/>
        <w:ind w:firstLine="0"/>
        <w:rPr>
          <w:rFonts w:ascii="Times New Roman" w:hAnsi="Times New Roman" w:cs="Times New Roman"/>
          <w:sz w:val="22"/>
          <w:szCs w:val="22"/>
        </w:rPr>
      </w:pPr>
    </w:p>
    <w:p w:rsidR="008975FA" w:rsidRDefault="008975FA" w:rsidP="008975FA">
      <w:pPr>
        <w:pStyle w:val="Corpodetexto"/>
        <w:ind w:firstLine="0"/>
        <w:rPr>
          <w:rFonts w:ascii="Times New Roman" w:hAnsi="Times New Roman" w:cs="Times New Roman"/>
          <w:sz w:val="22"/>
          <w:szCs w:val="22"/>
        </w:rPr>
      </w:pPr>
    </w:p>
    <w:p w:rsidR="008975FA" w:rsidRPr="002C5507" w:rsidRDefault="008975FA" w:rsidP="008975FA">
      <w:pPr>
        <w:pStyle w:val="Corpodetexto"/>
        <w:ind w:firstLine="0"/>
        <w:rPr>
          <w:rFonts w:ascii="Times New Roman" w:hAnsi="Times New Roman" w:cs="Times New Roman"/>
          <w:i/>
        </w:rPr>
      </w:pPr>
    </w:p>
    <w:sectPr w:rsidR="008975FA" w:rsidRPr="002C5507" w:rsidSect="0001659F">
      <w:footerReference w:type="default" r:id="rId18"/>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E1F" w:rsidRDefault="000A5E1F" w:rsidP="00E64600">
      <w:pPr>
        <w:spacing w:before="0" w:after="0"/>
      </w:pPr>
      <w:r>
        <w:separator/>
      </w:r>
    </w:p>
  </w:endnote>
  <w:endnote w:type="continuationSeparator" w:id="1">
    <w:p w:rsidR="000A5E1F" w:rsidRDefault="000A5E1F" w:rsidP="00E6460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0754"/>
      <w:docPartObj>
        <w:docPartGallery w:val="Page Numbers (Bottom of Page)"/>
        <w:docPartUnique/>
      </w:docPartObj>
    </w:sdtPr>
    <w:sdtContent>
      <w:p w:rsidR="00270DA7" w:rsidRDefault="00270DA7">
        <w:pPr>
          <w:pStyle w:val="Rodap"/>
          <w:jc w:val="right"/>
        </w:pPr>
        <w:fldSimple w:instr=" PAGE   \* MERGEFORMAT ">
          <w:r w:rsidR="00FA18B8">
            <w:rPr>
              <w:noProof/>
            </w:rPr>
            <w:t>9</w:t>
          </w:r>
        </w:fldSimple>
      </w:p>
    </w:sdtContent>
  </w:sdt>
  <w:p w:rsidR="00270DA7" w:rsidRDefault="00270DA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E1F" w:rsidRDefault="000A5E1F" w:rsidP="00E64600">
      <w:pPr>
        <w:spacing w:before="0" w:after="0"/>
      </w:pPr>
      <w:r>
        <w:separator/>
      </w:r>
    </w:p>
  </w:footnote>
  <w:footnote w:type="continuationSeparator" w:id="1">
    <w:p w:rsidR="000A5E1F" w:rsidRDefault="000A5E1F" w:rsidP="00E64600">
      <w:pPr>
        <w:spacing w:before="0" w:after="0"/>
      </w:pPr>
      <w:r>
        <w:continuationSeparator/>
      </w:r>
    </w:p>
  </w:footnote>
  <w:footnote w:id="2">
    <w:p w:rsidR="00270DA7" w:rsidRPr="00332FFF" w:rsidRDefault="00270DA7" w:rsidP="00332FFF">
      <w:pPr>
        <w:pStyle w:val="Textodenotaderodap"/>
        <w:ind w:firstLine="0"/>
        <w:jc w:val="both"/>
        <w:rPr>
          <w:rFonts w:asciiTheme="majorBidi" w:hAnsiTheme="majorBidi" w:cstheme="majorBidi"/>
        </w:rPr>
      </w:pPr>
      <w:r w:rsidRPr="00332FFF">
        <w:rPr>
          <w:rStyle w:val="Refdenotaderodap"/>
          <w:rFonts w:asciiTheme="majorBidi" w:hAnsiTheme="majorBidi" w:cstheme="majorBidi"/>
        </w:rPr>
        <w:footnoteRef/>
      </w:r>
      <w:r w:rsidRPr="00332FFF">
        <w:rPr>
          <w:rFonts w:asciiTheme="majorBidi" w:hAnsiTheme="majorBidi" w:cstheme="majorBidi"/>
        </w:rPr>
        <w:t xml:space="preserve"> A autora agradece à </w:t>
      </w:r>
      <w:r w:rsidRPr="00332FFF">
        <w:rPr>
          <w:rFonts w:ascii="Times New Roman" w:hAnsi="Times New Roman"/>
        </w:rPr>
        <w:t xml:space="preserve">Coordenação de Aperfeiçoamento de Pessoal de Nível Superior’ (CAPES) pela sua contribuição à elaboração deste trabalho com suporte financeiro permitindo um estágio sênior como </w:t>
      </w:r>
      <w:r w:rsidRPr="00332FFF">
        <w:rPr>
          <w:rFonts w:ascii="Times New Roman" w:hAnsi="Times New Roman"/>
          <w:i/>
          <w:iCs/>
        </w:rPr>
        <w:t>visinting fellow</w:t>
      </w:r>
      <w:r w:rsidRPr="00332FFF">
        <w:rPr>
          <w:rFonts w:ascii="Times New Roman" w:hAnsi="Times New Roman"/>
        </w:rPr>
        <w:t xml:space="preserve"> na Universitá degli Studi di Siena (UNISI); á UNISI, por prover de um ambiente apropriado para a pesquisa; aos professores Lionello Punzo e Frederico Rocha pelas suas sugestões e a Fátima Tejeda por assistência na escrita em ingles. </w:t>
      </w:r>
    </w:p>
  </w:footnote>
  <w:footnote w:id="3">
    <w:p w:rsidR="00270DA7" w:rsidRPr="007A1AE0" w:rsidRDefault="00270DA7" w:rsidP="00A4194A">
      <w:pPr>
        <w:ind w:firstLine="0"/>
        <w:contextualSpacing/>
        <w:rPr>
          <w:rFonts w:ascii="Times New Roman" w:hAnsi="Times New Roman"/>
          <w:i/>
          <w:iCs/>
        </w:rPr>
      </w:pPr>
      <w:r w:rsidRPr="00332FFF">
        <w:rPr>
          <w:rStyle w:val="Refdenotaderodap"/>
          <w:rFonts w:asciiTheme="majorBidi" w:hAnsiTheme="majorBidi" w:cstheme="majorBidi"/>
        </w:rPr>
        <w:footnoteRef/>
      </w:r>
      <w:r w:rsidRPr="00332FFF">
        <w:rPr>
          <w:rFonts w:asciiTheme="majorBidi" w:hAnsiTheme="majorBidi" w:cstheme="majorBidi"/>
          <w:lang w:val="pt-BR"/>
        </w:rPr>
        <w:t xml:space="preserve"> </w:t>
      </w:r>
      <w:r w:rsidRPr="00332FFF">
        <w:rPr>
          <w:rFonts w:asciiTheme="majorBidi" w:hAnsiTheme="majorBidi" w:cstheme="majorBidi"/>
          <w:sz w:val="20"/>
          <w:szCs w:val="20"/>
          <w:lang w:val="pt-BR"/>
        </w:rPr>
        <w:t>Professora Associada. Departamento de Economia. Universidade Federal Fluminense. Rua Tiradentes, 17; INGÁ-Niterói,</w:t>
      </w:r>
      <w:r w:rsidRPr="00A4194A">
        <w:rPr>
          <w:rFonts w:asciiTheme="majorBidi" w:hAnsiTheme="majorBidi" w:cstheme="majorBidi"/>
          <w:sz w:val="20"/>
          <w:szCs w:val="20"/>
          <w:lang w:val="pt-BR"/>
        </w:rPr>
        <w:t xml:space="preserve"> Rio de Janeiro, Brazil.</w:t>
      </w:r>
      <w:r>
        <w:rPr>
          <w:rFonts w:asciiTheme="majorBidi" w:hAnsiTheme="majorBidi" w:cstheme="majorBidi"/>
          <w:sz w:val="20"/>
          <w:szCs w:val="20"/>
          <w:lang w:val="pt-BR"/>
        </w:rPr>
        <w:t xml:space="preserve"> </w:t>
      </w:r>
      <w:r w:rsidRPr="00A4194A">
        <w:rPr>
          <w:rFonts w:asciiTheme="majorBidi" w:hAnsiTheme="majorBidi" w:cstheme="majorBidi"/>
          <w:sz w:val="20"/>
          <w:szCs w:val="20"/>
          <w:lang w:val="pt-BR"/>
        </w:rPr>
        <w:t xml:space="preserve">e-mail: </w:t>
      </w:r>
      <w:hyperlink r:id="rId1" w:history="1">
        <w:r w:rsidRPr="00A4194A">
          <w:rPr>
            <w:rStyle w:val="Hyperlink"/>
            <w:rFonts w:asciiTheme="majorBidi" w:hAnsiTheme="majorBidi" w:cstheme="majorBidi"/>
            <w:sz w:val="20"/>
            <w:szCs w:val="20"/>
            <w:lang w:val="pt-BR"/>
          </w:rPr>
          <w:t>anaruiz@economia.uff.br</w:t>
        </w:r>
      </w:hyperlink>
      <w:r w:rsidRPr="00A4194A">
        <w:rPr>
          <w:rFonts w:asciiTheme="majorBidi" w:hAnsiTheme="majorBidi" w:cstheme="majorBidi"/>
          <w:sz w:val="20"/>
          <w:szCs w:val="20"/>
          <w:lang w:val="pt-BR"/>
        </w:rPr>
        <w:t>.</w:t>
      </w:r>
      <w:r>
        <w:rPr>
          <w:rFonts w:asciiTheme="majorBidi" w:hAnsiTheme="majorBidi" w:cstheme="majorBidi"/>
          <w:sz w:val="20"/>
          <w:szCs w:val="20"/>
          <w:lang w:val="pt-BR"/>
        </w:rPr>
        <w:t xml:space="preserve"> </w:t>
      </w:r>
      <w:r w:rsidRPr="00A4194A">
        <w:rPr>
          <w:rFonts w:asciiTheme="majorBidi" w:hAnsiTheme="majorBidi" w:cstheme="majorBidi"/>
          <w:sz w:val="20"/>
          <w:szCs w:val="20"/>
        </w:rPr>
        <w:t>Telephone number: +55-21-26299716</w:t>
      </w:r>
      <w:r>
        <w:rPr>
          <w:rFonts w:asciiTheme="majorBidi" w:hAnsiTheme="majorBidi" w:cstheme="majorBidi"/>
          <w:sz w:val="20"/>
          <w:szCs w:val="20"/>
        </w:rPr>
        <w:t xml:space="preserve">. </w:t>
      </w:r>
      <w:r w:rsidRPr="00A4194A">
        <w:rPr>
          <w:rFonts w:asciiTheme="majorBidi" w:hAnsiTheme="majorBidi" w:cstheme="majorBidi"/>
          <w:sz w:val="20"/>
          <w:szCs w:val="20"/>
        </w:rPr>
        <w:t>Fax number: + 55-21-2629980</w:t>
      </w:r>
      <w:r>
        <w:rPr>
          <w:rFonts w:asciiTheme="majorBidi" w:hAnsiTheme="majorBidi" w:cstheme="majorBidi"/>
          <w:sz w:val="20"/>
          <w:szCs w:val="20"/>
        </w:rPr>
        <w:t>0.</w:t>
      </w:r>
    </w:p>
    <w:p w:rsidR="00270DA7" w:rsidRPr="00332FFF" w:rsidRDefault="00270DA7" w:rsidP="00A4194A">
      <w:pPr>
        <w:ind w:firstLine="0"/>
        <w:jc w:val="left"/>
      </w:pPr>
    </w:p>
  </w:footnote>
  <w:footnote w:id="4">
    <w:p w:rsidR="00270DA7" w:rsidRPr="000D45A4" w:rsidRDefault="00270DA7" w:rsidP="0001659F">
      <w:pPr>
        <w:pStyle w:val="Textodenotaderodap"/>
        <w:ind w:firstLine="0"/>
        <w:jc w:val="both"/>
        <w:rPr>
          <w:lang w:val="en-US"/>
        </w:rPr>
      </w:pPr>
      <w:r>
        <w:rPr>
          <w:rStyle w:val="Refdenotaderodap"/>
        </w:rPr>
        <w:footnoteRef/>
      </w:r>
      <w:r w:rsidRPr="000D45A4">
        <w:rPr>
          <w:lang w:val="en-US"/>
        </w:rPr>
        <w:t xml:space="preserve"> </w:t>
      </w:r>
      <w:r w:rsidRPr="000D45A4">
        <w:rPr>
          <w:rFonts w:ascii="Times New Roman" w:hAnsi="Times New Roman"/>
          <w:lang w:val="en-US"/>
        </w:rPr>
        <w:t xml:space="preserve">According </w:t>
      </w:r>
      <w:r w:rsidRPr="00B21E11">
        <w:rPr>
          <w:rFonts w:ascii="Times New Roman" w:hAnsi="Times New Roman"/>
          <w:lang w:val="en-US"/>
        </w:rPr>
        <w:t>to Archibugi and Pianta (1994), countries</w:t>
      </w:r>
      <w:r>
        <w:rPr>
          <w:rFonts w:ascii="Times New Roman" w:hAnsi="Times New Roman"/>
          <w:lang w:val="en-US"/>
        </w:rPr>
        <w:t xml:space="preserve"> t</w:t>
      </w:r>
      <w:r w:rsidRPr="000D45A4">
        <w:rPr>
          <w:rFonts w:ascii="Times New Roman" w:hAnsi="Times New Roman"/>
          <w:lang w:val="en-US"/>
        </w:rPr>
        <w:t>end to be more specialized across a lower number of technological fields</w:t>
      </w:r>
      <w:r>
        <w:rPr>
          <w:rFonts w:ascii="Times New Roman" w:hAnsi="Times New Roman"/>
          <w:lang w:val="en-US"/>
        </w:rPr>
        <w:t>. This</w:t>
      </w:r>
      <w:r w:rsidRPr="000D45A4">
        <w:rPr>
          <w:rFonts w:ascii="Times New Roman" w:hAnsi="Times New Roman"/>
          <w:lang w:val="en-US"/>
        </w:rPr>
        <w:t xml:space="preserve"> configures a pattern of technological convergence characterized by ‘complementarity and cooperation’ for technologies </w:t>
      </w:r>
      <w:r>
        <w:rPr>
          <w:rFonts w:ascii="Times New Roman" w:hAnsi="Times New Roman"/>
          <w:lang w:val="en-US"/>
        </w:rPr>
        <w:t>in opposition to a</w:t>
      </w:r>
      <w:r w:rsidRPr="000D45A4">
        <w:rPr>
          <w:rFonts w:ascii="Times New Roman" w:hAnsi="Times New Roman"/>
          <w:lang w:val="en-US"/>
        </w:rPr>
        <w:t xml:space="preserve"> ‘subs</w:t>
      </w:r>
      <w:r>
        <w:rPr>
          <w:rFonts w:ascii="Times New Roman" w:hAnsi="Times New Roman"/>
          <w:lang w:val="en-US"/>
        </w:rPr>
        <w:t>t</w:t>
      </w:r>
      <w:r w:rsidRPr="000D45A4">
        <w:rPr>
          <w:rFonts w:ascii="Times New Roman" w:hAnsi="Times New Roman"/>
          <w:lang w:val="en-US"/>
        </w:rPr>
        <w:t>itu</w:t>
      </w:r>
      <w:r>
        <w:rPr>
          <w:rFonts w:ascii="Times New Roman" w:hAnsi="Times New Roman"/>
          <w:lang w:val="en-US"/>
        </w:rPr>
        <w:t>ta</w:t>
      </w:r>
      <w:r w:rsidRPr="000D45A4">
        <w:rPr>
          <w:rFonts w:ascii="Times New Roman" w:hAnsi="Times New Roman"/>
          <w:lang w:val="en-US"/>
        </w:rPr>
        <w:t>bility and competition’</w:t>
      </w:r>
      <w:r>
        <w:rPr>
          <w:rFonts w:ascii="Times New Roman" w:hAnsi="Times New Roman"/>
          <w:lang w:val="en-US"/>
        </w:rPr>
        <w:t xml:space="preserve"> pattern, which would happen if countries got more diversified.</w:t>
      </w:r>
    </w:p>
  </w:footnote>
  <w:footnote w:id="5">
    <w:p w:rsidR="00270DA7" w:rsidRPr="002A172B" w:rsidRDefault="00270DA7" w:rsidP="00847EEA">
      <w:pPr>
        <w:pStyle w:val="Textodenotaderodap"/>
        <w:ind w:firstLine="0"/>
        <w:jc w:val="both"/>
        <w:rPr>
          <w:lang w:val="en-US"/>
        </w:rPr>
      </w:pPr>
      <w:r>
        <w:rPr>
          <w:rStyle w:val="Refdenotaderodap"/>
          <w:rFonts w:cs="Arial"/>
        </w:rPr>
        <w:footnoteRef/>
      </w:r>
      <w:r w:rsidRPr="00D96BAA">
        <w:rPr>
          <w:lang w:val="en-US"/>
        </w:rPr>
        <w:t xml:space="preserve"> </w:t>
      </w:r>
      <w:r w:rsidRPr="009042A3">
        <w:rPr>
          <w:rFonts w:ascii="Times New Roman" w:hAnsi="Times New Roman" w:cs="Times New Roman"/>
          <w:lang w:val="en-US"/>
        </w:rPr>
        <w:t xml:space="preserve">As </w:t>
      </w:r>
      <w:r w:rsidRPr="009042A3">
        <w:rPr>
          <w:rFonts w:ascii="Times New Roman" w:hAnsi="Times New Roman" w:cs="Times New Roman"/>
        </w:rPr>
        <w:sym w:font="Symbol" w:char="F063"/>
      </w:r>
      <w:r w:rsidRPr="009042A3">
        <w:rPr>
          <w:rFonts w:ascii="Times New Roman" w:hAnsi="Times New Roman" w:cs="Times New Roman"/>
          <w:vertAlign w:val="superscript"/>
          <w:lang w:val="en-US"/>
        </w:rPr>
        <w:t xml:space="preserve">2 </w:t>
      </w:r>
      <w:r w:rsidRPr="009042A3">
        <w:rPr>
          <w:rFonts w:ascii="Times New Roman" w:hAnsi="Times New Roman" w:cs="Times New Roman"/>
          <w:lang w:val="en-US"/>
        </w:rPr>
        <w:t xml:space="preserve">is calculated over an area of reference in which the country under comparison makes a part, the larger the country is, more will be affected the area of reference´s sectoral distribution by technical field, and so, the larger will be </w:t>
      </w:r>
      <w:r w:rsidRPr="002A172B">
        <w:rPr>
          <w:rFonts w:ascii="Times New Roman" w:hAnsi="Times New Roman" w:cs="Times New Roman"/>
          <w:lang w:val="en-US"/>
        </w:rPr>
        <w:t xml:space="preserve">the similarity between both distributions and the lower the distance will be. A solution for this effect is to estimate the </w:t>
      </w:r>
      <w:r w:rsidRPr="002A172B">
        <w:rPr>
          <w:rFonts w:ascii="Times New Roman" w:hAnsi="Times New Roman" w:cs="Times New Roman"/>
        </w:rPr>
        <w:sym w:font="Symbol" w:char="F063"/>
      </w:r>
      <w:r w:rsidRPr="002A172B">
        <w:rPr>
          <w:rFonts w:ascii="Times New Roman" w:hAnsi="Times New Roman" w:cs="Times New Roman"/>
          <w:vertAlign w:val="superscript"/>
          <w:lang w:val="en-US"/>
        </w:rPr>
        <w:t>2</w:t>
      </w:r>
      <w:r w:rsidRPr="002A172B">
        <w:rPr>
          <w:rFonts w:ascii="Times New Roman" w:hAnsi="Times New Roman" w:cs="Times New Roman"/>
          <w:lang w:val="en-US"/>
        </w:rPr>
        <w:t xml:space="preserve"> robustness by comparing the standard deviation of the patent shares distribution by technical fields for each country and respecting to the standard deviation for the area of reference. The higher is the correlation between both, the more adequated the </w:t>
      </w:r>
      <w:r w:rsidRPr="002A172B">
        <w:rPr>
          <w:rFonts w:ascii="Times New Roman" w:hAnsi="Times New Roman" w:cs="Times New Roman"/>
        </w:rPr>
        <w:sym w:font="Symbol" w:char="F063"/>
      </w:r>
      <w:r w:rsidRPr="002A172B">
        <w:rPr>
          <w:rFonts w:ascii="Times New Roman" w:hAnsi="Times New Roman" w:cs="Times New Roman"/>
          <w:vertAlign w:val="superscript"/>
          <w:lang w:val="en-US"/>
        </w:rPr>
        <w:t>2</w:t>
      </w:r>
      <w:r w:rsidRPr="002A172B">
        <w:rPr>
          <w:rFonts w:ascii="Times New Roman" w:hAnsi="Times New Roman" w:cs="Times New Roman"/>
          <w:lang w:val="en-US"/>
        </w:rPr>
        <w:t xml:space="preserve"> will be as a measure of convergence (Archibugi and Pianta, 1992: chapter 8; Pianta and Meliciani, 1996). The correlation index for the UE-15 group was 0,7</w:t>
      </w:r>
      <w:r>
        <w:rPr>
          <w:rFonts w:ascii="Times New Roman" w:hAnsi="Times New Roman" w:cs="Times New Roman"/>
          <w:lang w:val="en-US"/>
        </w:rPr>
        <w:t>835</w:t>
      </w:r>
      <w:r w:rsidRPr="002A172B">
        <w:rPr>
          <w:rFonts w:ascii="Times New Roman" w:hAnsi="Times New Roman" w:cs="Times New Roman"/>
          <w:lang w:val="en-US"/>
        </w:rPr>
        <w:t xml:space="preserve">, which confirm the </w:t>
      </w:r>
      <w:r w:rsidRPr="002A172B">
        <w:rPr>
          <w:rFonts w:ascii="Times New Roman" w:hAnsi="Times New Roman" w:cs="Times New Roman"/>
        </w:rPr>
        <w:sym w:font="Symbol" w:char="F063"/>
      </w:r>
      <w:r w:rsidRPr="002A172B">
        <w:rPr>
          <w:rFonts w:ascii="Times New Roman" w:hAnsi="Times New Roman" w:cs="Times New Roman"/>
          <w:vertAlign w:val="superscript"/>
          <w:lang w:val="en-US"/>
        </w:rPr>
        <w:t>2</w:t>
      </w:r>
      <w:r w:rsidRPr="002A172B">
        <w:rPr>
          <w:rFonts w:ascii="Times New Roman" w:hAnsi="Times New Roman" w:cs="Times New Roman"/>
          <w:lang w:val="en-US"/>
        </w:rPr>
        <w:t xml:space="preserve"> robustness</w:t>
      </w:r>
      <w:r w:rsidRPr="002A172B">
        <w:rPr>
          <w:lang w:val="en-US"/>
        </w:rPr>
        <w:t>.</w:t>
      </w:r>
    </w:p>
  </w:footnote>
  <w:footnote w:id="6">
    <w:p w:rsidR="00270DA7" w:rsidRPr="006D5BB0" w:rsidRDefault="00270DA7" w:rsidP="00EF2585">
      <w:pPr>
        <w:pStyle w:val="Textodenotaderodap"/>
        <w:ind w:firstLine="0"/>
        <w:jc w:val="both"/>
        <w:rPr>
          <w:lang w:val="en-US"/>
        </w:rPr>
      </w:pPr>
      <w:r>
        <w:rPr>
          <w:rStyle w:val="Refdenotaderodap"/>
          <w:rFonts w:cs="Arial"/>
        </w:rPr>
        <w:footnoteRef/>
      </w:r>
      <w:r w:rsidRPr="004E4B51">
        <w:rPr>
          <w:lang w:val="en-US"/>
        </w:rPr>
        <w:t xml:space="preserve"> </w:t>
      </w:r>
      <w:r w:rsidRPr="004B2075">
        <w:rPr>
          <w:rFonts w:ascii="Times New Roman" w:hAnsi="Times New Roman" w:cs="Times New Roman"/>
          <w:lang w:val="en-US"/>
        </w:rPr>
        <w:t xml:space="preserve">This paper uses the Patel and Pavitt´s methodology to classify competences from RTA values and the relative innovative effort over a “medium value” calculated as 1/n, </w:t>
      </w:r>
      <w:r>
        <w:rPr>
          <w:rFonts w:ascii="Times New Roman" w:hAnsi="Times New Roman" w:cs="Times New Roman"/>
          <w:lang w:val="en-US"/>
        </w:rPr>
        <w:t>with</w:t>
      </w:r>
      <w:r w:rsidRPr="004B2075">
        <w:rPr>
          <w:rFonts w:ascii="Times New Roman" w:hAnsi="Times New Roman" w:cs="Times New Roman"/>
          <w:lang w:val="en-US"/>
        </w:rPr>
        <w:t xml:space="preserve"> n</w:t>
      </w:r>
      <w:r>
        <w:rPr>
          <w:rFonts w:ascii="Times New Roman" w:hAnsi="Times New Roman" w:cs="Times New Roman"/>
          <w:lang w:val="en-US"/>
        </w:rPr>
        <w:t>=</w:t>
      </w:r>
      <w:r w:rsidRPr="004B2075">
        <w:rPr>
          <w:rFonts w:ascii="Times New Roman" w:hAnsi="Times New Roman" w:cs="Times New Roman"/>
          <w:lang w:val="en-US"/>
        </w:rPr>
        <w:t>120 technical fields</w:t>
      </w:r>
      <w:r>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6AD"/>
    <w:multiLevelType w:val="hybridMultilevel"/>
    <w:tmpl w:val="26F4B64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8A433EC"/>
    <w:multiLevelType w:val="hybridMultilevel"/>
    <w:tmpl w:val="D84EEADE"/>
    <w:lvl w:ilvl="0" w:tplc="0E182E3A">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
    <w:nsid w:val="1B315369"/>
    <w:multiLevelType w:val="hybridMultilevel"/>
    <w:tmpl w:val="55DC493A"/>
    <w:lvl w:ilvl="0" w:tplc="168E916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1F2F00B2"/>
    <w:multiLevelType w:val="hybridMultilevel"/>
    <w:tmpl w:val="9098B1C6"/>
    <w:lvl w:ilvl="0" w:tplc="6E24B542">
      <w:start w:val="1"/>
      <w:numFmt w:val="decimal"/>
      <w:lvlText w:val="%1."/>
      <w:lvlJc w:val="left"/>
      <w:pPr>
        <w:ind w:left="720" w:hanging="360"/>
      </w:pPr>
      <w:rPr>
        <w:rFonts w:hint="default"/>
        <w:b/>
        <w:i w:val="0"/>
        <w:iCs/>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rsids>
    <w:rsidRoot w:val="00E64600"/>
    <w:rsid w:val="000014BC"/>
    <w:rsid w:val="00007658"/>
    <w:rsid w:val="00007AE7"/>
    <w:rsid w:val="0001659F"/>
    <w:rsid w:val="00023D57"/>
    <w:rsid w:val="00027542"/>
    <w:rsid w:val="00036581"/>
    <w:rsid w:val="00045AB4"/>
    <w:rsid w:val="0005392F"/>
    <w:rsid w:val="000661DE"/>
    <w:rsid w:val="000746C4"/>
    <w:rsid w:val="00085074"/>
    <w:rsid w:val="000901A4"/>
    <w:rsid w:val="0009201B"/>
    <w:rsid w:val="00094B6C"/>
    <w:rsid w:val="000A3A33"/>
    <w:rsid w:val="000A5E1F"/>
    <w:rsid w:val="000A7BD5"/>
    <w:rsid w:val="000B0C11"/>
    <w:rsid w:val="000B36C3"/>
    <w:rsid w:val="000B5A7A"/>
    <w:rsid w:val="000B7101"/>
    <w:rsid w:val="000E2E35"/>
    <w:rsid w:val="000F1204"/>
    <w:rsid w:val="000F1363"/>
    <w:rsid w:val="001017A5"/>
    <w:rsid w:val="0011354E"/>
    <w:rsid w:val="00127FE1"/>
    <w:rsid w:val="00133731"/>
    <w:rsid w:val="001338CD"/>
    <w:rsid w:val="00136A76"/>
    <w:rsid w:val="00143F60"/>
    <w:rsid w:val="001514B1"/>
    <w:rsid w:val="0015522E"/>
    <w:rsid w:val="001556E4"/>
    <w:rsid w:val="00162B34"/>
    <w:rsid w:val="00162BF0"/>
    <w:rsid w:val="00165664"/>
    <w:rsid w:val="00167732"/>
    <w:rsid w:val="00171060"/>
    <w:rsid w:val="00180369"/>
    <w:rsid w:val="00181441"/>
    <w:rsid w:val="00182548"/>
    <w:rsid w:val="00187F5E"/>
    <w:rsid w:val="0019344B"/>
    <w:rsid w:val="00194893"/>
    <w:rsid w:val="001A187A"/>
    <w:rsid w:val="001C03F7"/>
    <w:rsid w:val="001E5BCA"/>
    <w:rsid w:val="001E5F44"/>
    <w:rsid w:val="001F0329"/>
    <w:rsid w:val="00200A74"/>
    <w:rsid w:val="00205389"/>
    <w:rsid w:val="0020541F"/>
    <w:rsid w:val="00210061"/>
    <w:rsid w:val="00222F41"/>
    <w:rsid w:val="00241A96"/>
    <w:rsid w:val="002445E7"/>
    <w:rsid w:val="00246CEA"/>
    <w:rsid w:val="00251CCA"/>
    <w:rsid w:val="00262E73"/>
    <w:rsid w:val="00270DA7"/>
    <w:rsid w:val="00277D7E"/>
    <w:rsid w:val="00292DD8"/>
    <w:rsid w:val="00292F9A"/>
    <w:rsid w:val="002932AA"/>
    <w:rsid w:val="002A172B"/>
    <w:rsid w:val="002C5507"/>
    <w:rsid w:val="002C566E"/>
    <w:rsid w:val="002D0F2D"/>
    <w:rsid w:val="002D146B"/>
    <w:rsid w:val="002D4B2D"/>
    <w:rsid w:val="002D5CF8"/>
    <w:rsid w:val="002E1A58"/>
    <w:rsid w:val="002E5664"/>
    <w:rsid w:val="002F153F"/>
    <w:rsid w:val="002F487F"/>
    <w:rsid w:val="002F6D78"/>
    <w:rsid w:val="002F7364"/>
    <w:rsid w:val="003030C6"/>
    <w:rsid w:val="00305D5D"/>
    <w:rsid w:val="00312D81"/>
    <w:rsid w:val="00326607"/>
    <w:rsid w:val="00332FFF"/>
    <w:rsid w:val="00346D62"/>
    <w:rsid w:val="00350902"/>
    <w:rsid w:val="003517C8"/>
    <w:rsid w:val="0035464A"/>
    <w:rsid w:val="00354EFB"/>
    <w:rsid w:val="00357814"/>
    <w:rsid w:val="003628F3"/>
    <w:rsid w:val="00362F15"/>
    <w:rsid w:val="0036726F"/>
    <w:rsid w:val="00375447"/>
    <w:rsid w:val="00394E3E"/>
    <w:rsid w:val="003B1AAC"/>
    <w:rsid w:val="003B3B49"/>
    <w:rsid w:val="003B4F44"/>
    <w:rsid w:val="003C39BD"/>
    <w:rsid w:val="003D1444"/>
    <w:rsid w:val="003D2709"/>
    <w:rsid w:val="003E3EB4"/>
    <w:rsid w:val="003E6E59"/>
    <w:rsid w:val="003F58B7"/>
    <w:rsid w:val="003F7853"/>
    <w:rsid w:val="004024ED"/>
    <w:rsid w:val="00403C8C"/>
    <w:rsid w:val="0040529B"/>
    <w:rsid w:val="00410DD8"/>
    <w:rsid w:val="00411BCD"/>
    <w:rsid w:val="00415CD2"/>
    <w:rsid w:val="00427ACC"/>
    <w:rsid w:val="00430475"/>
    <w:rsid w:val="00433504"/>
    <w:rsid w:val="004465E6"/>
    <w:rsid w:val="00475D7D"/>
    <w:rsid w:val="0047725B"/>
    <w:rsid w:val="00485104"/>
    <w:rsid w:val="00490ED7"/>
    <w:rsid w:val="00496124"/>
    <w:rsid w:val="004A6267"/>
    <w:rsid w:val="004A7DF3"/>
    <w:rsid w:val="004B2075"/>
    <w:rsid w:val="004C0C00"/>
    <w:rsid w:val="004C71BE"/>
    <w:rsid w:val="004D4208"/>
    <w:rsid w:val="004D5686"/>
    <w:rsid w:val="004D5DE6"/>
    <w:rsid w:val="004D6682"/>
    <w:rsid w:val="004D6ABD"/>
    <w:rsid w:val="004E0BE3"/>
    <w:rsid w:val="004E1507"/>
    <w:rsid w:val="004E4B51"/>
    <w:rsid w:val="004E56C9"/>
    <w:rsid w:val="00503B67"/>
    <w:rsid w:val="00506BD8"/>
    <w:rsid w:val="00507EE4"/>
    <w:rsid w:val="00520F74"/>
    <w:rsid w:val="0053297E"/>
    <w:rsid w:val="00540A9C"/>
    <w:rsid w:val="00543D15"/>
    <w:rsid w:val="00543DA4"/>
    <w:rsid w:val="005513E7"/>
    <w:rsid w:val="0056430B"/>
    <w:rsid w:val="00565682"/>
    <w:rsid w:val="00566472"/>
    <w:rsid w:val="005708E4"/>
    <w:rsid w:val="0057163F"/>
    <w:rsid w:val="005735AF"/>
    <w:rsid w:val="00594FB3"/>
    <w:rsid w:val="00597729"/>
    <w:rsid w:val="005A0BE1"/>
    <w:rsid w:val="005A7ED4"/>
    <w:rsid w:val="005B4EB3"/>
    <w:rsid w:val="005B6914"/>
    <w:rsid w:val="005C2424"/>
    <w:rsid w:val="005D22FD"/>
    <w:rsid w:val="005E1CB3"/>
    <w:rsid w:val="005F4047"/>
    <w:rsid w:val="005F4261"/>
    <w:rsid w:val="006004DC"/>
    <w:rsid w:val="00606F5E"/>
    <w:rsid w:val="006070C6"/>
    <w:rsid w:val="00631AA8"/>
    <w:rsid w:val="00634326"/>
    <w:rsid w:val="00635B5A"/>
    <w:rsid w:val="00643EF1"/>
    <w:rsid w:val="00651AE3"/>
    <w:rsid w:val="00653286"/>
    <w:rsid w:val="006607CC"/>
    <w:rsid w:val="006611AE"/>
    <w:rsid w:val="00680552"/>
    <w:rsid w:val="00683D0A"/>
    <w:rsid w:val="00687E0A"/>
    <w:rsid w:val="00693A70"/>
    <w:rsid w:val="00696626"/>
    <w:rsid w:val="0069763E"/>
    <w:rsid w:val="006A4404"/>
    <w:rsid w:val="006A5447"/>
    <w:rsid w:val="006A722B"/>
    <w:rsid w:val="006B3E91"/>
    <w:rsid w:val="006C72CF"/>
    <w:rsid w:val="006D389E"/>
    <w:rsid w:val="006D5955"/>
    <w:rsid w:val="006D5BB0"/>
    <w:rsid w:val="006E1FFE"/>
    <w:rsid w:val="006E2F30"/>
    <w:rsid w:val="006E5302"/>
    <w:rsid w:val="006F6A26"/>
    <w:rsid w:val="00701483"/>
    <w:rsid w:val="00710BA3"/>
    <w:rsid w:val="00711E84"/>
    <w:rsid w:val="0072102A"/>
    <w:rsid w:val="00722794"/>
    <w:rsid w:val="00734DBA"/>
    <w:rsid w:val="00735B16"/>
    <w:rsid w:val="007369E3"/>
    <w:rsid w:val="00741E22"/>
    <w:rsid w:val="0074487B"/>
    <w:rsid w:val="00746AD2"/>
    <w:rsid w:val="00757166"/>
    <w:rsid w:val="00775214"/>
    <w:rsid w:val="00780D7D"/>
    <w:rsid w:val="007834C5"/>
    <w:rsid w:val="00786E73"/>
    <w:rsid w:val="00793D1C"/>
    <w:rsid w:val="007941EC"/>
    <w:rsid w:val="007969EB"/>
    <w:rsid w:val="007978C2"/>
    <w:rsid w:val="007B3481"/>
    <w:rsid w:val="007B6CA2"/>
    <w:rsid w:val="007B7C97"/>
    <w:rsid w:val="007C484B"/>
    <w:rsid w:val="007D15F4"/>
    <w:rsid w:val="007D4FDF"/>
    <w:rsid w:val="007D529A"/>
    <w:rsid w:val="007E5D89"/>
    <w:rsid w:val="007F245F"/>
    <w:rsid w:val="007F4DF2"/>
    <w:rsid w:val="008021C7"/>
    <w:rsid w:val="00806A96"/>
    <w:rsid w:val="00810B1C"/>
    <w:rsid w:val="00811B2D"/>
    <w:rsid w:val="00830016"/>
    <w:rsid w:val="00834E86"/>
    <w:rsid w:val="00841A7E"/>
    <w:rsid w:val="0084201C"/>
    <w:rsid w:val="00842C20"/>
    <w:rsid w:val="008447D5"/>
    <w:rsid w:val="00847EEA"/>
    <w:rsid w:val="00851FE2"/>
    <w:rsid w:val="00852DF8"/>
    <w:rsid w:val="00867154"/>
    <w:rsid w:val="00872157"/>
    <w:rsid w:val="0088242B"/>
    <w:rsid w:val="00885891"/>
    <w:rsid w:val="008975FA"/>
    <w:rsid w:val="008B0BEC"/>
    <w:rsid w:val="008B1A38"/>
    <w:rsid w:val="008B3BBB"/>
    <w:rsid w:val="008C0925"/>
    <w:rsid w:val="008C2D4C"/>
    <w:rsid w:val="009042A3"/>
    <w:rsid w:val="00910B83"/>
    <w:rsid w:val="009120DA"/>
    <w:rsid w:val="0092012E"/>
    <w:rsid w:val="0092177E"/>
    <w:rsid w:val="009240CD"/>
    <w:rsid w:val="00930081"/>
    <w:rsid w:val="00930AD9"/>
    <w:rsid w:val="0093310F"/>
    <w:rsid w:val="0093580A"/>
    <w:rsid w:val="00940F5E"/>
    <w:rsid w:val="00962D81"/>
    <w:rsid w:val="00965E27"/>
    <w:rsid w:val="00977F46"/>
    <w:rsid w:val="00981881"/>
    <w:rsid w:val="00983896"/>
    <w:rsid w:val="00990C1C"/>
    <w:rsid w:val="0099240E"/>
    <w:rsid w:val="009A1F70"/>
    <w:rsid w:val="009A32E3"/>
    <w:rsid w:val="009A6439"/>
    <w:rsid w:val="009B1F4A"/>
    <w:rsid w:val="009B2F60"/>
    <w:rsid w:val="009C328D"/>
    <w:rsid w:val="009C403D"/>
    <w:rsid w:val="00A0480B"/>
    <w:rsid w:val="00A05698"/>
    <w:rsid w:val="00A07303"/>
    <w:rsid w:val="00A301C8"/>
    <w:rsid w:val="00A31935"/>
    <w:rsid w:val="00A3710F"/>
    <w:rsid w:val="00A4194A"/>
    <w:rsid w:val="00A42F76"/>
    <w:rsid w:val="00A43ACE"/>
    <w:rsid w:val="00A46262"/>
    <w:rsid w:val="00A52160"/>
    <w:rsid w:val="00A558F4"/>
    <w:rsid w:val="00A575E9"/>
    <w:rsid w:val="00A579DE"/>
    <w:rsid w:val="00A63BB7"/>
    <w:rsid w:val="00A82557"/>
    <w:rsid w:val="00A91860"/>
    <w:rsid w:val="00A91BF4"/>
    <w:rsid w:val="00AA3D9C"/>
    <w:rsid w:val="00AA4B1F"/>
    <w:rsid w:val="00AA69D3"/>
    <w:rsid w:val="00AB22C8"/>
    <w:rsid w:val="00AB4FF9"/>
    <w:rsid w:val="00AC3313"/>
    <w:rsid w:val="00AC5FA6"/>
    <w:rsid w:val="00AE7949"/>
    <w:rsid w:val="00AF6010"/>
    <w:rsid w:val="00B0688A"/>
    <w:rsid w:val="00B1358C"/>
    <w:rsid w:val="00B161B5"/>
    <w:rsid w:val="00B176D1"/>
    <w:rsid w:val="00B21ECE"/>
    <w:rsid w:val="00B222FC"/>
    <w:rsid w:val="00B25BEB"/>
    <w:rsid w:val="00B531F6"/>
    <w:rsid w:val="00B65EEE"/>
    <w:rsid w:val="00B67F21"/>
    <w:rsid w:val="00B75FDE"/>
    <w:rsid w:val="00B812CC"/>
    <w:rsid w:val="00B93173"/>
    <w:rsid w:val="00BA4770"/>
    <w:rsid w:val="00BA52D0"/>
    <w:rsid w:val="00BB26A3"/>
    <w:rsid w:val="00BC489D"/>
    <w:rsid w:val="00BC6AD0"/>
    <w:rsid w:val="00BC76CB"/>
    <w:rsid w:val="00BD149B"/>
    <w:rsid w:val="00BD38D1"/>
    <w:rsid w:val="00BE68D9"/>
    <w:rsid w:val="00BF42C3"/>
    <w:rsid w:val="00BF5AC5"/>
    <w:rsid w:val="00C1083C"/>
    <w:rsid w:val="00C26599"/>
    <w:rsid w:val="00C34A7C"/>
    <w:rsid w:val="00C34C51"/>
    <w:rsid w:val="00C3566A"/>
    <w:rsid w:val="00C41E6C"/>
    <w:rsid w:val="00C41EDB"/>
    <w:rsid w:val="00C4397F"/>
    <w:rsid w:val="00C5105C"/>
    <w:rsid w:val="00C55FB9"/>
    <w:rsid w:val="00C771A8"/>
    <w:rsid w:val="00C77FE2"/>
    <w:rsid w:val="00C87A58"/>
    <w:rsid w:val="00CA0936"/>
    <w:rsid w:val="00CB3626"/>
    <w:rsid w:val="00CB4D89"/>
    <w:rsid w:val="00CB4ED2"/>
    <w:rsid w:val="00CB6A68"/>
    <w:rsid w:val="00CC3518"/>
    <w:rsid w:val="00CC7D3B"/>
    <w:rsid w:val="00CF4127"/>
    <w:rsid w:val="00CF6DA6"/>
    <w:rsid w:val="00D0516A"/>
    <w:rsid w:val="00D13307"/>
    <w:rsid w:val="00D14E21"/>
    <w:rsid w:val="00D21893"/>
    <w:rsid w:val="00D22701"/>
    <w:rsid w:val="00D22D09"/>
    <w:rsid w:val="00D24422"/>
    <w:rsid w:val="00D27862"/>
    <w:rsid w:val="00D30CB3"/>
    <w:rsid w:val="00D34CB2"/>
    <w:rsid w:val="00D35016"/>
    <w:rsid w:val="00D41F66"/>
    <w:rsid w:val="00D42EEE"/>
    <w:rsid w:val="00D645EE"/>
    <w:rsid w:val="00D81F06"/>
    <w:rsid w:val="00D8356D"/>
    <w:rsid w:val="00D86983"/>
    <w:rsid w:val="00D95453"/>
    <w:rsid w:val="00D96BAA"/>
    <w:rsid w:val="00DA0724"/>
    <w:rsid w:val="00DB0610"/>
    <w:rsid w:val="00DB106C"/>
    <w:rsid w:val="00DB13D8"/>
    <w:rsid w:val="00DB7117"/>
    <w:rsid w:val="00DB7329"/>
    <w:rsid w:val="00DC6D49"/>
    <w:rsid w:val="00DE03D8"/>
    <w:rsid w:val="00DE7C4F"/>
    <w:rsid w:val="00DF2B9C"/>
    <w:rsid w:val="00DF5143"/>
    <w:rsid w:val="00E11F3C"/>
    <w:rsid w:val="00E25580"/>
    <w:rsid w:val="00E264DB"/>
    <w:rsid w:val="00E31E1A"/>
    <w:rsid w:val="00E37A78"/>
    <w:rsid w:val="00E4190E"/>
    <w:rsid w:val="00E4732B"/>
    <w:rsid w:val="00E54747"/>
    <w:rsid w:val="00E54FEA"/>
    <w:rsid w:val="00E61270"/>
    <w:rsid w:val="00E64600"/>
    <w:rsid w:val="00E735CE"/>
    <w:rsid w:val="00E73825"/>
    <w:rsid w:val="00E908E8"/>
    <w:rsid w:val="00E90AA2"/>
    <w:rsid w:val="00EA23C4"/>
    <w:rsid w:val="00EB111C"/>
    <w:rsid w:val="00EC6F2D"/>
    <w:rsid w:val="00ED1839"/>
    <w:rsid w:val="00ED2D04"/>
    <w:rsid w:val="00EE7A98"/>
    <w:rsid w:val="00EF0F8C"/>
    <w:rsid w:val="00EF2585"/>
    <w:rsid w:val="00EF2A0B"/>
    <w:rsid w:val="00F21329"/>
    <w:rsid w:val="00F2549F"/>
    <w:rsid w:val="00F2707D"/>
    <w:rsid w:val="00F31E9E"/>
    <w:rsid w:val="00F32500"/>
    <w:rsid w:val="00F32763"/>
    <w:rsid w:val="00F363B7"/>
    <w:rsid w:val="00F368D0"/>
    <w:rsid w:val="00F42DD2"/>
    <w:rsid w:val="00F43159"/>
    <w:rsid w:val="00F73CF7"/>
    <w:rsid w:val="00F815D0"/>
    <w:rsid w:val="00F959CD"/>
    <w:rsid w:val="00FA155E"/>
    <w:rsid w:val="00FA18B8"/>
    <w:rsid w:val="00FA4258"/>
    <w:rsid w:val="00FA5B21"/>
    <w:rsid w:val="00FC402F"/>
    <w:rsid w:val="00FC42D7"/>
    <w:rsid w:val="00FC4E37"/>
    <w:rsid w:val="00FC5771"/>
    <w:rsid w:val="00FD2536"/>
    <w:rsid w:val="00FD6A48"/>
    <w:rsid w:val="00FD78D3"/>
    <w:rsid w:val="00FE0057"/>
    <w:rsid w:val="00FE1E37"/>
    <w:rsid w:val="00FF59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Corpodetexto"/>
    <w:autoRedefine/>
    <w:qFormat/>
    <w:rsid w:val="00E64600"/>
    <w:pPr>
      <w:autoSpaceDE w:val="0"/>
      <w:autoSpaceDN w:val="0"/>
      <w:adjustRightInd w:val="0"/>
      <w:spacing w:before="120" w:after="120"/>
      <w:ind w:firstLine="709"/>
      <w:jc w:val="both"/>
    </w:pPr>
    <w:rPr>
      <w:rFonts w:ascii="Arial" w:hAnsi="Arial" w:cs="Arial"/>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E64600"/>
  </w:style>
  <w:style w:type="character" w:customStyle="1" w:styleId="CorpodetextoChar">
    <w:name w:val="Corpo de texto Char"/>
    <w:basedOn w:val="Fontepargpadro"/>
    <w:link w:val="Corpodetexto"/>
    <w:uiPriority w:val="99"/>
    <w:locked/>
    <w:rsid w:val="00E64600"/>
    <w:rPr>
      <w:rFonts w:ascii="Arial" w:hAnsi="Arial" w:cs="Arial"/>
      <w:sz w:val="24"/>
      <w:szCs w:val="24"/>
      <w:lang w:val="en-US" w:eastAsia="pt-BR"/>
    </w:rPr>
  </w:style>
  <w:style w:type="character" w:styleId="Refdenotaderodap">
    <w:name w:val="footnote reference"/>
    <w:basedOn w:val="Fontepargpadro"/>
    <w:uiPriority w:val="99"/>
    <w:semiHidden/>
    <w:rsid w:val="00E64600"/>
    <w:rPr>
      <w:rFonts w:cs="Times New Roman"/>
      <w:vertAlign w:val="superscript"/>
    </w:rPr>
  </w:style>
  <w:style w:type="paragraph" w:styleId="Textodenotaderodap">
    <w:name w:val="footnote text"/>
    <w:basedOn w:val="Normal"/>
    <w:link w:val="TextodenotaderodapChar"/>
    <w:uiPriority w:val="99"/>
    <w:semiHidden/>
    <w:rsid w:val="00045AB4"/>
    <w:pPr>
      <w:widowControl w:val="0"/>
      <w:jc w:val="left"/>
    </w:pPr>
    <w:rPr>
      <w:sz w:val="20"/>
      <w:szCs w:val="20"/>
      <w:lang w:val="pt-BR"/>
    </w:rPr>
  </w:style>
  <w:style w:type="character" w:customStyle="1" w:styleId="TextodenotaderodapChar">
    <w:name w:val="Texto de nota de rodapé Char"/>
    <w:basedOn w:val="Fontepargpadro"/>
    <w:link w:val="Textodenotaderodap"/>
    <w:uiPriority w:val="99"/>
    <w:semiHidden/>
    <w:locked/>
    <w:rsid w:val="00045AB4"/>
    <w:rPr>
      <w:rFonts w:ascii="Arial" w:hAnsi="Arial" w:cs="Arial"/>
      <w:sz w:val="20"/>
      <w:szCs w:val="20"/>
      <w:lang w:eastAsia="pt-BR"/>
    </w:rPr>
  </w:style>
  <w:style w:type="paragraph" w:styleId="Textodebalo">
    <w:name w:val="Balloon Text"/>
    <w:basedOn w:val="Normal"/>
    <w:link w:val="TextodebaloChar"/>
    <w:uiPriority w:val="99"/>
    <w:semiHidden/>
    <w:unhideWhenUsed/>
    <w:rsid w:val="00045AB4"/>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045AB4"/>
    <w:rPr>
      <w:rFonts w:ascii="Tahoma" w:hAnsi="Tahoma" w:cs="Tahoma"/>
      <w:sz w:val="16"/>
      <w:szCs w:val="16"/>
      <w:lang w:val="en-US" w:eastAsia="pt-BR"/>
    </w:rPr>
  </w:style>
  <w:style w:type="paragraph" w:styleId="Cabealho">
    <w:name w:val="header"/>
    <w:basedOn w:val="Normal"/>
    <w:link w:val="CabealhoChar"/>
    <w:uiPriority w:val="99"/>
    <w:semiHidden/>
    <w:unhideWhenUsed/>
    <w:rsid w:val="00DF5143"/>
    <w:pPr>
      <w:tabs>
        <w:tab w:val="center" w:pos="4252"/>
        <w:tab w:val="right" w:pos="8504"/>
      </w:tabs>
      <w:spacing w:before="0" w:after="0"/>
    </w:pPr>
  </w:style>
  <w:style w:type="character" w:customStyle="1" w:styleId="CabealhoChar">
    <w:name w:val="Cabeçalho Char"/>
    <w:basedOn w:val="Fontepargpadro"/>
    <w:link w:val="Cabealho"/>
    <w:uiPriority w:val="99"/>
    <w:semiHidden/>
    <w:rsid w:val="00DF5143"/>
    <w:rPr>
      <w:rFonts w:ascii="Arial" w:hAnsi="Arial" w:cs="Arial"/>
      <w:sz w:val="24"/>
      <w:szCs w:val="24"/>
      <w:lang w:val="en-US"/>
    </w:rPr>
  </w:style>
  <w:style w:type="paragraph" w:styleId="Rodap">
    <w:name w:val="footer"/>
    <w:basedOn w:val="Normal"/>
    <w:link w:val="RodapChar"/>
    <w:uiPriority w:val="99"/>
    <w:unhideWhenUsed/>
    <w:rsid w:val="00DF5143"/>
    <w:pPr>
      <w:tabs>
        <w:tab w:val="center" w:pos="4252"/>
        <w:tab w:val="right" w:pos="8504"/>
      </w:tabs>
      <w:spacing w:before="0" w:after="0"/>
    </w:pPr>
  </w:style>
  <w:style w:type="character" w:customStyle="1" w:styleId="RodapChar">
    <w:name w:val="Rodapé Char"/>
    <w:basedOn w:val="Fontepargpadro"/>
    <w:link w:val="Rodap"/>
    <w:uiPriority w:val="99"/>
    <w:rsid w:val="00DF5143"/>
    <w:rPr>
      <w:rFonts w:ascii="Arial" w:hAnsi="Arial" w:cs="Arial"/>
      <w:sz w:val="24"/>
      <w:szCs w:val="24"/>
      <w:lang w:val="en-US"/>
    </w:rPr>
  </w:style>
  <w:style w:type="paragraph" w:styleId="PargrafodaLista">
    <w:name w:val="List Paragraph"/>
    <w:basedOn w:val="Normal"/>
    <w:uiPriority w:val="34"/>
    <w:qFormat/>
    <w:rsid w:val="00C55FB9"/>
    <w:pPr>
      <w:ind w:left="720"/>
      <w:contextualSpacing/>
    </w:pPr>
  </w:style>
  <w:style w:type="character" w:styleId="Hyperlink">
    <w:name w:val="Hyperlink"/>
    <w:uiPriority w:val="99"/>
    <w:unhideWhenUsed/>
    <w:rsid w:val="00A4194A"/>
    <w:rPr>
      <w:color w:val="0000FF"/>
      <w:u w:val="single"/>
    </w:rPr>
  </w:style>
</w:styles>
</file>

<file path=word/webSettings.xml><?xml version="1.0" encoding="utf-8"?>
<w:webSettings xmlns:r="http://schemas.openxmlformats.org/officeDocument/2006/relationships" xmlns:w="http://schemas.openxmlformats.org/wordprocessingml/2006/main">
  <w:divs>
    <w:div w:id="141191679">
      <w:bodyDiv w:val="1"/>
      <w:marLeft w:val="0"/>
      <w:marRight w:val="0"/>
      <w:marTop w:val="0"/>
      <w:marBottom w:val="0"/>
      <w:divBdr>
        <w:top w:val="none" w:sz="0" w:space="0" w:color="auto"/>
        <w:left w:val="none" w:sz="0" w:space="0" w:color="auto"/>
        <w:bottom w:val="none" w:sz="0" w:space="0" w:color="auto"/>
        <w:right w:val="none" w:sz="0" w:space="0" w:color="auto"/>
      </w:divBdr>
    </w:div>
    <w:div w:id="158424552">
      <w:bodyDiv w:val="1"/>
      <w:marLeft w:val="0"/>
      <w:marRight w:val="0"/>
      <w:marTop w:val="0"/>
      <w:marBottom w:val="0"/>
      <w:divBdr>
        <w:top w:val="none" w:sz="0" w:space="0" w:color="auto"/>
        <w:left w:val="none" w:sz="0" w:space="0" w:color="auto"/>
        <w:bottom w:val="none" w:sz="0" w:space="0" w:color="auto"/>
        <w:right w:val="none" w:sz="0" w:space="0" w:color="auto"/>
      </w:divBdr>
    </w:div>
    <w:div w:id="314408710">
      <w:bodyDiv w:val="1"/>
      <w:marLeft w:val="0"/>
      <w:marRight w:val="0"/>
      <w:marTop w:val="0"/>
      <w:marBottom w:val="0"/>
      <w:divBdr>
        <w:top w:val="none" w:sz="0" w:space="0" w:color="auto"/>
        <w:left w:val="none" w:sz="0" w:space="0" w:color="auto"/>
        <w:bottom w:val="none" w:sz="0" w:space="0" w:color="auto"/>
        <w:right w:val="none" w:sz="0" w:space="0" w:color="auto"/>
      </w:divBdr>
    </w:div>
    <w:div w:id="419110251">
      <w:bodyDiv w:val="1"/>
      <w:marLeft w:val="0"/>
      <w:marRight w:val="0"/>
      <w:marTop w:val="0"/>
      <w:marBottom w:val="0"/>
      <w:divBdr>
        <w:top w:val="none" w:sz="0" w:space="0" w:color="auto"/>
        <w:left w:val="none" w:sz="0" w:space="0" w:color="auto"/>
        <w:bottom w:val="none" w:sz="0" w:space="0" w:color="auto"/>
        <w:right w:val="none" w:sz="0" w:space="0" w:color="auto"/>
      </w:divBdr>
    </w:div>
    <w:div w:id="465512297">
      <w:bodyDiv w:val="1"/>
      <w:marLeft w:val="0"/>
      <w:marRight w:val="0"/>
      <w:marTop w:val="0"/>
      <w:marBottom w:val="0"/>
      <w:divBdr>
        <w:top w:val="none" w:sz="0" w:space="0" w:color="auto"/>
        <w:left w:val="none" w:sz="0" w:space="0" w:color="auto"/>
        <w:bottom w:val="none" w:sz="0" w:space="0" w:color="auto"/>
        <w:right w:val="none" w:sz="0" w:space="0" w:color="auto"/>
      </w:divBdr>
    </w:div>
    <w:div w:id="505439785">
      <w:bodyDiv w:val="1"/>
      <w:marLeft w:val="0"/>
      <w:marRight w:val="0"/>
      <w:marTop w:val="0"/>
      <w:marBottom w:val="0"/>
      <w:divBdr>
        <w:top w:val="none" w:sz="0" w:space="0" w:color="auto"/>
        <w:left w:val="none" w:sz="0" w:space="0" w:color="auto"/>
        <w:bottom w:val="none" w:sz="0" w:space="0" w:color="auto"/>
        <w:right w:val="none" w:sz="0" w:space="0" w:color="auto"/>
      </w:divBdr>
    </w:div>
    <w:div w:id="514350402">
      <w:bodyDiv w:val="1"/>
      <w:marLeft w:val="0"/>
      <w:marRight w:val="0"/>
      <w:marTop w:val="0"/>
      <w:marBottom w:val="0"/>
      <w:divBdr>
        <w:top w:val="none" w:sz="0" w:space="0" w:color="auto"/>
        <w:left w:val="none" w:sz="0" w:space="0" w:color="auto"/>
        <w:bottom w:val="none" w:sz="0" w:space="0" w:color="auto"/>
        <w:right w:val="none" w:sz="0" w:space="0" w:color="auto"/>
      </w:divBdr>
    </w:div>
    <w:div w:id="707418770">
      <w:bodyDiv w:val="1"/>
      <w:marLeft w:val="0"/>
      <w:marRight w:val="0"/>
      <w:marTop w:val="0"/>
      <w:marBottom w:val="0"/>
      <w:divBdr>
        <w:top w:val="none" w:sz="0" w:space="0" w:color="auto"/>
        <w:left w:val="none" w:sz="0" w:space="0" w:color="auto"/>
        <w:bottom w:val="none" w:sz="0" w:space="0" w:color="auto"/>
        <w:right w:val="none" w:sz="0" w:space="0" w:color="auto"/>
      </w:divBdr>
    </w:div>
    <w:div w:id="750736767">
      <w:bodyDiv w:val="1"/>
      <w:marLeft w:val="0"/>
      <w:marRight w:val="0"/>
      <w:marTop w:val="0"/>
      <w:marBottom w:val="0"/>
      <w:divBdr>
        <w:top w:val="none" w:sz="0" w:space="0" w:color="auto"/>
        <w:left w:val="none" w:sz="0" w:space="0" w:color="auto"/>
        <w:bottom w:val="none" w:sz="0" w:space="0" w:color="auto"/>
        <w:right w:val="none" w:sz="0" w:space="0" w:color="auto"/>
      </w:divBdr>
    </w:div>
    <w:div w:id="759183738">
      <w:bodyDiv w:val="1"/>
      <w:marLeft w:val="0"/>
      <w:marRight w:val="0"/>
      <w:marTop w:val="0"/>
      <w:marBottom w:val="0"/>
      <w:divBdr>
        <w:top w:val="none" w:sz="0" w:space="0" w:color="auto"/>
        <w:left w:val="none" w:sz="0" w:space="0" w:color="auto"/>
        <w:bottom w:val="none" w:sz="0" w:space="0" w:color="auto"/>
        <w:right w:val="none" w:sz="0" w:space="0" w:color="auto"/>
      </w:divBdr>
    </w:div>
    <w:div w:id="777063831">
      <w:bodyDiv w:val="1"/>
      <w:marLeft w:val="0"/>
      <w:marRight w:val="0"/>
      <w:marTop w:val="0"/>
      <w:marBottom w:val="0"/>
      <w:divBdr>
        <w:top w:val="none" w:sz="0" w:space="0" w:color="auto"/>
        <w:left w:val="none" w:sz="0" w:space="0" w:color="auto"/>
        <w:bottom w:val="none" w:sz="0" w:space="0" w:color="auto"/>
        <w:right w:val="none" w:sz="0" w:space="0" w:color="auto"/>
      </w:divBdr>
    </w:div>
    <w:div w:id="788158191">
      <w:bodyDiv w:val="1"/>
      <w:marLeft w:val="0"/>
      <w:marRight w:val="0"/>
      <w:marTop w:val="0"/>
      <w:marBottom w:val="0"/>
      <w:divBdr>
        <w:top w:val="none" w:sz="0" w:space="0" w:color="auto"/>
        <w:left w:val="none" w:sz="0" w:space="0" w:color="auto"/>
        <w:bottom w:val="none" w:sz="0" w:space="0" w:color="auto"/>
        <w:right w:val="none" w:sz="0" w:space="0" w:color="auto"/>
      </w:divBdr>
    </w:div>
    <w:div w:id="987782461">
      <w:bodyDiv w:val="1"/>
      <w:marLeft w:val="0"/>
      <w:marRight w:val="0"/>
      <w:marTop w:val="0"/>
      <w:marBottom w:val="0"/>
      <w:divBdr>
        <w:top w:val="none" w:sz="0" w:space="0" w:color="auto"/>
        <w:left w:val="none" w:sz="0" w:space="0" w:color="auto"/>
        <w:bottom w:val="none" w:sz="0" w:space="0" w:color="auto"/>
        <w:right w:val="none" w:sz="0" w:space="0" w:color="auto"/>
      </w:divBdr>
    </w:div>
    <w:div w:id="1012219396">
      <w:bodyDiv w:val="1"/>
      <w:marLeft w:val="0"/>
      <w:marRight w:val="0"/>
      <w:marTop w:val="0"/>
      <w:marBottom w:val="0"/>
      <w:divBdr>
        <w:top w:val="none" w:sz="0" w:space="0" w:color="auto"/>
        <w:left w:val="none" w:sz="0" w:space="0" w:color="auto"/>
        <w:bottom w:val="none" w:sz="0" w:space="0" w:color="auto"/>
        <w:right w:val="none" w:sz="0" w:space="0" w:color="auto"/>
      </w:divBdr>
    </w:div>
    <w:div w:id="1039360579">
      <w:bodyDiv w:val="1"/>
      <w:marLeft w:val="0"/>
      <w:marRight w:val="0"/>
      <w:marTop w:val="0"/>
      <w:marBottom w:val="0"/>
      <w:divBdr>
        <w:top w:val="none" w:sz="0" w:space="0" w:color="auto"/>
        <w:left w:val="none" w:sz="0" w:space="0" w:color="auto"/>
        <w:bottom w:val="none" w:sz="0" w:space="0" w:color="auto"/>
        <w:right w:val="none" w:sz="0" w:space="0" w:color="auto"/>
      </w:divBdr>
    </w:div>
    <w:div w:id="1101610056">
      <w:bodyDiv w:val="1"/>
      <w:marLeft w:val="0"/>
      <w:marRight w:val="0"/>
      <w:marTop w:val="0"/>
      <w:marBottom w:val="0"/>
      <w:divBdr>
        <w:top w:val="none" w:sz="0" w:space="0" w:color="auto"/>
        <w:left w:val="none" w:sz="0" w:space="0" w:color="auto"/>
        <w:bottom w:val="none" w:sz="0" w:space="0" w:color="auto"/>
        <w:right w:val="none" w:sz="0" w:space="0" w:color="auto"/>
      </w:divBdr>
    </w:div>
    <w:div w:id="1215697429">
      <w:bodyDiv w:val="1"/>
      <w:marLeft w:val="0"/>
      <w:marRight w:val="0"/>
      <w:marTop w:val="0"/>
      <w:marBottom w:val="0"/>
      <w:divBdr>
        <w:top w:val="none" w:sz="0" w:space="0" w:color="auto"/>
        <w:left w:val="none" w:sz="0" w:space="0" w:color="auto"/>
        <w:bottom w:val="none" w:sz="0" w:space="0" w:color="auto"/>
        <w:right w:val="none" w:sz="0" w:space="0" w:color="auto"/>
      </w:divBdr>
    </w:div>
    <w:div w:id="1279877697">
      <w:bodyDiv w:val="1"/>
      <w:marLeft w:val="0"/>
      <w:marRight w:val="0"/>
      <w:marTop w:val="0"/>
      <w:marBottom w:val="0"/>
      <w:divBdr>
        <w:top w:val="none" w:sz="0" w:space="0" w:color="auto"/>
        <w:left w:val="none" w:sz="0" w:space="0" w:color="auto"/>
        <w:bottom w:val="none" w:sz="0" w:space="0" w:color="auto"/>
        <w:right w:val="none" w:sz="0" w:space="0" w:color="auto"/>
      </w:divBdr>
    </w:div>
    <w:div w:id="1431924135">
      <w:bodyDiv w:val="1"/>
      <w:marLeft w:val="0"/>
      <w:marRight w:val="0"/>
      <w:marTop w:val="0"/>
      <w:marBottom w:val="0"/>
      <w:divBdr>
        <w:top w:val="none" w:sz="0" w:space="0" w:color="auto"/>
        <w:left w:val="none" w:sz="0" w:space="0" w:color="auto"/>
        <w:bottom w:val="none" w:sz="0" w:space="0" w:color="auto"/>
        <w:right w:val="none" w:sz="0" w:space="0" w:color="auto"/>
      </w:divBdr>
    </w:div>
    <w:div w:id="1528060419">
      <w:bodyDiv w:val="1"/>
      <w:marLeft w:val="0"/>
      <w:marRight w:val="0"/>
      <w:marTop w:val="0"/>
      <w:marBottom w:val="0"/>
      <w:divBdr>
        <w:top w:val="none" w:sz="0" w:space="0" w:color="auto"/>
        <w:left w:val="none" w:sz="0" w:space="0" w:color="auto"/>
        <w:bottom w:val="none" w:sz="0" w:space="0" w:color="auto"/>
        <w:right w:val="none" w:sz="0" w:space="0" w:color="auto"/>
      </w:divBdr>
    </w:div>
    <w:div w:id="1657803191">
      <w:bodyDiv w:val="1"/>
      <w:marLeft w:val="0"/>
      <w:marRight w:val="0"/>
      <w:marTop w:val="0"/>
      <w:marBottom w:val="0"/>
      <w:divBdr>
        <w:top w:val="none" w:sz="0" w:space="0" w:color="auto"/>
        <w:left w:val="none" w:sz="0" w:space="0" w:color="auto"/>
        <w:bottom w:val="none" w:sz="0" w:space="0" w:color="auto"/>
        <w:right w:val="none" w:sz="0" w:space="0" w:color="auto"/>
      </w:divBdr>
    </w:div>
    <w:div w:id="1676492640">
      <w:marLeft w:val="0"/>
      <w:marRight w:val="0"/>
      <w:marTop w:val="0"/>
      <w:marBottom w:val="0"/>
      <w:divBdr>
        <w:top w:val="none" w:sz="0" w:space="0" w:color="auto"/>
        <w:left w:val="none" w:sz="0" w:space="0" w:color="auto"/>
        <w:bottom w:val="none" w:sz="0" w:space="0" w:color="auto"/>
        <w:right w:val="none" w:sz="0" w:space="0" w:color="auto"/>
      </w:divBdr>
    </w:div>
    <w:div w:id="1803037773">
      <w:bodyDiv w:val="1"/>
      <w:marLeft w:val="0"/>
      <w:marRight w:val="0"/>
      <w:marTop w:val="0"/>
      <w:marBottom w:val="0"/>
      <w:divBdr>
        <w:top w:val="none" w:sz="0" w:space="0" w:color="auto"/>
        <w:left w:val="none" w:sz="0" w:space="0" w:color="auto"/>
        <w:bottom w:val="none" w:sz="0" w:space="0" w:color="auto"/>
        <w:right w:val="none" w:sz="0" w:space="0" w:color="auto"/>
      </w:divBdr>
    </w:div>
    <w:div w:id="1824203713">
      <w:bodyDiv w:val="1"/>
      <w:marLeft w:val="0"/>
      <w:marRight w:val="0"/>
      <w:marTop w:val="0"/>
      <w:marBottom w:val="0"/>
      <w:divBdr>
        <w:top w:val="none" w:sz="0" w:space="0" w:color="auto"/>
        <w:left w:val="none" w:sz="0" w:space="0" w:color="auto"/>
        <w:bottom w:val="none" w:sz="0" w:space="0" w:color="auto"/>
        <w:right w:val="none" w:sz="0" w:space="0" w:color="auto"/>
      </w:divBdr>
    </w:div>
    <w:div w:id="1827092530">
      <w:bodyDiv w:val="1"/>
      <w:marLeft w:val="0"/>
      <w:marRight w:val="0"/>
      <w:marTop w:val="0"/>
      <w:marBottom w:val="0"/>
      <w:divBdr>
        <w:top w:val="none" w:sz="0" w:space="0" w:color="auto"/>
        <w:left w:val="none" w:sz="0" w:space="0" w:color="auto"/>
        <w:bottom w:val="none" w:sz="0" w:space="0" w:color="auto"/>
        <w:right w:val="none" w:sz="0" w:space="0" w:color="auto"/>
      </w:divBdr>
    </w:div>
    <w:div w:id="18790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package" Target="embeddings/Planilha_do_Microsoft_Office_Excel1.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1" Type="http://schemas.openxmlformats.org/officeDocument/2006/relationships/hyperlink" Target="mailto:anaruiz@economia.uff.b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a\Documents\ANA%20RUIZ\PESQUISA\2010%20SIENA%20POSTDOC\Tecnologia%20y%20cambio%20estructural\Mis%20art&#237;culos\Art&#237;culo%20para%20Structural%20change%20&amp;%20Economic%20Dynamics\C&#225;lculo%20de%20CONVER%20-%20%204%20digitos%20-AS+AL+U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a\Documents\ANA%20RUIZ\PESQUISA\2010%20SIENA%20POSTDOC\Tecnologia%20y%20cambio%20estructural\Mis%20art&#237;culos\Art&#237;culo%20para%20Structural%20change%20&amp;%20Economic%20Dynamics\C&#225;lculo%20de%20CONVER%20-%20%204%20digitos%20-AS+AL+U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a\Documents\ANA%20RUIZ\PESQUISA\2010%20SIENA%20POSTDOC\Tecnologia%20y%20cambio%20estructural\Mis%20art&#237;culos\Art&#237;culo%20para%20Structural%20change%20&amp;%20Economic%20Dynamics\C&#225;lculo%20de%20CONVER%20-%20%204%20digitos%20-AS+AL+U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a\Documents\ANA%20RUIZ\PESQUISA\2010%20SIENA%20POSTDOC\Tecnologia%20y%20cambio%20estructural\Mis%20art&#237;culos\Art&#237;culo%20para%20Structural%20change%20&amp;%20Economic%20Dynamics\C&#225;lculo%20de%20CONVER%20-%20%204%20digitos%20-AS+AL+U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a\Documents\ANA%20RUIZ\PESQUISA\2010%20SIENA%20POSTDOC\Tecnologia%20y%20cambio%20estructural\Mis%20art&#237;culos\Art&#237;culo%20para%20Structural%20change%20&amp;%20Economic%20Dynamics\C&#225;lculo%20de%20CONVER%20-%20%204%20digitos%20-AS+AL+U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ighton\Documents\ANA%20RUIZ\PESQUISA\2010%20SIENA%20POSTDOC\Tecnologia%20y%20cambio%20estructural\Mis%20art&#237;culos\Art&#237;culo%20para%20libro%20de%20Lionello\C&#225;lculo%20de%20CONVER%20-%20clases%20tecnol&#243;gicas%204%20digi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lang="es-ES" sz="1000" baseline="0"/>
            </a:pPr>
            <a:r>
              <a:rPr lang="en-US" sz="1000" baseline="0"/>
              <a:t>UE-Leaders</a:t>
            </a:r>
          </a:p>
        </c:rich>
      </c:tx>
      <c:layout>
        <c:manualLayout>
          <c:xMode val="edge"/>
          <c:yMode val="edge"/>
          <c:x val="0.28574100805754277"/>
          <c:y val="0.78293269230769269"/>
        </c:manualLayout>
      </c:layout>
    </c:title>
    <c:plotArea>
      <c:layout>
        <c:manualLayout>
          <c:layoutTarget val="inner"/>
          <c:xMode val="edge"/>
          <c:yMode val="edge"/>
          <c:x val="7.8024190807372509E-2"/>
          <c:y val="4.6770215843202533E-2"/>
          <c:w val="0.7635716411349468"/>
          <c:h val="0.79569724229178673"/>
        </c:manualLayout>
      </c:layout>
      <c:radarChart>
        <c:radarStyle val="marker"/>
        <c:ser>
          <c:idx val="0"/>
          <c:order val="0"/>
          <c:tx>
            <c:v>Before</c:v>
          </c:tx>
          <c:marker>
            <c:symbol val="none"/>
          </c:marker>
          <c:cat>
            <c:strRef>
              <c:f>Gráficos!$A$3:$A$5</c:f>
              <c:strCache>
                <c:ptCount val="3"/>
                <c:pt idx="0">
                  <c:v>DE</c:v>
                </c:pt>
                <c:pt idx="1">
                  <c:v>FR</c:v>
                </c:pt>
                <c:pt idx="2">
                  <c:v>GB</c:v>
                </c:pt>
              </c:strCache>
            </c:strRef>
          </c:cat>
          <c:val>
            <c:numRef>
              <c:f>Gráficos!$B$3:$B$5</c:f>
              <c:numCache>
                <c:formatCode>General</c:formatCode>
                <c:ptCount val="3"/>
                <c:pt idx="0">
                  <c:v>5.7691785354746727E-2</c:v>
                </c:pt>
                <c:pt idx="1">
                  <c:v>0.14193461990945658</c:v>
                </c:pt>
                <c:pt idx="2">
                  <c:v>0.19163146520936489</c:v>
                </c:pt>
              </c:numCache>
            </c:numRef>
          </c:val>
        </c:ser>
        <c:ser>
          <c:idx val="1"/>
          <c:order val="1"/>
          <c:tx>
            <c:v>After</c:v>
          </c:tx>
          <c:marker>
            <c:symbol val="none"/>
          </c:marker>
          <c:dPt>
            <c:idx val="0"/>
            <c:spPr>
              <a:ln>
                <a:prstDash val="sysDash"/>
              </a:ln>
            </c:spPr>
          </c:dPt>
          <c:dPt>
            <c:idx val="1"/>
            <c:spPr>
              <a:ln>
                <a:prstDash val="sysDash"/>
              </a:ln>
            </c:spPr>
          </c:dPt>
          <c:dPt>
            <c:idx val="2"/>
            <c:spPr>
              <a:ln>
                <a:prstDash val="sysDash"/>
              </a:ln>
            </c:spPr>
          </c:dPt>
          <c:cat>
            <c:strRef>
              <c:f>Gráficos!$A$3:$A$5</c:f>
              <c:strCache>
                <c:ptCount val="3"/>
                <c:pt idx="0">
                  <c:v>DE</c:v>
                </c:pt>
                <c:pt idx="1">
                  <c:v>FR</c:v>
                </c:pt>
                <c:pt idx="2">
                  <c:v>GB</c:v>
                </c:pt>
              </c:strCache>
            </c:strRef>
          </c:cat>
          <c:val>
            <c:numRef>
              <c:f>Gráficos!$C$3:$C$5</c:f>
              <c:numCache>
                <c:formatCode>General</c:formatCode>
                <c:ptCount val="3"/>
                <c:pt idx="0">
                  <c:v>8.6911954546757653E-2</c:v>
                </c:pt>
                <c:pt idx="1">
                  <c:v>0.14933665298607521</c:v>
                </c:pt>
                <c:pt idx="2">
                  <c:v>0.28694922496770858</c:v>
                </c:pt>
              </c:numCache>
            </c:numRef>
          </c:val>
        </c:ser>
        <c:axId val="141912320"/>
        <c:axId val="141919360"/>
      </c:radarChart>
      <c:catAx>
        <c:axId val="141912320"/>
        <c:scaling>
          <c:orientation val="minMax"/>
        </c:scaling>
        <c:axPos val="b"/>
        <c:majorGridlines/>
        <c:majorTickMark val="none"/>
        <c:tickLblPos val="nextTo"/>
        <c:spPr>
          <a:ln w="9525">
            <a:noFill/>
          </a:ln>
        </c:spPr>
        <c:txPr>
          <a:bodyPr/>
          <a:lstStyle/>
          <a:p>
            <a:pPr>
              <a:defRPr lang="es-ES" sz="700" baseline="0"/>
            </a:pPr>
            <a:endParaRPr lang="pt-BR"/>
          </a:p>
        </c:txPr>
        <c:crossAx val="141919360"/>
        <c:crosses val="autoZero"/>
        <c:auto val="1"/>
        <c:lblAlgn val="ctr"/>
        <c:lblOffset val="100"/>
      </c:catAx>
      <c:valAx>
        <c:axId val="141919360"/>
        <c:scaling>
          <c:orientation val="minMax"/>
          <c:max val="0.30000000000000032"/>
          <c:min val="0"/>
        </c:scaling>
        <c:axPos val="l"/>
        <c:majorGridlines/>
        <c:numFmt formatCode="General" sourceLinked="1"/>
        <c:majorTickMark val="none"/>
        <c:tickLblPos val="nextTo"/>
        <c:txPr>
          <a:bodyPr/>
          <a:lstStyle/>
          <a:p>
            <a:pPr>
              <a:defRPr lang="es-ES" sz="600" baseline="0"/>
            </a:pPr>
            <a:endParaRPr lang="pt-BR"/>
          </a:p>
        </c:txPr>
        <c:crossAx val="141912320"/>
        <c:crosses val="autoZero"/>
        <c:crossBetween val="between"/>
        <c:majorUnit val="5.0000000000000114E-2"/>
        <c:minorUnit val="1.0000000000000047E-2"/>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lang="es-ES" sz="1000" baseline="0"/>
            </a:pPr>
            <a:r>
              <a:rPr lang="pt-BR" sz="1000" baseline="0"/>
              <a:t>UE-Medium</a:t>
            </a:r>
          </a:p>
        </c:rich>
      </c:tx>
      <c:layout>
        <c:manualLayout>
          <c:xMode val="edge"/>
          <c:yMode val="edge"/>
          <c:x val="0.47887434845292232"/>
          <c:y val="0.88587438198131485"/>
        </c:manualLayout>
      </c:layout>
    </c:title>
    <c:plotArea>
      <c:layout>
        <c:manualLayout>
          <c:layoutTarget val="inner"/>
          <c:xMode val="edge"/>
          <c:yMode val="edge"/>
          <c:x val="0.13641861668700045"/>
          <c:y val="0.15208203625709776"/>
          <c:w val="0.67725407563491835"/>
          <c:h val="0.74550448635781064"/>
        </c:manualLayout>
      </c:layout>
      <c:radarChart>
        <c:radarStyle val="marker"/>
        <c:ser>
          <c:idx val="0"/>
          <c:order val="0"/>
          <c:marker>
            <c:symbol val="none"/>
          </c:marker>
          <c:cat>
            <c:strRef>
              <c:f>Gráficos!$A$6:$A$12</c:f>
              <c:strCache>
                <c:ptCount val="7"/>
                <c:pt idx="0">
                  <c:v>IT</c:v>
                </c:pt>
                <c:pt idx="1">
                  <c:v>NL</c:v>
                </c:pt>
                <c:pt idx="2">
                  <c:v>SE</c:v>
                </c:pt>
                <c:pt idx="3">
                  <c:v>AU</c:v>
                </c:pt>
                <c:pt idx="4">
                  <c:v>Belux</c:v>
                </c:pt>
                <c:pt idx="5">
                  <c:v>FI</c:v>
                </c:pt>
                <c:pt idx="6">
                  <c:v>DK</c:v>
                </c:pt>
              </c:strCache>
            </c:strRef>
          </c:cat>
          <c:val>
            <c:numRef>
              <c:f>Gráficos!$B$6:$B$12</c:f>
              <c:numCache>
                <c:formatCode>General</c:formatCode>
                <c:ptCount val="7"/>
                <c:pt idx="0">
                  <c:v>0.37056276235250829</c:v>
                </c:pt>
                <c:pt idx="1">
                  <c:v>0.76677116278436863</c:v>
                </c:pt>
                <c:pt idx="2">
                  <c:v>0.65666335172056889</c:v>
                </c:pt>
                <c:pt idx="3">
                  <c:v>1.0695548328186095</c:v>
                </c:pt>
                <c:pt idx="4">
                  <c:v>1.3884498415884627</c:v>
                </c:pt>
                <c:pt idx="5">
                  <c:v>2.5556287605270298</c:v>
                </c:pt>
                <c:pt idx="6">
                  <c:v>1.3265926735625035</c:v>
                </c:pt>
              </c:numCache>
            </c:numRef>
          </c:val>
        </c:ser>
        <c:ser>
          <c:idx val="1"/>
          <c:order val="1"/>
          <c:spPr>
            <a:ln>
              <a:prstDash val="sysDash"/>
            </a:ln>
          </c:spPr>
          <c:marker>
            <c:symbol val="none"/>
          </c:marker>
          <c:cat>
            <c:strRef>
              <c:f>Gráficos!$A$6:$A$12</c:f>
              <c:strCache>
                <c:ptCount val="7"/>
                <c:pt idx="0">
                  <c:v>IT</c:v>
                </c:pt>
                <c:pt idx="1">
                  <c:v>NL</c:v>
                </c:pt>
                <c:pt idx="2">
                  <c:v>SE</c:v>
                </c:pt>
                <c:pt idx="3">
                  <c:v>AU</c:v>
                </c:pt>
                <c:pt idx="4">
                  <c:v>Belux</c:v>
                </c:pt>
                <c:pt idx="5">
                  <c:v>FI</c:v>
                </c:pt>
                <c:pt idx="6">
                  <c:v>DK</c:v>
                </c:pt>
              </c:strCache>
            </c:strRef>
          </c:cat>
          <c:val>
            <c:numRef>
              <c:f>Gráficos!$C$6:$C$12</c:f>
              <c:numCache>
                <c:formatCode>General</c:formatCode>
                <c:ptCount val="7"/>
                <c:pt idx="0">
                  <c:v>0.51304545027021364</c:v>
                </c:pt>
                <c:pt idx="1">
                  <c:v>1.0189105145006261</c:v>
                </c:pt>
                <c:pt idx="2">
                  <c:v>0.53117283792087722</c:v>
                </c:pt>
                <c:pt idx="3">
                  <c:v>0.76125711021103271</c:v>
                </c:pt>
                <c:pt idx="4">
                  <c:v>0.82607736214477689</c:v>
                </c:pt>
                <c:pt idx="5">
                  <c:v>1.9751909839648405</c:v>
                </c:pt>
                <c:pt idx="6">
                  <c:v>1.3127472112786127</c:v>
                </c:pt>
              </c:numCache>
            </c:numRef>
          </c:val>
        </c:ser>
        <c:axId val="146688640"/>
        <c:axId val="146739968"/>
      </c:radarChart>
      <c:catAx>
        <c:axId val="146688640"/>
        <c:scaling>
          <c:orientation val="minMax"/>
        </c:scaling>
        <c:axPos val="b"/>
        <c:majorGridlines/>
        <c:majorTickMark val="none"/>
        <c:tickLblPos val="nextTo"/>
        <c:spPr>
          <a:ln w="9525">
            <a:noFill/>
          </a:ln>
        </c:spPr>
        <c:txPr>
          <a:bodyPr/>
          <a:lstStyle/>
          <a:p>
            <a:pPr>
              <a:defRPr lang="es-ES" sz="700" baseline="0"/>
            </a:pPr>
            <a:endParaRPr lang="pt-BR"/>
          </a:p>
        </c:txPr>
        <c:crossAx val="146739968"/>
        <c:crosses val="autoZero"/>
        <c:auto val="1"/>
        <c:lblAlgn val="ctr"/>
        <c:lblOffset val="100"/>
      </c:catAx>
      <c:valAx>
        <c:axId val="146739968"/>
        <c:scaling>
          <c:orientation val="minMax"/>
        </c:scaling>
        <c:axPos val="l"/>
        <c:majorGridlines/>
        <c:numFmt formatCode="General" sourceLinked="1"/>
        <c:majorTickMark val="none"/>
        <c:tickLblPos val="nextTo"/>
        <c:txPr>
          <a:bodyPr/>
          <a:lstStyle/>
          <a:p>
            <a:pPr>
              <a:defRPr lang="es-ES" sz="600" baseline="0"/>
            </a:pPr>
            <a:endParaRPr lang="pt-BR"/>
          </a:p>
        </c:txPr>
        <c:crossAx val="14668864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lang="es-ES" sz="1000" baseline="0"/>
            </a:pPr>
            <a:r>
              <a:rPr lang="pt-BR" sz="1000" baseline="0"/>
              <a:t>UE-Delayers</a:t>
            </a:r>
          </a:p>
        </c:rich>
      </c:tx>
      <c:layout>
        <c:manualLayout>
          <c:xMode val="edge"/>
          <c:yMode val="edge"/>
          <c:x val="0.60576765553708778"/>
          <c:y val="0.79867944186859974"/>
        </c:manualLayout>
      </c:layout>
    </c:title>
    <c:plotArea>
      <c:layout>
        <c:manualLayout>
          <c:layoutTarget val="inner"/>
          <c:xMode val="edge"/>
          <c:yMode val="edge"/>
          <c:x val="0.12677113070029594"/>
          <c:y val="0.12771925902801071"/>
          <c:w val="0.58011044187204486"/>
          <c:h val="0.80257148473180939"/>
        </c:manualLayout>
      </c:layout>
      <c:radarChart>
        <c:radarStyle val="marker"/>
        <c:ser>
          <c:idx val="0"/>
          <c:order val="0"/>
          <c:tx>
            <c:strRef>
              <c:f>'Nuevos Gráficos'!$B$2</c:f>
              <c:strCache>
                <c:ptCount val="1"/>
                <c:pt idx="0">
                  <c:v>1985-1993</c:v>
                </c:pt>
              </c:strCache>
            </c:strRef>
          </c:tx>
          <c:marker>
            <c:symbol val="none"/>
          </c:marker>
          <c:cat>
            <c:strRef>
              <c:f>'Nuevos Gráficos'!$A$13:$A$16</c:f>
              <c:strCache>
                <c:ptCount val="4"/>
                <c:pt idx="0">
                  <c:v>ES</c:v>
                </c:pt>
                <c:pt idx="1">
                  <c:v>IL</c:v>
                </c:pt>
                <c:pt idx="2">
                  <c:v>GR</c:v>
                </c:pt>
                <c:pt idx="3">
                  <c:v>PT</c:v>
                </c:pt>
              </c:strCache>
            </c:strRef>
          </c:cat>
          <c:val>
            <c:numRef>
              <c:f>'Nuevos Gráficos'!$B$13:$B$16</c:f>
              <c:numCache>
                <c:formatCode>General</c:formatCode>
                <c:ptCount val="4"/>
                <c:pt idx="0">
                  <c:v>1.0199219265604438</c:v>
                </c:pt>
                <c:pt idx="1">
                  <c:v>2.2262994984886797</c:v>
                </c:pt>
                <c:pt idx="2">
                  <c:v>4.7247729338932336</c:v>
                </c:pt>
                <c:pt idx="3">
                  <c:v>21.590646769391789</c:v>
                </c:pt>
              </c:numCache>
            </c:numRef>
          </c:val>
        </c:ser>
        <c:ser>
          <c:idx val="1"/>
          <c:order val="1"/>
          <c:tx>
            <c:strRef>
              <c:f>'Nuevos Gráficos'!$C$2</c:f>
              <c:strCache>
                <c:ptCount val="1"/>
                <c:pt idx="0">
                  <c:v>2001-2008</c:v>
                </c:pt>
              </c:strCache>
            </c:strRef>
          </c:tx>
          <c:spPr>
            <a:ln>
              <a:prstDash val="sysDot"/>
            </a:ln>
          </c:spPr>
          <c:marker>
            <c:symbol val="none"/>
          </c:marker>
          <c:cat>
            <c:strRef>
              <c:f>'Nuevos Gráficos'!$A$13:$A$16</c:f>
              <c:strCache>
                <c:ptCount val="4"/>
                <c:pt idx="0">
                  <c:v>ES</c:v>
                </c:pt>
                <c:pt idx="1">
                  <c:v>IL</c:v>
                </c:pt>
                <c:pt idx="2">
                  <c:v>GR</c:v>
                </c:pt>
                <c:pt idx="3">
                  <c:v>PT</c:v>
                </c:pt>
              </c:strCache>
            </c:strRef>
          </c:cat>
          <c:val>
            <c:numRef>
              <c:f>'Nuevos Gráficos'!$C$13:$C$16</c:f>
              <c:numCache>
                <c:formatCode>General</c:formatCode>
                <c:ptCount val="4"/>
                <c:pt idx="0">
                  <c:v>0.57924575053380956</c:v>
                </c:pt>
                <c:pt idx="1">
                  <c:v>1.2621648052095558</c:v>
                </c:pt>
                <c:pt idx="2">
                  <c:v>3.3871183464355652</c:v>
                </c:pt>
                <c:pt idx="3">
                  <c:v>4.5030995730205943</c:v>
                </c:pt>
              </c:numCache>
            </c:numRef>
          </c:val>
        </c:ser>
        <c:axId val="168227200"/>
        <c:axId val="168229120"/>
      </c:radarChart>
      <c:catAx>
        <c:axId val="168227200"/>
        <c:scaling>
          <c:orientation val="minMax"/>
        </c:scaling>
        <c:axPos val="b"/>
        <c:majorGridlines/>
        <c:majorTickMark val="none"/>
        <c:tickLblPos val="nextTo"/>
        <c:spPr>
          <a:ln w="9525">
            <a:noFill/>
          </a:ln>
        </c:spPr>
        <c:txPr>
          <a:bodyPr/>
          <a:lstStyle/>
          <a:p>
            <a:pPr>
              <a:defRPr lang="es-ES" sz="700" baseline="0"/>
            </a:pPr>
            <a:endParaRPr lang="pt-BR"/>
          </a:p>
        </c:txPr>
        <c:crossAx val="168229120"/>
        <c:crosses val="autoZero"/>
        <c:auto val="1"/>
        <c:lblAlgn val="ctr"/>
        <c:lblOffset val="100"/>
      </c:catAx>
      <c:valAx>
        <c:axId val="168229120"/>
        <c:scaling>
          <c:orientation val="minMax"/>
        </c:scaling>
        <c:axPos val="l"/>
        <c:majorGridlines/>
        <c:numFmt formatCode="General" sourceLinked="1"/>
        <c:majorTickMark val="none"/>
        <c:tickLblPos val="nextTo"/>
        <c:txPr>
          <a:bodyPr/>
          <a:lstStyle/>
          <a:p>
            <a:pPr>
              <a:defRPr lang="es-ES" sz="600" baseline="0"/>
            </a:pPr>
            <a:endParaRPr lang="pt-BR"/>
          </a:p>
        </c:txPr>
        <c:crossAx val="168227200"/>
        <c:crosses val="autoZero"/>
        <c:crossBetween val="between"/>
      </c:valAx>
    </c:plotArea>
    <c:legend>
      <c:legendPos val="r"/>
      <c:layout>
        <c:manualLayout>
          <c:xMode val="edge"/>
          <c:yMode val="edge"/>
          <c:x val="0.52838471137322951"/>
          <c:y val="3.3286312779184958E-2"/>
          <c:w val="0.4468395965554473"/>
          <c:h val="0.13023395604961147"/>
        </c:manualLayout>
      </c:layout>
      <c:txPr>
        <a:bodyPr/>
        <a:lstStyle/>
        <a:p>
          <a:pPr>
            <a:defRPr lang="es-ES" sz="600" baseline="0"/>
          </a:pPr>
          <a:endParaRPr lang="pt-BR"/>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lang="es-ES" sz="1000" baseline="0"/>
            </a:pPr>
            <a:r>
              <a:rPr lang="pt-BR" sz="1000" baseline="0"/>
              <a:t>UE-15</a:t>
            </a:r>
          </a:p>
        </c:rich>
      </c:tx>
      <c:layout>
        <c:manualLayout>
          <c:xMode val="edge"/>
          <c:yMode val="edge"/>
          <c:x val="0.79868191759596463"/>
          <c:y val="0.85473480163802285"/>
        </c:manualLayout>
      </c:layout>
    </c:title>
    <c:plotArea>
      <c:layout>
        <c:manualLayout>
          <c:layoutTarget val="inner"/>
          <c:xMode val="edge"/>
          <c:yMode val="edge"/>
          <c:x val="0.15110402032776096"/>
          <c:y val="0.20240591945761549"/>
          <c:w val="0.70058562594929852"/>
          <c:h val="0.59129808620652669"/>
        </c:manualLayout>
      </c:layout>
      <c:radarChart>
        <c:radarStyle val="marker"/>
        <c:ser>
          <c:idx val="0"/>
          <c:order val="0"/>
          <c:tx>
            <c:strRef>
              <c:f>'Nuevos Gráficos'!$B$2</c:f>
              <c:strCache>
                <c:ptCount val="1"/>
                <c:pt idx="0">
                  <c:v>1985-1993</c:v>
                </c:pt>
              </c:strCache>
            </c:strRef>
          </c:tx>
          <c:marker>
            <c:symbol val="none"/>
          </c:marker>
          <c:cat>
            <c:strRef>
              <c:f>'Nuevos Gráficos'!$A$3:$A$16</c:f>
              <c:strCache>
                <c:ptCount val="14"/>
                <c:pt idx="0">
                  <c:v>DE</c:v>
                </c:pt>
                <c:pt idx="1">
                  <c:v>FR</c:v>
                </c:pt>
                <c:pt idx="2">
                  <c:v>GB</c:v>
                </c:pt>
                <c:pt idx="3">
                  <c:v>IT</c:v>
                </c:pt>
                <c:pt idx="4">
                  <c:v>NL</c:v>
                </c:pt>
                <c:pt idx="5">
                  <c:v>SE</c:v>
                </c:pt>
                <c:pt idx="6">
                  <c:v>AU</c:v>
                </c:pt>
                <c:pt idx="7">
                  <c:v>Belux</c:v>
                </c:pt>
                <c:pt idx="8">
                  <c:v>FI</c:v>
                </c:pt>
                <c:pt idx="9">
                  <c:v>DK</c:v>
                </c:pt>
                <c:pt idx="10">
                  <c:v>ES</c:v>
                </c:pt>
                <c:pt idx="11">
                  <c:v>IL</c:v>
                </c:pt>
                <c:pt idx="12">
                  <c:v>GR</c:v>
                </c:pt>
                <c:pt idx="13">
                  <c:v>PT</c:v>
                </c:pt>
              </c:strCache>
            </c:strRef>
          </c:cat>
          <c:val>
            <c:numRef>
              <c:f>'Nuevos Gráficos'!$B$3:$B$16</c:f>
              <c:numCache>
                <c:formatCode>General</c:formatCode>
                <c:ptCount val="14"/>
                <c:pt idx="0">
                  <c:v>5.7691785354746616E-2</c:v>
                </c:pt>
                <c:pt idx="1">
                  <c:v>0.14193461990945658</c:v>
                </c:pt>
                <c:pt idx="2">
                  <c:v>0.19163146520936469</c:v>
                </c:pt>
                <c:pt idx="3">
                  <c:v>0.37056276235250829</c:v>
                </c:pt>
                <c:pt idx="4">
                  <c:v>0.76677116278436863</c:v>
                </c:pt>
                <c:pt idx="5">
                  <c:v>0.65666335172056889</c:v>
                </c:pt>
                <c:pt idx="6">
                  <c:v>1.0695548328186095</c:v>
                </c:pt>
                <c:pt idx="7">
                  <c:v>1.3884498415884627</c:v>
                </c:pt>
                <c:pt idx="8">
                  <c:v>2.5556287605270298</c:v>
                </c:pt>
                <c:pt idx="9">
                  <c:v>1.3265926735625035</c:v>
                </c:pt>
                <c:pt idx="10">
                  <c:v>1.0199219265604438</c:v>
                </c:pt>
                <c:pt idx="11">
                  <c:v>2.2262994984886797</c:v>
                </c:pt>
                <c:pt idx="12">
                  <c:v>4.7247729338932336</c:v>
                </c:pt>
                <c:pt idx="13">
                  <c:v>21.590646769391789</c:v>
                </c:pt>
              </c:numCache>
            </c:numRef>
          </c:val>
        </c:ser>
        <c:ser>
          <c:idx val="1"/>
          <c:order val="1"/>
          <c:tx>
            <c:strRef>
              <c:f>'Nuevos Gráficos'!$C$2</c:f>
              <c:strCache>
                <c:ptCount val="1"/>
                <c:pt idx="0">
                  <c:v>2001-2008</c:v>
                </c:pt>
              </c:strCache>
            </c:strRef>
          </c:tx>
          <c:spPr>
            <a:ln>
              <a:prstDash val="sysDash"/>
            </a:ln>
          </c:spPr>
          <c:marker>
            <c:symbol val="none"/>
          </c:marker>
          <c:cat>
            <c:strRef>
              <c:f>'Nuevos Gráficos'!$A$3:$A$16</c:f>
              <c:strCache>
                <c:ptCount val="14"/>
                <c:pt idx="0">
                  <c:v>DE</c:v>
                </c:pt>
                <c:pt idx="1">
                  <c:v>FR</c:v>
                </c:pt>
                <c:pt idx="2">
                  <c:v>GB</c:v>
                </c:pt>
                <c:pt idx="3">
                  <c:v>IT</c:v>
                </c:pt>
                <c:pt idx="4">
                  <c:v>NL</c:v>
                </c:pt>
                <c:pt idx="5">
                  <c:v>SE</c:v>
                </c:pt>
                <c:pt idx="6">
                  <c:v>AU</c:v>
                </c:pt>
                <c:pt idx="7">
                  <c:v>Belux</c:v>
                </c:pt>
                <c:pt idx="8">
                  <c:v>FI</c:v>
                </c:pt>
                <c:pt idx="9">
                  <c:v>DK</c:v>
                </c:pt>
                <c:pt idx="10">
                  <c:v>ES</c:v>
                </c:pt>
                <c:pt idx="11">
                  <c:v>IL</c:v>
                </c:pt>
                <c:pt idx="12">
                  <c:v>GR</c:v>
                </c:pt>
                <c:pt idx="13">
                  <c:v>PT</c:v>
                </c:pt>
              </c:strCache>
            </c:strRef>
          </c:cat>
          <c:val>
            <c:numRef>
              <c:f>'Nuevos Gráficos'!$C$3:$C$16</c:f>
              <c:numCache>
                <c:formatCode>General</c:formatCode>
                <c:ptCount val="14"/>
                <c:pt idx="0">
                  <c:v>8.6911954546757653E-2</c:v>
                </c:pt>
                <c:pt idx="1">
                  <c:v>0.14933665298607521</c:v>
                </c:pt>
                <c:pt idx="2">
                  <c:v>0.28694922496770858</c:v>
                </c:pt>
                <c:pt idx="3">
                  <c:v>0.51304545027021364</c:v>
                </c:pt>
                <c:pt idx="4">
                  <c:v>1.0189105145006261</c:v>
                </c:pt>
                <c:pt idx="5">
                  <c:v>0.53117283792087722</c:v>
                </c:pt>
                <c:pt idx="6">
                  <c:v>0.76125711021103271</c:v>
                </c:pt>
                <c:pt idx="7">
                  <c:v>0.82607736214477689</c:v>
                </c:pt>
                <c:pt idx="8">
                  <c:v>1.9751909839648405</c:v>
                </c:pt>
                <c:pt idx="9">
                  <c:v>1.3127472112786127</c:v>
                </c:pt>
                <c:pt idx="10">
                  <c:v>0.57924575053380956</c:v>
                </c:pt>
                <c:pt idx="11">
                  <c:v>1.2621648052095558</c:v>
                </c:pt>
                <c:pt idx="12">
                  <c:v>3.3871183464355652</c:v>
                </c:pt>
                <c:pt idx="13">
                  <c:v>4.5030995730205943</c:v>
                </c:pt>
              </c:numCache>
            </c:numRef>
          </c:val>
        </c:ser>
        <c:axId val="168562048"/>
        <c:axId val="52577408"/>
      </c:radarChart>
      <c:catAx>
        <c:axId val="168562048"/>
        <c:scaling>
          <c:orientation val="minMax"/>
        </c:scaling>
        <c:axPos val="b"/>
        <c:majorGridlines/>
        <c:majorTickMark val="none"/>
        <c:tickLblPos val="nextTo"/>
        <c:spPr>
          <a:ln w="9525">
            <a:noFill/>
          </a:ln>
        </c:spPr>
        <c:txPr>
          <a:bodyPr/>
          <a:lstStyle/>
          <a:p>
            <a:pPr>
              <a:defRPr lang="es-ES" sz="690" baseline="0"/>
            </a:pPr>
            <a:endParaRPr lang="pt-BR"/>
          </a:p>
        </c:txPr>
        <c:crossAx val="52577408"/>
        <c:crosses val="autoZero"/>
        <c:auto val="1"/>
        <c:lblAlgn val="ctr"/>
        <c:lblOffset val="100"/>
      </c:catAx>
      <c:valAx>
        <c:axId val="52577408"/>
        <c:scaling>
          <c:orientation val="minMax"/>
        </c:scaling>
        <c:axPos val="l"/>
        <c:majorGridlines/>
        <c:numFmt formatCode="General" sourceLinked="1"/>
        <c:majorTickMark val="none"/>
        <c:tickLblPos val="nextTo"/>
        <c:txPr>
          <a:bodyPr/>
          <a:lstStyle/>
          <a:p>
            <a:pPr>
              <a:defRPr lang="es-ES" sz="600" baseline="0"/>
            </a:pPr>
            <a:endParaRPr lang="pt-BR"/>
          </a:p>
        </c:txPr>
        <c:crossAx val="168562048"/>
        <c:crosses val="autoZero"/>
        <c:crossBetween val="between"/>
      </c:valAx>
    </c:plotArea>
    <c:legend>
      <c:legendPos val="r"/>
      <c:layout>
        <c:manualLayout>
          <c:xMode val="edge"/>
          <c:yMode val="edge"/>
          <c:x val="0"/>
          <c:y val="0.92404484693811051"/>
          <c:w val="0.4468395965554473"/>
          <c:h val="7.2654529207718394E-2"/>
        </c:manualLayout>
      </c:layout>
      <c:txPr>
        <a:bodyPr/>
        <a:lstStyle/>
        <a:p>
          <a:pPr>
            <a:defRPr lang="es-ES" sz="600" baseline="0"/>
          </a:pPr>
          <a:endParaRPr lang="pt-BR"/>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lang="es-ES"/>
            </a:pPr>
            <a:r>
              <a:rPr lang="pt-BR" sz="1000" baseline="0"/>
              <a:t>UE-15</a:t>
            </a:r>
          </a:p>
          <a:p>
            <a:pPr>
              <a:defRPr lang="es-ES"/>
            </a:pPr>
            <a:r>
              <a:rPr lang="pt-BR" sz="700" baseline="0"/>
              <a:t>(without 'Portugal' effect)</a:t>
            </a:r>
          </a:p>
        </c:rich>
      </c:tx>
      <c:layout>
        <c:manualLayout>
          <c:xMode val="edge"/>
          <c:yMode val="edge"/>
          <c:x val="0.24100623921412512"/>
          <c:y val="0.84298186330251201"/>
        </c:manualLayout>
      </c:layout>
    </c:title>
    <c:plotArea>
      <c:layout>
        <c:manualLayout>
          <c:layoutTarget val="inner"/>
          <c:xMode val="edge"/>
          <c:yMode val="edge"/>
          <c:x val="7.7089895013123411E-2"/>
          <c:y val="6.3816787607432493E-2"/>
          <c:w val="0.75496285579143596"/>
          <c:h val="0.79249240903710549"/>
        </c:manualLayout>
      </c:layout>
      <c:radarChart>
        <c:radarStyle val="marker"/>
        <c:ser>
          <c:idx val="0"/>
          <c:order val="0"/>
          <c:tx>
            <c:strRef>
              <c:f>'Nuevos Gráficos'!$B$2</c:f>
              <c:strCache>
                <c:ptCount val="1"/>
                <c:pt idx="0">
                  <c:v>1985-1993</c:v>
                </c:pt>
              </c:strCache>
            </c:strRef>
          </c:tx>
          <c:marker>
            <c:symbol val="none"/>
          </c:marker>
          <c:cat>
            <c:strRef>
              <c:f>'Nuevos Gráficos'!$A$3:$A$15</c:f>
              <c:strCache>
                <c:ptCount val="13"/>
                <c:pt idx="0">
                  <c:v>DE</c:v>
                </c:pt>
                <c:pt idx="1">
                  <c:v>FR</c:v>
                </c:pt>
                <c:pt idx="2">
                  <c:v>GB</c:v>
                </c:pt>
                <c:pt idx="3">
                  <c:v>IT</c:v>
                </c:pt>
                <c:pt idx="4">
                  <c:v>NL</c:v>
                </c:pt>
                <c:pt idx="5">
                  <c:v>SE</c:v>
                </c:pt>
                <c:pt idx="6">
                  <c:v>AU</c:v>
                </c:pt>
                <c:pt idx="7">
                  <c:v>Belux</c:v>
                </c:pt>
                <c:pt idx="8">
                  <c:v>FI</c:v>
                </c:pt>
                <c:pt idx="9">
                  <c:v>DK</c:v>
                </c:pt>
                <c:pt idx="10">
                  <c:v>ES</c:v>
                </c:pt>
                <c:pt idx="11">
                  <c:v>IL</c:v>
                </c:pt>
                <c:pt idx="12">
                  <c:v>GR</c:v>
                </c:pt>
              </c:strCache>
            </c:strRef>
          </c:cat>
          <c:val>
            <c:numRef>
              <c:f>'Nuevos Gráficos'!$B$3:$B$15</c:f>
              <c:numCache>
                <c:formatCode>General</c:formatCode>
                <c:ptCount val="13"/>
                <c:pt idx="0">
                  <c:v>5.7691785354746589E-2</c:v>
                </c:pt>
                <c:pt idx="1">
                  <c:v>0.14193461990945658</c:v>
                </c:pt>
                <c:pt idx="2">
                  <c:v>0.19163146520936469</c:v>
                </c:pt>
                <c:pt idx="3">
                  <c:v>0.37056276235250807</c:v>
                </c:pt>
                <c:pt idx="4">
                  <c:v>0.76677116278436863</c:v>
                </c:pt>
                <c:pt idx="5">
                  <c:v>0.65666335172056889</c:v>
                </c:pt>
                <c:pt idx="6">
                  <c:v>1.0695548328186095</c:v>
                </c:pt>
                <c:pt idx="7">
                  <c:v>1.3884498415884627</c:v>
                </c:pt>
                <c:pt idx="8">
                  <c:v>2.5556287605270298</c:v>
                </c:pt>
                <c:pt idx="9">
                  <c:v>1.3265926735625035</c:v>
                </c:pt>
                <c:pt idx="10">
                  <c:v>1.0199219265604438</c:v>
                </c:pt>
                <c:pt idx="11">
                  <c:v>2.2262994984886797</c:v>
                </c:pt>
                <c:pt idx="12">
                  <c:v>4.7247729338932336</c:v>
                </c:pt>
              </c:numCache>
            </c:numRef>
          </c:val>
        </c:ser>
        <c:ser>
          <c:idx val="1"/>
          <c:order val="1"/>
          <c:tx>
            <c:strRef>
              <c:f>'Nuevos Gráficos'!$C$2</c:f>
              <c:strCache>
                <c:ptCount val="1"/>
                <c:pt idx="0">
                  <c:v>2001-2008</c:v>
                </c:pt>
              </c:strCache>
            </c:strRef>
          </c:tx>
          <c:spPr>
            <a:ln>
              <a:prstDash val="sysDash"/>
            </a:ln>
          </c:spPr>
          <c:marker>
            <c:symbol val="none"/>
          </c:marker>
          <c:cat>
            <c:strRef>
              <c:f>'Nuevos Gráficos'!$A$3:$A$15</c:f>
              <c:strCache>
                <c:ptCount val="13"/>
                <c:pt idx="0">
                  <c:v>DE</c:v>
                </c:pt>
                <c:pt idx="1">
                  <c:v>FR</c:v>
                </c:pt>
                <c:pt idx="2">
                  <c:v>GB</c:v>
                </c:pt>
                <c:pt idx="3">
                  <c:v>IT</c:v>
                </c:pt>
                <c:pt idx="4">
                  <c:v>NL</c:v>
                </c:pt>
                <c:pt idx="5">
                  <c:v>SE</c:v>
                </c:pt>
                <c:pt idx="6">
                  <c:v>AU</c:v>
                </c:pt>
                <c:pt idx="7">
                  <c:v>Belux</c:v>
                </c:pt>
                <c:pt idx="8">
                  <c:v>FI</c:v>
                </c:pt>
                <c:pt idx="9">
                  <c:v>DK</c:v>
                </c:pt>
                <c:pt idx="10">
                  <c:v>ES</c:v>
                </c:pt>
                <c:pt idx="11">
                  <c:v>IL</c:v>
                </c:pt>
                <c:pt idx="12">
                  <c:v>GR</c:v>
                </c:pt>
              </c:strCache>
            </c:strRef>
          </c:cat>
          <c:val>
            <c:numRef>
              <c:f>'Nuevos Gráficos'!$C$3:$C$15</c:f>
              <c:numCache>
                <c:formatCode>General</c:formatCode>
                <c:ptCount val="13"/>
                <c:pt idx="0">
                  <c:v>8.6911954546757653E-2</c:v>
                </c:pt>
                <c:pt idx="1">
                  <c:v>0.14933665298607521</c:v>
                </c:pt>
                <c:pt idx="2">
                  <c:v>0.28694922496770858</c:v>
                </c:pt>
                <c:pt idx="3">
                  <c:v>0.51304545027021364</c:v>
                </c:pt>
                <c:pt idx="4">
                  <c:v>1.0189105145006261</c:v>
                </c:pt>
                <c:pt idx="5">
                  <c:v>0.53117283792087699</c:v>
                </c:pt>
                <c:pt idx="6">
                  <c:v>0.76125711021103271</c:v>
                </c:pt>
                <c:pt idx="7">
                  <c:v>0.82607736214477656</c:v>
                </c:pt>
                <c:pt idx="8">
                  <c:v>1.9751909839648405</c:v>
                </c:pt>
                <c:pt idx="9">
                  <c:v>1.3127472112786127</c:v>
                </c:pt>
                <c:pt idx="10">
                  <c:v>0.57924575053380911</c:v>
                </c:pt>
                <c:pt idx="11">
                  <c:v>1.2621648052095558</c:v>
                </c:pt>
                <c:pt idx="12">
                  <c:v>3.3871183464355652</c:v>
                </c:pt>
              </c:numCache>
            </c:numRef>
          </c:val>
        </c:ser>
        <c:axId val="52598272"/>
        <c:axId val="52599808"/>
      </c:radarChart>
      <c:catAx>
        <c:axId val="52598272"/>
        <c:scaling>
          <c:orientation val="minMax"/>
        </c:scaling>
        <c:axPos val="b"/>
        <c:majorGridlines/>
        <c:majorTickMark val="none"/>
        <c:tickLblPos val="nextTo"/>
        <c:spPr>
          <a:ln w="9525">
            <a:noFill/>
          </a:ln>
        </c:spPr>
        <c:txPr>
          <a:bodyPr/>
          <a:lstStyle/>
          <a:p>
            <a:pPr>
              <a:defRPr lang="es-ES" sz="700" baseline="0"/>
            </a:pPr>
            <a:endParaRPr lang="pt-BR"/>
          </a:p>
        </c:txPr>
        <c:crossAx val="52599808"/>
        <c:crosses val="autoZero"/>
        <c:auto val="1"/>
        <c:lblAlgn val="ctr"/>
        <c:lblOffset val="100"/>
      </c:catAx>
      <c:valAx>
        <c:axId val="52599808"/>
        <c:scaling>
          <c:orientation val="minMax"/>
        </c:scaling>
        <c:axPos val="l"/>
        <c:majorGridlines/>
        <c:numFmt formatCode="General" sourceLinked="1"/>
        <c:tickLblPos val="nextTo"/>
        <c:txPr>
          <a:bodyPr/>
          <a:lstStyle/>
          <a:p>
            <a:pPr>
              <a:defRPr lang="es-ES" sz="700" baseline="0"/>
            </a:pPr>
            <a:endParaRPr lang="pt-BR"/>
          </a:p>
        </c:txPr>
        <c:crossAx val="5259827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lang="es-ES" sz="1000" baseline="0"/>
            </a:pPr>
            <a:r>
              <a:rPr lang="pt-BR" sz="1000" baseline="0"/>
              <a:t>Latin Americans</a:t>
            </a:r>
          </a:p>
        </c:rich>
      </c:tx>
      <c:layout>
        <c:manualLayout>
          <c:xMode val="edge"/>
          <c:yMode val="edge"/>
          <c:x val="0.21044342559223939"/>
          <c:y val="0.85050396592987854"/>
        </c:manualLayout>
      </c:layout>
    </c:title>
    <c:plotArea>
      <c:layout>
        <c:manualLayout>
          <c:layoutTarget val="inner"/>
          <c:xMode val="edge"/>
          <c:yMode val="edge"/>
          <c:x val="6.5858926829518494E-2"/>
          <c:y val="0.18908630739339527"/>
          <c:w val="0.72079458488741543"/>
          <c:h val="0.5558075126972799"/>
        </c:manualLayout>
      </c:layout>
      <c:radarChart>
        <c:radarStyle val="marker"/>
        <c:ser>
          <c:idx val="0"/>
          <c:order val="0"/>
          <c:tx>
            <c:v>Before</c:v>
          </c:tx>
          <c:marker>
            <c:symbol val="none"/>
          </c:marker>
          <c:cat>
            <c:strRef>
              <c:f>Gráficos!$A$37:$A$40</c:f>
              <c:strCache>
                <c:ptCount val="4"/>
                <c:pt idx="0">
                  <c:v>AR</c:v>
                </c:pt>
                <c:pt idx="1">
                  <c:v>BR</c:v>
                </c:pt>
                <c:pt idx="2">
                  <c:v>CL</c:v>
                </c:pt>
                <c:pt idx="3">
                  <c:v>MX</c:v>
                </c:pt>
              </c:strCache>
            </c:strRef>
          </c:cat>
          <c:val>
            <c:numRef>
              <c:f>Gráficos!$B$37:$B$40</c:f>
              <c:numCache>
                <c:formatCode>General</c:formatCode>
                <c:ptCount val="4"/>
                <c:pt idx="0">
                  <c:v>8.9940513677357679</c:v>
                </c:pt>
                <c:pt idx="1">
                  <c:v>2.8304207677629609</c:v>
                </c:pt>
                <c:pt idx="2">
                  <c:v>35.204891672150296</c:v>
                </c:pt>
                <c:pt idx="3">
                  <c:v>7.9584930345795524</c:v>
                </c:pt>
              </c:numCache>
            </c:numRef>
          </c:val>
        </c:ser>
        <c:ser>
          <c:idx val="1"/>
          <c:order val="1"/>
          <c:tx>
            <c:v>After</c:v>
          </c:tx>
          <c:spPr>
            <a:ln>
              <a:prstDash val="sysDash"/>
            </a:ln>
          </c:spPr>
          <c:marker>
            <c:symbol val="none"/>
          </c:marker>
          <c:cat>
            <c:strRef>
              <c:f>Gráficos!$A$37:$A$40</c:f>
              <c:strCache>
                <c:ptCount val="4"/>
                <c:pt idx="0">
                  <c:v>AR</c:v>
                </c:pt>
                <c:pt idx="1">
                  <c:v>BR</c:v>
                </c:pt>
                <c:pt idx="2">
                  <c:v>CL</c:v>
                </c:pt>
                <c:pt idx="3">
                  <c:v>MX</c:v>
                </c:pt>
              </c:strCache>
            </c:strRef>
          </c:cat>
          <c:val>
            <c:numRef>
              <c:f>Gráficos!$C$37:$C$40</c:f>
              <c:numCache>
                <c:formatCode>General</c:formatCode>
                <c:ptCount val="4"/>
                <c:pt idx="0">
                  <c:v>2.4423745992640717</c:v>
                </c:pt>
                <c:pt idx="1">
                  <c:v>2.6627600959860191</c:v>
                </c:pt>
                <c:pt idx="2">
                  <c:v>19.448729634780985</c:v>
                </c:pt>
                <c:pt idx="3">
                  <c:v>3.7211752498543706</c:v>
                </c:pt>
              </c:numCache>
            </c:numRef>
          </c:val>
        </c:ser>
        <c:axId val="52620288"/>
        <c:axId val="52630272"/>
      </c:radarChart>
      <c:catAx>
        <c:axId val="52620288"/>
        <c:scaling>
          <c:orientation val="minMax"/>
        </c:scaling>
        <c:axPos val="b"/>
        <c:majorGridlines/>
        <c:majorTickMark val="none"/>
        <c:tickLblPos val="nextTo"/>
        <c:spPr>
          <a:ln w="9525">
            <a:noFill/>
          </a:ln>
        </c:spPr>
        <c:txPr>
          <a:bodyPr/>
          <a:lstStyle/>
          <a:p>
            <a:pPr>
              <a:defRPr lang="es-ES" sz="700" baseline="0"/>
            </a:pPr>
            <a:endParaRPr lang="pt-BR"/>
          </a:p>
        </c:txPr>
        <c:crossAx val="52630272"/>
        <c:crosses val="autoZero"/>
        <c:auto val="1"/>
        <c:lblAlgn val="ctr"/>
        <c:lblOffset val="100"/>
      </c:catAx>
      <c:valAx>
        <c:axId val="52630272"/>
        <c:scaling>
          <c:orientation val="minMax"/>
        </c:scaling>
        <c:axPos val="l"/>
        <c:majorGridlines/>
        <c:numFmt formatCode="General" sourceLinked="1"/>
        <c:majorTickMark val="none"/>
        <c:tickLblPos val="nextTo"/>
        <c:txPr>
          <a:bodyPr/>
          <a:lstStyle/>
          <a:p>
            <a:pPr>
              <a:defRPr lang="es-ES" sz="700" baseline="0"/>
            </a:pPr>
            <a:endParaRPr lang="pt-BR"/>
          </a:p>
        </c:txPr>
        <c:crossAx val="52620288"/>
        <c:crosses val="autoZero"/>
        <c:crossBetween val="between"/>
      </c:valAx>
    </c:plotArea>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754B-C427-4870-8846-8DC389C3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9300</Words>
  <Characters>50221</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“Economic integration and mobility versus persistence of technological specialization patterns: some evidence from the European Union and Latin America experiences”</vt:lpstr>
    </vt:vector>
  </TitlesOfParts>
  <Company>HP</Company>
  <LinksUpToDate>false</LinksUpToDate>
  <CharactersWithSpaces>59403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integration and mobility versus persistence of technological specialization patterns: some evidence from the European Union and Latin America experiences”</dc:title>
  <dc:creator>righton</dc:creator>
  <cp:lastModifiedBy>Marta</cp:lastModifiedBy>
  <cp:revision>27</cp:revision>
  <cp:lastPrinted>2011-07-11T19:16:00Z</cp:lastPrinted>
  <dcterms:created xsi:type="dcterms:W3CDTF">2011-07-06T13:05:00Z</dcterms:created>
  <dcterms:modified xsi:type="dcterms:W3CDTF">2011-07-11T19:30:00Z</dcterms:modified>
</cp:coreProperties>
</file>