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A9" w:rsidRDefault="00892271" w:rsidP="005D3BD3">
      <w:pPr>
        <w:spacing w:line="240" w:lineRule="auto"/>
        <w:jc w:val="center"/>
        <w:rPr>
          <w:rFonts w:ascii="Times New Roman" w:hAnsi="Times New Roman"/>
          <w:b/>
          <w:sz w:val="28"/>
          <w:szCs w:val="28"/>
        </w:rPr>
      </w:pPr>
      <w:r>
        <w:rPr>
          <w:rFonts w:ascii="Times New Roman" w:hAnsi="Times New Roman"/>
          <w:b/>
          <w:sz w:val="28"/>
          <w:szCs w:val="28"/>
        </w:rPr>
        <w:t>Condicionantes da m</w:t>
      </w:r>
      <w:r w:rsidR="008A1BA9" w:rsidRPr="0056771B">
        <w:rPr>
          <w:rFonts w:ascii="Times New Roman" w:hAnsi="Times New Roman"/>
          <w:b/>
          <w:sz w:val="28"/>
          <w:szCs w:val="28"/>
        </w:rPr>
        <w:t xml:space="preserve">obilidade </w:t>
      </w:r>
      <w:proofErr w:type="spellStart"/>
      <w:r w:rsidR="008A1BA9">
        <w:rPr>
          <w:rFonts w:ascii="Times New Roman" w:hAnsi="Times New Roman"/>
          <w:b/>
          <w:sz w:val="28"/>
          <w:szCs w:val="28"/>
        </w:rPr>
        <w:t>interfirma</w:t>
      </w:r>
      <w:proofErr w:type="spellEnd"/>
      <w:r w:rsidR="008A1BA9">
        <w:rPr>
          <w:rFonts w:ascii="Times New Roman" w:hAnsi="Times New Roman"/>
          <w:b/>
          <w:sz w:val="28"/>
          <w:szCs w:val="28"/>
        </w:rPr>
        <w:t xml:space="preserve"> </w:t>
      </w:r>
      <w:r w:rsidR="008A1BA9" w:rsidRPr="0056771B">
        <w:rPr>
          <w:rFonts w:ascii="Times New Roman" w:hAnsi="Times New Roman"/>
          <w:b/>
          <w:sz w:val="28"/>
          <w:szCs w:val="28"/>
        </w:rPr>
        <w:t>d</w:t>
      </w:r>
      <w:r>
        <w:rPr>
          <w:rFonts w:ascii="Times New Roman" w:hAnsi="Times New Roman"/>
          <w:b/>
          <w:sz w:val="28"/>
          <w:szCs w:val="28"/>
        </w:rPr>
        <w:t>os</w:t>
      </w:r>
      <w:r w:rsidR="008A1BA9" w:rsidRPr="0056771B">
        <w:rPr>
          <w:rFonts w:ascii="Times New Roman" w:hAnsi="Times New Roman"/>
          <w:b/>
          <w:sz w:val="28"/>
          <w:szCs w:val="28"/>
        </w:rPr>
        <w:t xml:space="preserve"> trabalhadores </w:t>
      </w:r>
      <w:r w:rsidR="008A1BA9">
        <w:rPr>
          <w:rFonts w:ascii="Times New Roman" w:hAnsi="Times New Roman"/>
          <w:b/>
          <w:sz w:val="28"/>
          <w:szCs w:val="28"/>
        </w:rPr>
        <w:t xml:space="preserve">no Brasil: </w:t>
      </w:r>
      <w:r>
        <w:rPr>
          <w:rFonts w:ascii="Times New Roman" w:hAnsi="Times New Roman"/>
          <w:b/>
          <w:sz w:val="28"/>
          <w:szCs w:val="28"/>
        </w:rPr>
        <w:t>uma análise do período 1995-2002</w:t>
      </w:r>
    </w:p>
    <w:p w:rsidR="00123E8B" w:rsidRDefault="00D179F0" w:rsidP="005D3BD3">
      <w:pPr>
        <w:spacing w:line="240" w:lineRule="auto"/>
        <w:jc w:val="both"/>
        <w:rPr>
          <w:rFonts w:ascii="Times New Roman" w:hAnsi="Times New Roman"/>
        </w:rPr>
      </w:pPr>
      <w:r w:rsidRPr="00D179F0">
        <w:rPr>
          <w:rFonts w:ascii="Times New Roman" w:hAnsi="Times New Roman"/>
        </w:rPr>
        <w:t>Resumo</w:t>
      </w:r>
      <w:r w:rsidR="0033439F">
        <w:rPr>
          <w:rFonts w:ascii="Times New Roman" w:hAnsi="Times New Roman"/>
        </w:rPr>
        <w:t xml:space="preserve">:  </w:t>
      </w:r>
      <w:r w:rsidR="009834E1">
        <w:rPr>
          <w:rFonts w:ascii="Times New Roman" w:hAnsi="Times New Roman"/>
        </w:rPr>
        <w:t>O objetivo deste artigo consiste em analisar os principais fatores que determinam a mobilidade d</w:t>
      </w:r>
      <w:r w:rsidR="00A34287">
        <w:rPr>
          <w:rFonts w:ascii="Times New Roman" w:hAnsi="Times New Roman"/>
        </w:rPr>
        <w:t>e</w:t>
      </w:r>
      <w:r w:rsidR="009834E1">
        <w:rPr>
          <w:rFonts w:ascii="Times New Roman" w:hAnsi="Times New Roman"/>
        </w:rPr>
        <w:t xml:space="preserve"> trabalhadores</w:t>
      </w:r>
      <w:r w:rsidR="00A34287">
        <w:rPr>
          <w:rFonts w:ascii="Times New Roman" w:hAnsi="Times New Roman"/>
        </w:rPr>
        <w:t xml:space="preserve"> no Brasil, com ênfase na possibilidade de difusão de conhecimento </w:t>
      </w:r>
      <w:proofErr w:type="spellStart"/>
      <w:r w:rsidR="00A34287">
        <w:rPr>
          <w:rFonts w:ascii="Times New Roman" w:hAnsi="Times New Roman"/>
        </w:rPr>
        <w:t>interfirmas</w:t>
      </w:r>
      <w:proofErr w:type="spellEnd"/>
      <w:r w:rsidR="009834E1">
        <w:rPr>
          <w:rFonts w:ascii="Times New Roman" w:hAnsi="Times New Roman"/>
        </w:rPr>
        <w:t xml:space="preserve">. Com o uso dos </w:t>
      </w:r>
      <w:proofErr w:type="spellStart"/>
      <w:r w:rsidR="009834E1">
        <w:rPr>
          <w:rFonts w:ascii="Times New Roman" w:hAnsi="Times New Roman"/>
        </w:rPr>
        <w:t>microdados</w:t>
      </w:r>
      <w:proofErr w:type="spellEnd"/>
      <w:r w:rsidR="009834E1">
        <w:rPr>
          <w:rFonts w:ascii="Times New Roman" w:hAnsi="Times New Roman"/>
        </w:rPr>
        <w:t xml:space="preserve"> da RAIS-</w:t>
      </w:r>
      <w:r w:rsidR="00FA271C">
        <w:rPr>
          <w:rFonts w:ascii="Times New Roman" w:hAnsi="Times New Roman"/>
        </w:rPr>
        <w:t xml:space="preserve">MIGRA </w:t>
      </w:r>
      <w:r w:rsidR="009834E1">
        <w:rPr>
          <w:rFonts w:ascii="Times New Roman" w:hAnsi="Times New Roman"/>
        </w:rPr>
        <w:t>(M</w:t>
      </w:r>
      <w:r w:rsidR="00FA271C">
        <w:rPr>
          <w:rFonts w:ascii="Times New Roman" w:hAnsi="Times New Roman"/>
        </w:rPr>
        <w:t>inistério do Trabalho e Emprego</w:t>
      </w:r>
      <w:r w:rsidR="009834E1">
        <w:rPr>
          <w:rFonts w:ascii="Times New Roman" w:hAnsi="Times New Roman"/>
        </w:rPr>
        <w:t xml:space="preserve">), apresenta-se a composição do emprego formal no Brasil por </w:t>
      </w:r>
      <w:r w:rsidR="0033439F">
        <w:rPr>
          <w:rFonts w:ascii="Times New Roman" w:hAnsi="Times New Roman"/>
        </w:rPr>
        <w:t xml:space="preserve">nível de escolaridade, gênero e </w:t>
      </w:r>
      <w:r w:rsidR="009834E1">
        <w:rPr>
          <w:rFonts w:ascii="Times New Roman" w:hAnsi="Times New Roman"/>
        </w:rPr>
        <w:t xml:space="preserve">setores com diferentes graus de intensidade tecnológica. A partir de </w:t>
      </w:r>
      <w:r w:rsidR="00C45BE0">
        <w:rPr>
          <w:rFonts w:ascii="Times New Roman" w:hAnsi="Times New Roman"/>
        </w:rPr>
        <w:t xml:space="preserve">um </w:t>
      </w:r>
      <w:r w:rsidR="009834E1">
        <w:rPr>
          <w:rFonts w:ascii="Times New Roman" w:hAnsi="Times New Roman"/>
        </w:rPr>
        <w:t xml:space="preserve">modelo </w:t>
      </w:r>
      <w:proofErr w:type="spellStart"/>
      <w:r w:rsidR="00C45BE0">
        <w:rPr>
          <w:rFonts w:ascii="Times New Roman" w:hAnsi="Times New Roman"/>
        </w:rPr>
        <w:t>logit</w:t>
      </w:r>
      <w:proofErr w:type="spellEnd"/>
      <w:r w:rsidR="0033439F">
        <w:rPr>
          <w:rFonts w:ascii="Times New Roman" w:hAnsi="Times New Roman"/>
        </w:rPr>
        <w:t xml:space="preserve"> </w:t>
      </w:r>
      <w:r w:rsidR="004A577C">
        <w:rPr>
          <w:rFonts w:ascii="Times New Roman" w:hAnsi="Times New Roman"/>
        </w:rPr>
        <w:t>condicional</w:t>
      </w:r>
      <w:r w:rsidR="009834E1">
        <w:rPr>
          <w:rFonts w:ascii="Times New Roman" w:hAnsi="Times New Roman"/>
        </w:rPr>
        <w:t xml:space="preserve">, </w:t>
      </w:r>
      <w:r w:rsidR="0033439F">
        <w:rPr>
          <w:rFonts w:ascii="Times New Roman" w:hAnsi="Times New Roman"/>
        </w:rPr>
        <w:t xml:space="preserve">conclui-se que </w:t>
      </w:r>
      <w:r w:rsidR="004A577C">
        <w:rPr>
          <w:rFonts w:ascii="Times New Roman" w:hAnsi="Times New Roman"/>
        </w:rPr>
        <w:t>os principais fatores indutores d</w:t>
      </w:r>
      <w:r w:rsidR="009834E1">
        <w:rPr>
          <w:rFonts w:ascii="Times New Roman" w:hAnsi="Times New Roman"/>
        </w:rPr>
        <w:t xml:space="preserve">a mobilidade </w:t>
      </w:r>
      <w:r w:rsidR="004A577C">
        <w:rPr>
          <w:rFonts w:ascii="Times New Roman" w:hAnsi="Times New Roman"/>
        </w:rPr>
        <w:t>são</w:t>
      </w:r>
      <w:r w:rsidR="009834E1">
        <w:rPr>
          <w:rFonts w:ascii="Times New Roman" w:hAnsi="Times New Roman"/>
        </w:rPr>
        <w:t xml:space="preserve"> </w:t>
      </w:r>
      <w:r w:rsidR="0033439F">
        <w:rPr>
          <w:rFonts w:ascii="Times New Roman" w:hAnsi="Times New Roman"/>
        </w:rPr>
        <w:t xml:space="preserve">a expectativa de retorno salarial </w:t>
      </w:r>
      <w:r w:rsidR="004A577C">
        <w:rPr>
          <w:rFonts w:ascii="Times New Roman" w:hAnsi="Times New Roman"/>
        </w:rPr>
        <w:t>e</w:t>
      </w:r>
      <w:r w:rsidR="0033439F">
        <w:rPr>
          <w:rFonts w:ascii="Times New Roman" w:hAnsi="Times New Roman"/>
        </w:rPr>
        <w:t xml:space="preserve"> </w:t>
      </w:r>
      <w:r w:rsidR="004A577C">
        <w:rPr>
          <w:rFonts w:ascii="Times New Roman" w:hAnsi="Times New Roman"/>
        </w:rPr>
        <w:t xml:space="preserve">a experiência no vínculo anterior. Por outro lado, a sobrevivência no emprego após a mudança de firma é um fator que reduz a propensão de mudança </w:t>
      </w:r>
      <w:proofErr w:type="spellStart"/>
      <w:r w:rsidR="004A577C">
        <w:rPr>
          <w:rFonts w:ascii="Times New Roman" w:hAnsi="Times New Roman"/>
        </w:rPr>
        <w:t>interfirma</w:t>
      </w:r>
      <w:proofErr w:type="spellEnd"/>
      <w:r w:rsidR="004A577C">
        <w:rPr>
          <w:rFonts w:ascii="Times New Roman" w:hAnsi="Times New Roman"/>
        </w:rPr>
        <w:t xml:space="preserve"> do trabalhador. </w:t>
      </w:r>
    </w:p>
    <w:p w:rsidR="00123E8B" w:rsidRDefault="00FF1FF4" w:rsidP="005D3BD3">
      <w:pPr>
        <w:spacing w:line="240" w:lineRule="auto"/>
        <w:jc w:val="both"/>
        <w:rPr>
          <w:rFonts w:ascii="Times New Roman" w:hAnsi="Times New Roman"/>
        </w:rPr>
      </w:pPr>
      <w:proofErr w:type="spellStart"/>
      <w:r>
        <w:rPr>
          <w:rFonts w:ascii="Times New Roman" w:hAnsi="Times New Roman"/>
        </w:rPr>
        <w:t>Palavras-chave</w:t>
      </w:r>
      <w:proofErr w:type="spellEnd"/>
      <w:r>
        <w:rPr>
          <w:rFonts w:ascii="Times New Roman" w:hAnsi="Times New Roman"/>
        </w:rPr>
        <w:t xml:space="preserve">: </w:t>
      </w:r>
      <w:r w:rsidR="002C2F8C" w:rsidRPr="003B13DD">
        <w:rPr>
          <w:rFonts w:ascii="Times New Roman" w:hAnsi="Times New Roman"/>
        </w:rPr>
        <w:t>m</w:t>
      </w:r>
      <w:r w:rsidRPr="003B13DD">
        <w:rPr>
          <w:rFonts w:ascii="Times New Roman" w:hAnsi="Times New Roman"/>
        </w:rPr>
        <w:t xml:space="preserve">obilidade </w:t>
      </w:r>
      <w:proofErr w:type="spellStart"/>
      <w:r w:rsidR="002C2F8C" w:rsidRPr="003B13DD">
        <w:rPr>
          <w:rFonts w:ascii="Times New Roman" w:hAnsi="Times New Roman"/>
        </w:rPr>
        <w:t>i</w:t>
      </w:r>
      <w:r w:rsidRPr="003B13DD">
        <w:rPr>
          <w:rFonts w:ascii="Times New Roman" w:hAnsi="Times New Roman"/>
        </w:rPr>
        <w:t>nterfirmas</w:t>
      </w:r>
      <w:proofErr w:type="spellEnd"/>
      <w:r w:rsidRPr="003B13DD">
        <w:rPr>
          <w:rFonts w:ascii="Times New Roman" w:hAnsi="Times New Roman"/>
        </w:rPr>
        <w:t xml:space="preserve">; </w:t>
      </w:r>
      <w:proofErr w:type="spellStart"/>
      <w:r w:rsidR="002C2F8C" w:rsidRPr="003B13DD">
        <w:rPr>
          <w:rFonts w:ascii="Times New Roman" w:hAnsi="Times New Roman"/>
        </w:rPr>
        <w:t>l</w:t>
      </w:r>
      <w:r w:rsidRPr="003B13DD">
        <w:rPr>
          <w:rFonts w:ascii="Times New Roman" w:hAnsi="Times New Roman"/>
        </w:rPr>
        <w:t>ogit</w:t>
      </w:r>
      <w:proofErr w:type="spellEnd"/>
      <w:r w:rsidRPr="003B13DD">
        <w:rPr>
          <w:rFonts w:ascii="Times New Roman" w:hAnsi="Times New Roman"/>
        </w:rPr>
        <w:t xml:space="preserve">; </w:t>
      </w:r>
      <w:r w:rsidR="002C2F8C" w:rsidRPr="003B13DD">
        <w:rPr>
          <w:rFonts w:ascii="Times New Roman" w:hAnsi="Times New Roman"/>
        </w:rPr>
        <w:t>e</w:t>
      </w:r>
      <w:r w:rsidRPr="003B13DD">
        <w:rPr>
          <w:rFonts w:ascii="Times New Roman" w:hAnsi="Times New Roman"/>
        </w:rPr>
        <w:t xml:space="preserve">feitos </w:t>
      </w:r>
      <w:r w:rsidR="002C2F8C" w:rsidRPr="003B13DD">
        <w:rPr>
          <w:rFonts w:ascii="Times New Roman" w:hAnsi="Times New Roman"/>
        </w:rPr>
        <w:t>f</w:t>
      </w:r>
      <w:r w:rsidRPr="003B13DD">
        <w:rPr>
          <w:rFonts w:ascii="Times New Roman" w:hAnsi="Times New Roman"/>
        </w:rPr>
        <w:t>ixos; Brasil.</w:t>
      </w:r>
    </w:p>
    <w:p w:rsidR="000E532E" w:rsidRDefault="0033439F" w:rsidP="005D3BD3">
      <w:pPr>
        <w:spacing w:line="240" w:lineRule="auto"/>
        <w:jc w:val="both"/>
        <w:rPr>
          <w:rFonts w:ascii="Times New Roman" w:hAnsi="Times New Roman"/>
          <w:lang w:val="en-US"/>
        </w:rPr>
      </w:pPr>
      <w:r w:rsidRPr="0033439F">
        <w:rPr>
          <w:rFonts w:ascii="Times New Roman" w:hAnsi="Times New Roman"/>
          <w:lang w:val="en-US"/>
        </w:rPr>
        <w:t>Abstract: This paper analyzes the main factors that motivate the inter-firm mobility of workers in the Brazilian formal labor market</w:t>
      </w:r>
      <w:r w:rsidR="005039F0">
        <w:rPr>
          <w:rFonts w:ascii="Times New Roman" w:hAnsi="Times New Roman"/>
          <w:lang w:val="en-US"/>
        </w:rPr>
        <w:t>, emphasizing the possibilities of inter-firm knowledge diffusion</w:t>
      </w:r>
      <w:r w:rsidRPr="0033439F">
        <w:rPr>
          <w:rFonts w:ascii="Times New Roman" w:hAnsi="Times New Roman"/>
          <w:lang w:val="en-US"/>
        </w:rPr>
        <w:t>. Using micro-data from Labor Ministry of Brazil between 1995 and 2002 (RAIS-</w:t>
      </w:r>
      <w:r w:rsidR="00FA271C" w:rsidRPr="0033439F">
        <w:rPr>
          <w:rFonts w:ascii="Times New Roman" w:hAnsi="Times New Roman"/>
          <w:lang w:val="en-US"/>
        </w:rPr>
        <w:t>MIGRA</w:t>
      </w:r>
      <w:r w:rsidRPr="0033439F">
        <w:rPr>
          <w:rFonts w:ascii="Times New Roman" w:hAnsi="Times New Roman"/>
          <w:lang w:val="en-US"/>
        </w:rPr>
        <w:t>), we present the main composition of workers according to</w:t>
      </w:r>
      <w:r w:rsidR="009D7BD3">
        <w:rPr>
          <w:rFonts w:ascii="Times New Roman" w:hAnsi="Times New Roman"/>
          <w:lang w:val="en-US"/>
        </w:rPr>
        <w:t xml:space="preserve"> educational degree, gender and sectors with</w:t>
      </w:r>
      <w:r w:rsidRPr="0033439F">
        <w:rPr>
          <w:rFonts w:ascii="Times New Roman" w:hAnsi="Times New Roman"/>
          <w:lang w:val="en-US"/>
        </w:rPr>
        <w:t xml:space="preserve"> different levels of technological intensity. Based on </w:t>
      </w:r>
      <w:r w:rsidR="009D7BD3">
        <w:rPr>
          <w:rFonts w:ascii="Times New Roman" w:hAnsi="Times New Roman"/>
          <w:lang w:val="en-US"/>
        </w:rPr>
        <w:t xml:space="preserve">fixed effects </w:t>
      </w:r>
      <w:proofErr w:type="spellStart"/>
      <w:r w:rsidR="009D7BD3">
        <w:rPr>
          <w:rFonts w:ascii="Times New Roman" w:hAnsi="Times New Roman"/>
          <w:lang w:val="en-US"/>
        </w:rPr>
        <w:t>logit</w:t>
      </w:r>
      <w:proofErr w:type="spellEnd"/>
      <w:r w:rsidRPr="0033439F">
        <w:rPr>
          <w:rFonts w:ascii="Times New Roman" w:hAnsi="Times New Roman"/>
          <w:lang w:val="en-US"/>
        </w:rPr>
        <w:t xml:space="preserve">, we find that the mobility is positively related to the wage level and </w:t>
      </w:r>
      <w:r w:rsidR="009D7BD3">
        <w:rPr>
          <w:rFonts w:ascii="Times New Roman" w:hAnsi="Times New Roman"/>
          <w:lang w:val="en-US"/>
        </w:rPr>
        <w:t xml:space="preserve">to the </w:t>
      </w:r>
      <w:r w:rsidR="000E532E">
        <w:rPr>
          <w:rFonts w:ascii="Times New Roman" w:hAnsi="Times New Roman"/>
          <w:lang w:val="en-US"/>
        </w:rPr>
        <w:t>seniority level</w:t>
      </w:r>
      <w:r w:rsidRPr="0033439F">
        <w:rPr>
          <w:rFonts w:ascii="Times New Roman" w:hAnsi="Times New Roman"/>
          <w:lang w:val="en-US"/>
        </w:rPr>
        <w:t xml:space="preserve">. On the other hand, </w:t>
      </w:r>
      <w:r w:rsidR="000E532E">
        <w:rPr>
          <w:rFonts w:ascii="Times New Roman" w:hAnsi="Times New Roman"/>
          <w:lang w:val="en-US"/>
        </w:rPr>
        <w:t xml:space="preserve">the length of tenure after mobility </w:t>
      </w:r>
      <w:r w:rsidRPr="0033439F">
        <w:rPr>
          <w:rFonts w:ascii="Times New Roman" w:hAnsi="Times New Roman"/>
          <w:lang w:val="en-US"/>
        </w:rPr>
        <w:t xml:space="preserve">is negatively related to the mobility </w:t>
      </w:r>
      <w:r w:rsidR="001A0700">
        <w:rPr>
          <w:rFonts w:ascii="Times New Roman" w:hAnsi="Times New Roman"/>
          <w:lang w:val="en-US"/>
        </w:rPr>
        <w:t>propensity</w:t>
      </w:r>
      <w:r w:rsidRPr="0033439F">
        <w:rPr>
          <w:rFonts w:ascii="Times New Roman" w:hAnsi="Times New Roman"/>
          <w:lang w:val="en-US"/>
        </w:rPr>
        <w:t xml:space="preserve">. </w:t>
      </w:r>
    </w:p>
    <w:p w:rsidR="0033439F" w:rsidRPr="0033439F" w:rsidRDefault="0033439F" w:rsidP="005D3BD3">
      <w:pPr>
        <w:spacing w:line="240" w:lineRule="auto"/>
        <w:jc w:val="both"/>
        <w:rPr>
          <w:rFonts w:ascii="Times New Roman" w:hAnsi="Times New Roman"/>
          <w:lang w:val="en-US"/>
        </w:rPr>
      </w:pPr>
      <w:r>
        <w:rPr>
          <w:rFonts w:ascii="Times New Roman" w:hAnsi="Times New Roman"/>
          <w:lang w:val="en-US"/>
        </w:rPr>
        <w:t>Key words: inter</w:t>
      </w:r>
      <w:r w:rsidR="000E532E">
        <w:rPr>
          <w:rFonts w:ascii="Times New Roman" w:hAnsi="Times New Roman"/>
          <w:lang w:val="en-US"/>
        </w:rPr>
        <w:t>-</w:t>
      </w:r>
      <w:r>
        <w:rPr>
          <w:rFonts w:ascii="Times New Roman" w:hAnsi="Times New Roman"/>
          <w:lang w:val="en-US"/>
        </w:rPr>
        <w:t xml:space="preserve">firm mobility; </w:t>
      </w:r>
      <w:proofErr w:type="spellStart"/>
      <w:r>
        <w:rPr>
          <w:rFonts w:ascii="Times New Roman" w:hAnsi="Times New Roman"/>
          <w:lang w:val="en-US"/>
        </w:rPr>
        <w:t>logit</w:t>
      </w:r>
      <w:proofErr w:type="spellEnd"/>
      <w:r>
        <w:rPr>
          <w:rFonts w:ascii="Times New Roman" w:hAnsi="Times New Roman"/>
          <w:lang w:val="en-US"/>
        </w:rPr>
        <w:t xml:space="preserve"> model; fixed effects; Brazil.</w:t>
      </w:r>
    </w:p>
    <w:p w:rsidR="00123E8B" w:rsidRDefault="00E31618" w:rsidP="005D3BD3">
      <w:pPr>
        <w:spacing w:line="240" w:lineRule="auto"/>
        <w:jc w:val="both"/>
        <w:rPr>
          <w:rFonts w:ascii="Times New Roman" w:hAnsi="Times New Roman"/>
        </w:rPr>
      </w:pPr>
      <w:r>
        <w:rPr>
          <w:rFonts w:ascii="Times New Roman" w:hAnsi="Times New Roman"/>
        </w:rPr>
        <w:t xml:space="preserve">JEL: J01, </w:t>
      </w:r>
      <w:r w:rsidR="00F66D50">
        <w:rPr>
          <w:rFonts w:ascii="Times New Roman" w:hAnsi="Times New Roman"/>
        </w:rPr>
        <w:t>J60.</w:t>
      </w:r>
    </w:p>
    <w:p w:rsidR="00FA3C31" w:rsidRPr="00D63461" w:rsidRDefault="00FA3C31" w:rsidP="005D3BD3">
      <w:pPr>
        <w:pStyle w:val="CorpoDissertao"/>
        <w:spacing w:after="0" w:line="240" w:lineRule="auto"/>
        <w:rPr>
          <w:rFonts w:ascii="Times New Roman" w:hAnsi="Times New Roman"/>
          <w:b/>
        </w:rPr>
      </w:pPr>
      <w:r w:rsidRPr="00D63461">
        <w:rPr>
          <w:rFonts w:ascii="Times New Roman" w:hAnsi="Times New Roman"/>
          <w:b/>
        </w:rPr>
        <w:t>1. Introdução</w:t>
      </w:r>
    </w:p>
    <w:p w:rsidR="00BD5489" w:rsidRDefault="00FF1FF4" w:rsidP="005D3BD3">
      <w:pPr>
        <w:pStyle w:val="NormalWeb"/>
        <w:spacing w:before="0" w:beforeAutospacing="0" w:after="0" w:afterAutospacing="0"/>
        <w:ind w:firstLine="709"/>
        <w:jc w:val="both"/>
      </w:pPr>
      <w:r>
        <w:t>O objetivo</w:t>
      </w:r>
      <w:r w:rsidR="000E532E">
        <w:t xml:space="preserve"> </w:t>
      </w:r>
      <w:r w:rsidR="0078520D">
        <w:t xml:space="preserve">central </w:t>
      </w:r>
      <w:r w:rsidR="00BD5489" w:rsidRPr="00BD5489">
        <w:t xml:space="preserve">deste trabalho é </w:t>
      </w:r>
      <w:r w:rsidR="009834E1">
        <w:t>a</w:t>
      </w:r>
      <w:r w:rsidR="0038797D">
        <w:t>va</w:t>
      </w:r>
      <w:r w:rsidR="009834E1">
        <w:t>liar</w:t>
      </w:r>
      <w:r w:rsidR="000E532E">
        <w:t xml:space="preserve"> </w:t>
      </w:r>
      <w:r w:rsidR="009834E1">
        <w:t xml:space="preserve">os </w:t>
      </w:r>
      <w:r w:rsidR="00BD5489" w:rsidRPr="00BD5489">
        <w:t xml:space="preserve">fatores que condicionam a mobilidade de trabalhadores </w:t>
      </w:r>
      <w:r w:rsidR="00B60CA4">
        <w:t xml:space="preserve">entre </w:t>
      </w:r>
      <w:r w:rsidR="00936EC9">
        <w:t>firmas</w:t>
      </w:r>
      <w:r w:rsidR="009834E1">
        <w:t xml:space="preserve"> no mercado formal de trabalho brasileiro entre 1995 e 2002</w:t>
      </w:r>
      <w:r w:rsidR="00A91F28">
        <w:t xml:space="preserve">. </w:t>
      </w:r>
      <w:r w:rsidR="00936EC9">
        <w:t>Tendo em vista a</w:t>
      </w:r>
      <w:r w:rsidR="00936EC9" w:rsidRPr="00BD5489">
        <w:t xml:space="preserve"> capacidade dos trabalhadores qualificados </w:t>
      </w:r>
      <w:r w:rsidR="00936EC9">
        <w:t>em</w:t>
      </w:r>
      <w:r w:rsidR="00936EC9" w:rsidRPr="00BD5489">
        <w:t xml:space="preserve"> transmitir conheci</w:t>
      </w:r>
      <w:r w:rsidR="00936EC9">
        <w:t xml:space="preserve">mento tecnológico ao se moverem, </w:t>
      </w:r>
      <w:r w:rsidR="00A91819">
        <w:t>busca-se</w:t>
      </w:r>
      <w:r w:rsidR="00A91F28">
        <w:t xml:space="preserve"> an</w:t>
      </w:r>
      <w:r w:rsidR="00A91819">
        <w:t>a</w:t>
      </w:r>
      <w:r w:rsidR="00A91F28">
        <w:t>lis</w:t>
      </w:r>
      <w:r w:rsidR="00A91819">
        <w:t>ar</w:t>
      </w:r>
      <w:r w:rsidR="00936EC9">
        <w:t>,</w:t>
      </w:r>
      <w:r w:rsidR="000E532E">
        <w:t xml:space="preserve"> </w:t>
      </w:r>
      <w:r w:rsidR="00936EC9">
        <w:t xml:space="preserve">especificamente, </w:t>
      </w:r>
      <w:r w:rsidR="00A91F28">
        <w:t xml:space="preserve">os determinantes da mobilidade </w:t>
      </w:r>
      <w:proofErr w:type="spellStart"/>
      <w:r w:rsidR="00A91F28">
        <w:t>interfirma</w:t>
      </w:r>
      <w:proofErr w:type="spellEnd"/>
      <w:r w:rsidR="000E532E">
        <w:t xml:space="preserve">, </w:t>
      </w:r>
      <w:r w:rsidR="00A91F28">
        <w:t>considerando não apenas as características relacionadas ao indivíduo e a</w:t>
      </w:r>
      <w:r w:rsidR="00F66D50">
        <w:t>o</w:t>
      </w:r>
      <w:r w:rsidR="00A91F28">
        <w:t xml:space="preserve"> seu emprego, mas </w:t>
      </w:r>
      <w:r w:rsidR="0038797D">
        <w:t>princip</w:t>
      </w:r>
      <w:r w:rsidR="00A91F28">
        <w:t>almente os fatores individuais não</w:t>
      </w:r>
      <w:r w:rsidR="000E532E">
        <w:t xml:space="preserve"> </w:t>
      </w:r>
      <w:r w:rsidR="00A91F28">
        <w:t>observados</w:t>
      </w:r>
      <w:r w:rsidR="00326992">
        <w:t>.</w:t>
      </w:r>
    </w:p>
    <w:p w:rsidR="00326992" w:rsidRDefault="00AE4365" w:rsidP="005D3BD3">
      <w:pPr>
        <w:spacing w:after="0" w:line="240" w:lineRule="auto"/>
        <w:ind w:firstLine="709"/>
        <w:jc w:val="both"/>
        <w:rPr>
          <w:rFonts w:ascii="Times New Roman" w:hAnsi="Times New Roman"/>
        </w:rPr>
      </w:pPr>
      <w:r>
        <w:rPr>
          <w:rFonts w:ascii="Times New Roman" w:hAnsi="Times New Roman"/>
        </w:rPr>
        <w:t xml:space="preserve">Na literatura internacional referente à economia do trabalho, três fatos estilizados descrevem a mobilidade </w:t>
      </w:r>
      <w:proofErr w:type="spellStart"/>
      <w:r>
        <w:rPr>
          <w:rFonts w:ascii="Times New Roman" w:hAnsi="Times New Roman"/>
        </w:rPr>
        <w:t>interfirma</w:t>
      </w:r>
      <w:proofErr w:type="spellEnd"/>
      <w:r>
        <w:rPr>
          <w:rFonts w:ascii="Times New Roman" w:hAnsi="Times New Roman"/>
        </w:rPr>
        <w:t xml:space="preserve"> dos trabalhadores. Primeiro, as relações de emprego de longo prazo são freqüentes no mercado de trabalho. Segundo, a maioria dos empregos recém-criados tem pequena duração. Terceiro, a probabilidade de término de um emprego decresce com a experiência no mesmo vínculo (</w:t>
      </w:r>
      <w:proofErr w:type="spellStart"/>
      <w:r>
        <w:rPr>
          <w:rFonts w:ascii="Times New Roman" w:hAnsi="Times New Roman"/>
        </w:rPr>
        <w:t>Farber</w:t>
      </w:r>
      <w:proofErr w:type="spellEnd"/>
      <w:r>
        <w:rPr>
          <w:rFonts w:ascii="Times New Roman" w:hAnsi="Times New Roman"/>
        </w:rPr>
        <w:t xml:space="preserve">, 1999).  </w:t>
      </w:r>
    </w:p>
    <w:p w:rsidR="00EF4018" w:rsidRDefault="00EF4018" w:rsidP="005D3BD3">
      <w:pPr>
        <w:spacing w:after="0" w:line="240" w:lineRule="auto"/>
        <w:ind w:firstLine="709"/>
        <w:jc w:val="both"/>
        <w:rPr>
          <w:rFonts w:ascii="Times New Roman" w:hAnsi="Times New Roman"/>
        </w:rPr>
      </w:pPr>
      <w:proofErr w:type="spellStart"/>
      <w:r>
        <w:rPr>
          <w:rFonts w:ascii="Times New Roman" w:hAnsi="Times New Roman"/>
        </w:rPr>
        <w:t>Farber</w:t>
      </w:r>
      <w:proofErr w:type="spellEnd"/>
      <w:r>
        <w:rPr>
          <w:rFonts w:ascii="Times New Roman" w:hAnsi="Times New Roman"/>
        </w:rPr>
        <w:t xml:space="preserve"> (1999) aponta que tanto a heterogeneidade do trabalhador quanto o capital humano específico parecem ser importantes fatores capazes de determinar os padrões de mobilidade quando a abordagem utiliza dados longitudinais. </w:t>
      </w:r>
    </w:p>
    <w:p w:rsidR="009E39B0" w:rsidRPr="0031351F" w:rsidRDefault="00AB3A81" w:rsidP="005D3BD3">
      <w:pPr>
        <w:spacing w:after="0" w:line="240" w:lineRule="auto"/>
        <w:ind w:firstLine="709"/>
        <w:jc w:val="both"/>
        <w:rPr>
          <w:rFonts w:ascii="Times New Roman" w:hAnsi="Times New Roman"/>
        </w:rPr>
      </w:pPr>
      <w:proofErr w:type="spellStart"/>
      <w:r w:rsidRPr="00C12C0C">
        <w:rPr>
          <w:rFonts w:ascii="Times New Roman" w:hAnsi="Times New Roman"/>
        </w:rPr>
        <w:t>Stambol</w:t>
      </w:r>
      <w:proofErr w:type="spellEnd"/>
      <w:r w:rsidRPr="00C12C0C">
        <w:rPr>
          <w:rFonts w:ascii="Times New Roman" w:hAnsi="Times New Roman"/>
        </w:rPr>
        <w:t xml:space="preserve"> (2003) define mobilidade por mudança de emprego, sem mobilidade geográfica, e migração por mobilidade espacial da mão-de-obra. Para o autor, a mobilidade de trabalhadores tende a aumentar o nível geral de emprego e a melhorar sua alocação no mercado de trabalho. </w:t>
      </w:r>
      <w:r w:rsidR="008570B5">
        <w:rPr>
          <w:rFonts w:ascii="Times New Roman" w:hAnsi="Times New Roman"/>
        </w:rPr>
        <w:t>R</w:t>
      </w:r>
      <w:r w:rsidR="009E39B0" w:rsidRPr="0031351F">
        <w:rPr>
          <w:rFonts w:ascii="Times New Roman" w:hAnsi="Times New Roman"/>
        </w:rPr>
        <w:t xml:space="preserve">ecentemente, </w:t>
      </w:r>
      <w:r w:rsidR="009E39B0">
        <w:rPr>
          <w:rFonts w:ascii="Times New Roman" w:hAnsi="Times New Roman"/>
        </w:rPr>
        <w:t>o papel da mobilidade de recursos humanos tem sido reconhecida na difusão do conhecimento tecnológico e, por sua vez, no possível impacto sobre o processo de difusão tecnológica</w:t>
      </w:r>
      <w:r w:rsidR="009E39B0" w:rsidRPr="0031351F">
        <w:rPr>
          <w:rFonts w:ascii="Times New Roman" w:hAnsi="Times New Roman"/>
        </w:rPr>
        <w:t>.</w:t>
      </w:r>
      <w:r w:rsidR="009E39B0">
        <w:rPr>
          <w:rFonts w:ascii="Times New Roman" w:hAnsi="Times New Roman"/>
        </w:rPr>
        <w:t xml:space="preserve"> Nesse sentido, </w:t>
      </w:r>
      <w:proofErr w:type="spellStart"/>
      <w:r w:rsidR="009E39B0" w:rsidRPr="0031351F">
        <w:rPr>
          <w:rFonts w:ascii="Times New Roman" w:hAnsi="Times New Roman"/>
        </w:rPr>
        <w:t>Audretsch</w:t>
      </w:r>
      <w:proofErr w:type="spellEnd"/>
      <w:r w:rsidR="009E39B0" w:rsidRPr="0031351F">
        <w:rPr>
          <w:rFonts w:ascii="Times New Roman" w:hAnsi="Times New Roman"/>
        </w:rPr>
        <w:t xml:space="preserve"> (1995) propõe que a unidade de observação d</w:t>
      </w:r>
      <w:r w:rsidR="009E39B0">
        <w:rPr>
          <w:rFonts w:ascii="Times New Roman" w:hAnsi="Times New Roman"/>
        </w:rPr>
        <w:t>a pesquisa em desenvolvimento tecnológico</w:t>
      </w:r>
      <w:r w:rsidR="009E39B0" w:rsidRPr="0031351F">
        <w:rPr>
          <w:rFonts w:ascii="Times New Roman" w:hAnsi="Times New Roman"/>
        </w:rPr>
        <w:t xml:space="preserve"> seja transferida da firma para o indivíduo. Para o autor, este agente possui papel determinante na inovação, com destaque para alguns que se diferenciam dos demais, por estarem intimamente ligados ao processo de criação de conhecimento</w:t>
      </w:r>
      <w:r w:rsidR="009E39B0">
        <w:rPr>
          <w:rFonts w:ascii="Times New Roman" w:hAnsi="Times New Roman"/>
        </w:rPr>
        <w:t xml:space="preserve">, como </w:t>
      </w:r>
      <w:r w:rsidR="009E39B0" w:rsidRPr="0031351F">
        <w:rPr>
          <w:rFonts w:ascii="Times New Roman" w:hAnsi="Times New Roman"/>
        </w:rPr>
        <w:t>engenheiros, cientistas</w:t>
      </w:r>
      <w:r w:rsidR="009E39B0">
        <w:rPr>
          <w:rFonts w:ascii="Times New Roman" w:hAnsi="Times New Roman"/>
        </w:rPr>
        <w:t xml:space="preserve"> e pessoal envolvido com </w:t>
      </w:r>
      <w:proofErr w:type="spellStart"/>
      <w:r w:rsidR="009E39B0">
        <w:rPr>
          <w:rFonts w:ascii="Times New Roman" w:hAnsi="Times New Roman"/>
        </w:rPr>
        <w:t>P&amp;D</w:t>
      </w:r>
      <w:proofErr w:type="spellEnd"/>
      <w:r w:rsidR="009E39B0">
        <w:rPr>
          <w:rFonts w:ascii="Times New Roman" w:hAnsi="Times New Roman"/>
        </w:rPr>
        <w:t>.</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lastRenderedPageBreak/>
        <w:t xml:space="preserve">Feldman (1999) faz uma revisão de estudos empíricos sobre inovação e sua localização, destacando que o trabalho qualificado deve ser incluído como um mecanismo pelo qual o transbordamento de conhecimento pode ser realizado via trabalhadores que se movem. Nesse mecanismo, as empresas se apropriam do </w:t>
      </w:r>
      <w:r w:rsidRPr="00BD5489">
        <w:rPr>
          <w:rFonts w:ascii="Times New Roman" w:hAnsi="Times New Roman"/>
          <w:i/>
          <w:iCs/>
        </w:rPr>
        <w:t>know-how</w:t>
      </w:r>
      <w:r w:rsidRPr="00BD5489">
        <w:rPr>
          <w:rFonts w:ascii="Times New Roman" w:hAnsi="Times New Roman"/>
        </w:rPr>
        <w:t xml:space="preserve"> dos trabalhadores, que muitas vezes é transmitido a outros trabalhadores. </w:t>
      </w:r>
      <w:proofErr w:type="spellStart"/>
      <w:r w:rsidRPr="00BD5489">
        <w:rPr>
          <w:rFonts w:ascii="Times New Roman" w:hAnsi="Times New Roman"/>
        </w:rPr>
        <w:t>Audretsch</w:t>
      </w:r>
      <w:proofErr w:type="spellEnd"/>
      <w:r w:rsidRPr="00BD5489">
        <w:rPr>
          <w:rFonts w:ascii="Times New Roman" w:hAnsi="Times New Roman"/>
        </w:rPr>
        <w:t xml:space="preserve"> e </w:t>
      </w:r>
      <w:proofErr w:type="spellStart"/>
      <w:r w:rsidRPr="00BD5489">
        <w:rPr>
          <w:rFonts w:ascii="Times New Roman" w:hAnsi="Times New Roman"/>
        </w:rPr>
        <w:t>Keilbach</w:t>
      </w:r>
      <w:proofErr w:type="spellEnd"/>
      <w:r w:rsidRPr="00BD5489">
        <w:rPr>
          <w:rFonts w:ascii="Times New Roman" w:hAnsi="Times New Roman"/>
        </w:rPr>
        <w:t xml:space="preserve"> (2005) sugerem que mobilidade de trabalhadores qualificados entre empresas e/ou regiões pode ser compreendida como uma grande manifestação da transmissão de conhecimento e de transbordamento tecnológico via contato pessoal. </w:t>
      </w:r>
      <w:r w:rsidR="000E532E">
        <w:rPr>
          <w:rFonts w:ascii="Times New Roman" w:hAnsi="Times New Roman"/>
        </w:rPr>
        <w:t>E</w:t>
      </w:r>
      <w:r w:rsidRPr="00BD5489">
        <w:rPr>
          <w:rFonts w:ascii="Times New Roman" w:hAnsi="Times New Roman"/>
        </w:rPr>
        <w:t xml:space="preserve">sses autores visam tirar o foco da firma, que comumente é tida como unidade de análise de inovação e mudança tecnológica, buscando esclarecer a importância que a unidade “trabalhador” tem nessa determinação. </w:t>
      </w:r>
    </w:p>
    <w:p w:rsidR="00BD5489" w:rsidRPr="00BD5489" w:rsidRDefault="00BD5489" w:rsidP="005D3BD3">
      <w:pPr>
        <w:pStyle w:val="NormalWeb"/>
        <w:spacing w:before="0" w:beforeAutospacing="0" w:after="0" w:afterAutospacing="0"/>
        <w:ind w:firstLine="709"/>
        <w:jc w:val="both"/>
      </w:pPr>
      <w:r w:rsidRPr="00BD5489">
        <w:t xml:space="preserve">Arrow (1962) destaca que a proximidade geográfica importa na transmissão do conhecimento, uma vez que o conhecimento tácito é inerente e não rival por natureza, podendo ser “derramado”. Apesar de sua característica não rival, a transmissão de tal conhecimento não pode ser feita de outra maneira que não via contato face a face, uma vez que se trata de algo </w:t>
      </w:r>
      <w:r w:rsidR="00F66D50">
        <w:t xml:space="preserve">não </w:t>
      </w:r>
      <w:proofErr w:type="spellStart"/>
      <w:r w:rsidRPr="00BD5489">
        <w:t>codificável</w:t>
      </w:r>
      <w:proofErr w:type="spellEnd"/>
      <w:r w:rsidRPr="00BD5489">
        <w:t xml:space="preserve">. A partir da necessidade de contato face a face, a mobilidade de trabalhadores, </w:t>
      </w:r>
      <w:r w:rsidR="00545A13">
        <w:t xml:space="preserve">os quais </w:t>
      </w:r>
      <w:r w:rsidRPr="00BD5489">
        <w:t>carregam consigo experiências e aprendizados, é uma das formas mais importantes de transmissão e difusão de conhecimento. Ao contratar um novo trabalhador, o empregador tem acesso a conhecimentos específicos que estão “embutidos” nele e nos contatos que ele possui (</w:t>
      </w:r>
      <w:r w:rsidRPr="00BD5489">
        <w:rPr>
          <w:caps/>
        </w:rPr>
        <w:t xml:space="preserve">Breschi </w:t>
      </w:r>
      <w:r w:rsidRPr="00BD5489">
        <w:t>e</w:t>
      </w:r>
      <w:r w:rsidRPr="00BD5489">
        <w:rPr>
          <w:caps/>
        </w:rPr>
        <w:t xml:space="preserve"> Lissoni,</w:t>
      </w:r>
      <w:r w:rsidRPr="00BD5489">
        <w:t xml:space="preserve"> 2003).</w:t>
      </w:r>
    </w:p>
    <w:p w:rsidR="00C622E2"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Uma vez que o trabalhador possui a capacidade de carregar consigo um conhecimento que pode ser útil ao desenvolvimento de outras </w:t>
      </w:r>
      <w:r w:rsidR="00545A13">
        <w:rPr>
          <w:rFonts w:ascii="Times New Roman" w:hAnsi="Times New Roman"/>
        </w:rPr>
        <w:t>firmas</w:t>
      </w:r>
      <w:r w:rsidRPr="00BD5489">
        <w:rPr>
          <w:rFonts w:ascii="Times New Roman" w:hAnsi="Times New Roman"/>
        </w:rPr>
        <w:t xml:space="preserve">, o objetivo </w:t>
      </w:r>
      <w:r w:rsidR="009E39B0">
        <w:rPr>
          <w:rFonts w:ascii="Times New Roman" w:hAnsi="Times New Roman"/>
        </w:rPr>
        <w:t xml:space="preserve">desse artigo </w:t>
      </w:r>
      <w:r w:rsidRPr="00BD5489">
        <w:rPr>
          <w:rFonts w:ascii="Times New Roman" w:hAnsi="Times New Roman"/>
        </w:rPr>
        <w:t xml:space="preserve">é avaliar os determinantes da mobilidade </w:t>
      </w:r>
      <w:proofErr w:type="spellStart"/>
      <w:r w:rsidR="00845B75">
        <w:rPr>
          <w:rFonts w:ascii="Times New Roman" w:hAnsi="Times New Roman"/>
        </w:rPr>
        <w:t>interfirma</w:t>
      </w:r>
      <w:proofErr w:type="spellEnd"/>
      <w:r w:rsidR="00845B75">
        <w:rPr>
          <w:rFonts w:ascii="Times New Roman" w:hAnsi="Times New Roman"/>
        </w:rPr>
        <w:t xml:space="preserve"> </w:t>
      </w:r>
      <w:r w:rsidRPr="00BD5489">
        <w:rPr>
          <w:rFonts w:ascii="Times New Roman" w:hAnsi="Times New Roman"/>
        </w:rPr>
        <w:t>de trabalhadores, assumindo que eles atuam na disseminação de conhecimento tecnológico</w:t>
      </w:r>
      <w:r w:rsidR="00845B75">
        <w:rPr>
          <w:rFonts w:ascii="Times New Roman" w:hAnsi="Times New Roman"/>
        </w:rPr>
        <w:t xml:space="preserve"> e podem ser instrumentos de difusão de conhecimento tácito</w:t>
      </w:r>
      <w:r w:rsidRPr="00BD5489">
        <w:rPr>
          <w:rFonts w:ascii="Times New Roman" w:hAnsi="Times New Roman"/>
        </w:rPr>
        <w:t xml:space="preserve">. A análise empírica </w:t>
      </w:r>
      <w:r w:rsidR="001A0700">
        <w:rPr>
          <w:rFonts w:ascii="Times New Roman" w:hAnsi="Times New Roman"/>
        </w:rPr>
        <w:t>é realizada</w:t>
      </w:r>
      <w:r w:rsidRPr="00BD5489">
        <w:rPr>
          <w:rFonts w:ascii="Times New Roman" w:hAnsi="Times New Roman"/>
        </w:rPr>
        <w:t xml:space="preserve"> com uma base de dados da RAIS-MIGRA </w:t>
      </w:r>
      <w:r w:rsidR="00845B75">
        <w:rPr>
          <w:rFonts w:ascii="Times New Roman" w:hAnsi="Times New Roman"/>
        </w:rPr>
        <w:t xml:space="preserve">do </w:t>
      </w:r>
      <w:r w:rsidRPr="00BD5489">
        <w:rPr>
          <w:rFonts w:ascii="Times New Roman" w:hAnsi="Times New Roman"/>
        </w:rPr>
        <w:t>Ministério do Trabalho, que possibilita acompanhar os trabalhadores e as firmas empregadoras</w:t>
      </w:r>
      <w:r w:rsidR="00845B75">
        <w:rPr>
          <w:rFonts w:ascii="Times New Roman" w:hAnsi="Times New Roman"/>
        </w:rPr>
        <w:t xml:space="preserve"> no período </w:t>
      </w:r>
      <w:r w:rsidRPr="00BD5489">
        <w:rPr>
          <w:rFonts w:ascii="Times New Roman" w:hAnsi="Times New Roman"/>
        </w:rPr>
        <w:t xml:space="preserve">1995-2002. A base </w:t>
      </w:r>
      <w:r w:rsidR="001A0700">
        <w:rPr>
          <w:rFonts w:ascii="Times New Roman" w:hAnsi="Times New Roman"/>
        </w:rPr>
        <w:t>é</w:t>
      </w:r>
      <w:r w:rsidRPr="00BD5489">
        <w:rPr>
          <w:rFonts w:ascii="Times New Roman" w:hAnsi="Times New Roman"/>
        </w:rPr>
        <w:t xml:space="preserve"> composta por 50% dos trabalhadores que estiveram</w:t>
      </w:r>
      <w:r w:rsidR="00845B75">
        <w:rPr>
          <w:rFonts w:ascii="Times New Roman" w:hAnsi="Times New Roman"/>
        </w:rPr>
        <w:t xml:space="preserve"> empregados necessariamente em todos os </w:t>
      </w:r>
      <w:r w:rsidRPr="00BD5489">
        <w:rPr>
          <w:rFonts w:ascii="Times New Roman" w:hAnsi="Times New Roman"/>
        </w:rPr>
        <w:t>oito anos</w:t>
      </w:r>
      <w:r w:rsidR="00845B75">
        <w:rPr>
          <w:rFonts w:ascii="Times New Roman" w:hAnsi="Times New Roman"/>
        </w:rPr>
        <w:t xml:space="preserve"> do período considerado</w:t>
      </w:r>
      <w:r w:rsidRPr="00BD5489">
        <w:rPr>
          <w:rFonts w:ascii="Times New Roman" w:hAnsi="Times New Roman"/>
        </w:rPr>
        <w:t>, na indústria de transformação</w:t>
      </w:r>
      <w:r w:rsidR="00845B75">
        <w:rPr>
          <w:rFonts w:ascii="Times New Roman" w:hAnsi="Times New Roman"/>
        </w:rPr>
        <w:t xml:space="preserve"> brasileira</w:t>
      </w:r>
      <w:r w:rsidRPr="00BD5489">
        <w:rPr>
          <w:rFonts w:ascii="Times New Roman" w:hAnsi="Times New Roman"/>
        </w:rPr>
        <w:t>.</w:t>
      </w:r>
      <w:r w:rsidR="00845B75">
        <w:rPr>
          <w:rFonts w:ascii="Times New Roman" w:hAnsi="Times New Roman"/>
        </w:rPr>
        <w:t xml:space="preserve"> </w:t>
      </w:r>
      <w:r w:rsidR="00C622E2" w:rsidRPr="00BD5489">
        <w:rPr>
          <w:rFonts w:ascii="Times New Roman" w:hAnsi="Times New Roman"/>
        </w:rPr>
        <w:t>O método utilizado no trabalho</w:t>
      </w:r>
      <w:r w:rsidR="00C622E2">
        <w:rPr>
          <w:rFonts w:ascii="Times New Roman" w:hAnsi="Times New Roman"/>
        </w:rPr>
        <w:t xml:space="preserve"> envolve a estimação de um</w:t>
      </w:r>
      <w:r w:rsidR="00845B75">
        <w:rPr>
          <w:rFonts w:ascii="Times New Roman" w:hAnsi="Times New Roman"/>
        </w:rPr>
        <w:t xml:space="preserve"> </w:t>
      </w:r>
      <w:r w:rsidR="00C622E2">
        <w:rPr>
          <w:rFonts w:ascii="Times New Roman" w:hAnsi="Times New Roman"/>
        </w:rPr>
        <w:t xml:space="preserve">modelo </w:t>
      </w:r>
      <w:proofErr w:type="spellStart"/>
      <w:r w:rsidR="00C622E2">
        <w:rPr>
          <w:rFonts w:ascii="Times New Roman" w:hAnsi="Times New Roman"/>
        </w:rPr>
        <w:t>logit</w:t>
      </w:r>
      <w:proofErr w:type="spellEnd"/>
      <w:r w:rsidR="00C622E2">
        <w:rPr>
          <w:rFonts w:ascii="Times New Roman" w:hAnsi="Times New Roman"/>
        </w:rPr>
        <w:t>, com controle para efeitos fixos,</w:t>
      </w:r>
      <w:r w:rsidR="00845B75">
        <w:rPr>
          <w:rFonts w:ascii="Times New Roman" w:hAnsi="Times New Roman"/>
        </w:rPr>
        <w:t xml:space="preserve"> </w:t>
      </w:r>
      <w:r w:rsidR="00C622E2">
        <w:rPr>
          <w:rFonts w:ascii="Times New Roman" w:hAnsi="Times New Roman"/>
        </w:rPr>
        <w:t xml:space="preserve">para identificar </w:t>
      </w:r>
      <w:r w:rsidR="00C622E2" w:rsidRPr="00BD5489">
        <w:rPr>
          <w:rFonts w:ascii="Times New Roman" w:hAnsi="Times New Roman"/>
        </w:rPr>
        <w:t xml:space="preserve">os determinantes econômicos da mobilidade do trabalhador. </w:t>
      </w:r>
    </w:p>
    <w:p w:rsidR="00BD5489" w:rsidRDefault="00BD5489" w:rsidP="005D3BD3">
      <w:pPr>
        <w:spacing w:after="0" w:line="240" w:lineRule="auto"/>
        <w:ind w:firstLine="709"/>
        <w:jc w:val="both"/>
        <w:rPr>
          <w:rFonts w:ascii="Times New Roman" w:hAnsi="Times New Roman"/>
        </w:rPr>
      </w:pPr>
      <w:r w:rsidRPr="00BD5489">
        <w:rPr>
          <w:rFonts w:ascii="Times New Roman" w:hAnsi="Times New Roman"/>
        </w:rPr>
        <w:t>Portanto, a motivação para a pesquisa está centrada na necessidade de compreender melhor o padrão de tr</w:t>
      </w:r>
      <w:r w:rsidR="001653C4">
        <w:rPr>
          <w:rFonts w:ascii="Times New Roman" w:hAnsi="Times New Roman"/>
        </w:rPr>
        <w:t xml:space="preserve">ansferência de trabalhadores </w:t>
      </w:r>
      <w:r w:rsidRPr="00BD5489">
        <w:rPr>
          <w:rFonts w:ascii="Times New Roman" w:hAnsi="Times New Roman"/>
        </w:rPr>
        <w:t>entre empresas, dada sua capacidade de transferir conhecimento.</w:t>
      </w:r>
      <w:r w:rsidR="00A315F2">
        <w:rPr>
          <w:rFonts w:ascii="Times New Roman" w:hAnsi="Times New Roman"/>
        </w:rPr>
        <w:t xml:space="preserve"> A maior parte dos trabalhos da literatura brasileira foca os determinantes da migração</w:t>
      </w:r>
      <w:r w:rsidR="00C622E2">
        <w:rPr>
          <w:rFonts w:ascii="Times New Roman" w:hAnsi="Times New Roman"/>
        </w:rPr>
        <w:t>, fuga de cérebros</w:t>
      </w:r>
      <w:r w:rsidR="00A315F2">
        <w:rPr>
          <w:rFonts w:ascii="Times New Roman" w:hAnsi="Times New Roman"/>
        </w:rPr>
        <w:t xml:space="preserve"> ou </w:t>
      </w:r>
      <w:r w:rsidR="00C622E2">
        <w:rPr>
          <w:rFonts w:ascii="Times New Roman" w:hAnsi="Times New Roman"/>
        </w:rPr>
        <w:t xml:space="preserve">a </w:t>
      </w:r>
      <w:r w:rsidR="00A315F2">
        <w:rPr>
          <w:rFonts w:ascii="Times New Roman" w:hAnsi="Times New Roman"/>
        </w:rPr>
        <w:t xml:space="preserve">mobilidade espacial de trabalhadores, como </w:t>
      </w:r>
      <w:proofErr w:type="spellStart"/>
      <w:r w:rsidR="00A315F2">
        <w:rPr>
          <w:rFonts w:ascii="Times New Roman" w:hAnsi="Times New Roman"/>
        </w:rPr>
        <w:t>Sabbadini</w:t>
      </w:r>
      <w:proofErr w:type="spellEnd"/>
      <w:r w:rsidR="00A315F2">
        <w:rPr>
          <w:rFonts w:ascii="Times New Roman" w:hAnsi="Times New Roman"/>
        </w:rPr>
        <w:t xml:space="preserve"> e </w:t>
      </w:r>
      <w:proofErr w:type="spellStart"/>
      <w:r w:rsidR="00A315F2">
        <w:rPr>
          <w:rFonts w:ascii="Times New Roman" w:hAnsi="Times New Roman"/>
        </w:rPr>
        <w:t>Azzoni</w:t>
      </w:r>
      <w:proofErr w:type="spellEnd"/>
      <w:r w:rsidR="00A315F2">
        <w:rPr>
          <w:rFonts w:ascii="Times New Roman" w:hAnsi="Times New Roman"/>
        </w:rPr>
        <w:t xml:space="preserve"> (2006), Braga (2006), Da Mata </w:t>
      </w:r>
      <w:proofErr w:type="spellStart"/>
      <w:r w:rsidR="00A315F2" w:rsidRPr="00C622E2">
        <w:rPr>
          <w:rFonts w:ascii="Times New Roman" w:hAnsi="Times New Roman"/>
          <w:i/>
        </w:rPr>
        <w:t>et</w:t>
      </w:r>
      <w:proofErr w:type="spellEnd"/>
      <w:r w:rsidR="00A315F2" w:rsidRPr="00C622E2">
        <w:rPr>
          <w:rFonts w:ascii="Times New Roman" w:hAnsi="Times New Roman"/>
          <w:i/>
        </w:rPr>
        <w:t xml:space="preserve"> al</w:t>
      </w:r>
      <w:r w:rsidR="00A315F2">
        <w:rPr>
          <w:rFonts w:ascii="Times New Roman" w:hAnsi="Times New Roman"/>
        </w:rPr>
        <w:t xml:space="preserve">. (2007), </w:t>
      </w:r>
      <w:proofErr w:type="spellStart"/>
      <w:r w:rsidR="00C622E2">
        <w:rPr>
          <w:rFonts w:ascii="Times New Roman" w:hAnsi="Times New Roman"/>
        </w:rPr>
        <w:t>Golgher</w:t>
      </w:r>
      <w:r w:rsidR="00C622E2" w:rsidRPr="00C622E2">
        <w:rPr>
          <w:rFonts w:ascii="Times New Roman" w:hAnsi="Times New Roman"/>
          <w:i/>
        </w:rPr>
        <w:t>et</w:t>
      </w:r>
      <w:proofErr w:type="spellEnd"/>
      <w:r w:rsidR="00C622E2" w:rsidRPr="00C622E2">
        <w:rPr>
          <w:rFonts w:ascii="Times New Roman" w:hAnsi="Times New Roman"/>
          <w:i/>
        </w:rPr>
        <w:t xml:space="preserve"> al</w:t>
      </w:r>
      <w:r w:rsidR="00C622E2">
        <w:rPr>
          <w:rFonts w:ascii="Times New Roman" w:hAnsi="Times New Roman"/>
        </w:rPr>
        <w:t xml:space="preserve">. (2005), </w:t>
      </w:r>
      <w:proofErr w:type="spellStart"/>
      <w:r w:rsidR="00C622E2">
        <w:rPr>
          <w:rFonts w:ascii="Times New Roman" w:hAnsi="Times New Roman"/>
        </w:rPr>
        <w:t>Sahota</w:t>
      </w:r>
      <w:proofErr w:type="spellEnd"/>
      <w:r w:rsidR="00C622E2">
        <w:rPr>
          <w:rFonts w:ascii="Times New Roman" w:hAnsi="Times New Roman"/>
        </w:rPr>
        <w:t xml:space="preserve"> (1968), </w:t>
      </w:r>
      <w:proofErr w:type="spellStart"/>
      <w:r w:rsidR="00C622E2">
        <w:rPr>
          <w:rFonts w:ascii="Times New Roman" w:hAnsi="Times New Roman"/>
        </w:rPr>
        <w:t>Baeninger</w:t>
      </w:r>
      <w:proofErr w:type="spellEnd"/>
      <w:r w:rsidR="00C622E2">
        <w:rPr>
          <w:rFonts w:ascii="Times New Roman" w:hAnsi="Times New Roman"/>
        </w:rPr>
        <w:t xml:space="preserve"> (2005). Além disso, há escassa literatura que utiliza as vantagens d</w:t>
      </w:r>
      <w:r w:rsidR="001A0700">
        <w:rPr>
          <w:rFonts w:ascii="Times New Roman" w:hAnsi="Times New Roman"/>
        </w:rPr>
        <w:t xml:space="preserve">e </w:t>
      </w:r>
      <w:proofErr w:type="spellStart"/>
      <w:r w:rsidR="001A0700">
        <w:rPr>
          <w:rFonts w:ascii="Times New Roman" w:hAnsi="Times New Roman"/>
        </w:rPr>
        <w:t>microdados</w:t>
      </w:r>
      <w:proofErr w:type="spellEnd"/>
      <w:r w:rsidR="001A0700">
        <w:rPr>
          <w:rFonts w:ascii="Times New Roman" w:hAnsi="Times New Roman"/>
        </w:rPr>
        <w:t xml:space="preserve"> em</w:t>
      </w:r>
      <w:r w:rsidR="00C622E2">
        <w:rPr>
          <w:rFonts w:ascii="Times New Roman" w:hAnsi="Times New Roman"/>
        </w:rPr>
        <w:t xml:space="preserve"> uma base de dados longitudinal, como a RAIS-MIGRA.</w:t>
      </w:r>
    </w:p>
    <w:p w:rsidR="009E39B0" w:rsidRDefault="009E39B0" w:rsidP="005D3BD3">
      <w:pPr>
        <w:pStyle w:val="NormalWeb"/>
        <w:spacing w:before="0" w:beforeAutospacing="0" w:after="0" w:afterAutospacing="0"/>
        <w:ind w:firstLine="709"/>
        <w:jc w:val="both"/>
        <w:rPr>
          <w:b/>
        </w:rPr>
      </w:pPr>
      <w:r>
        <w:t>Além dessa parte introdutória</w:t>
      </w:r>
      <w:r w:rsidR="002D31F8">
        <w:t>,</w:t>
      </w:r>
      <w:r>
        <w:t xml:space="preserve"> o trabalho é </w:t>
      </w:r>
      <w:r w:rsidR="00A72311">
        <w:t>organizado em mais cinco</w:t>
      </w:r>
      <w:r>
        <w:t xml:space="preserve"> seções. A próxima seção revisa os principais fatores pelos quais a mobilidade ocorre, além de enfatizar a importância dessa mobilidade na difusão de conhecimento tecnológico. </w:t>
      </w:r>
      <w:r w:rsidR="00A72311">
        <w:t xml:space="preserve">A terceira </w:t>
      </w:r>
      <w:r w:rsidR="001653C4">
        <w:t xml:space="preserve">seção </w:t>
      </w:r>
      <w:r w:rsidR="00A72311">
        <w:t>apresenta</w:t>
      </w:r>
      <w:r>
        <w:t xml:space="preserve"> a base de dados e o método </w:t>
      </w:r>
      <w:r w:rsidR="00A72311">
        <w:t>ut</w:t>
      </w:r>
      <w:r>
        <w:t xml:space="preserve">ilizado no estudo. </w:t>
      </w:r>
      <w:r w:rsidR="00A72311">
        <w:t>A</w:t>
      </w:r>
      <w:r>
        <w:t xml:space="preserve"> seção </w:t>
      </w:r>
      <w:r w:rsidR="00A72311">
        <w:t>4</w:t>
      </w:r>
      <w:r w:rsidR="00833382">
        <w:t xml:space="preserve"> </w:t>
      </w:r>
      <w:r w:rsidR="00A72311">
        <w:t>mostra evidências sobre</w:t>
      </w:r>
      <w:r>
        <w:t xml:space="preserve"> a composição da mão-de-obra da indústria de transformação </w:t>
      </w:r>
      <w:r w:rsidR="00A72311">
        <w:t>brasileira</w:t>
      </w:r>
      <w:r>
        <w:t xml:space="preserve">. </w:t>
      </w:r>
      <w:r w:rsidR="00A72311">
        <w:t>A seção 5 revela o</w:t>
      </w:r>
      <w:r>
        <w:t xml:space="preserve">s resultados do modelo </w:t>
      </w:r>
      <w:proofErr w:type="spellStart"/>
      <w:r>
        <w:t>logit</w:t>
      </w:r>
      <w:proofErr w:type="spellEnd"/>
      <w:r w:rsidR="00833382">
        <w:t xml:space="preserve"> </w:t>
      </w:r>
      <w:r w:rsidR="0078520D">
        <w:t>com efeitos fixos.</w:t>
      </w:r>
      <w:r>
        <w:t xml:space="preserve"> A última</w:t>
      </w:r>
      <w:r w:rsidR="00A72311">
        <w:t xml:space="preserve"> seção</w:t>
      </w:r>
      <w:r>
        <w:t xml:space="preserve"> apresenta as principais conclusões desse trabalho.  </w:t>
      </w:r>
    </w:p>
    <w:p w:rsidR="002D31F8" w:rsidRDefault="002D31F8" w:rsidP="005D3BD3">
      <w:pPr>
        <w:spacing w:after="0" w:line="240" w:lineRule="auto"/>
        <w:ind w:firstLine="709"/>
        <w:jc w:val="both"/>
        <w:rPr>
          <w:rFonts w:ascii="Times New Roman" w:hAnsi="Times New Roman"/>
        </w:rPr>
      </w:pPr>
    </w:p>
    <w:p w:rsidR="00BD5489" w:rsidRPr="00BD5489" w:rsidRDefault="00BD5489" w:rsidP="005D3BD3">
      <w:pPr>
        <w:pStyle w:val="CorpoDissertao"/>
        <w:spacing w:after="0" w:line="240" w:lineRule="auto"/>
        <w:rPr>
          <w:rFonts w:ascii="Times New Roman" w:hAnsi="Times New Roman"/>
          <w:b/>
        </w:rPr>
      </w:pPr>
      <w:r w:rsidRPr="00BD5489">
        <w:rPr>
          <w:rFonts w:ascii="Times New Roman" w:hAnsi="Times New Roman"/>
          <w:b/>
        </w:rPr>
        <w:t xml:space="preserve">2. </w:t>
      </w:r>
      <w:r w:rsidR="00846EE7">
        <w:rPr>
          <w:rFonts w:ascii="Times New Roman" w:hAnsi="Times New Roman"/>
          <w:b/>
        </w:rPr>
        <w:t>Revisão da Literatura</w:t>
      </w:r>
    </w:p>
    <w:p w:rsidR="00BD5489" w:rsidRPr="00BD5489" w:rsidRDefault="00BD5489" w:rsidP="005D3BD3">
      <w:pPr>
        <w:pStyle w:val="CorpoDissertao"/>
        <w:spacing w:after="0" w:line="240" w:lineRule="auto"/>
        <w:rPr>
          <w:rFonts w:ascii="Times New Roman" w:hAnsi="Times New Roman"/>
          <w:b/>
        </w:rPr>
      </w:pPr>
      <w:bookmarkStart w:id="0" w:name="_Toc246865688"/>
      <w:bookmarkStart w:id="1" w:name="_Toc235505605"/>
      <w:bookmarkStart w:id="2" w:name="_Toc235505767"/>
      <w:bookmarkStart w:id="3" w:name="_Toc235506246"/>
      <w:bookmarkStart w:id="4" w:name="_Toc235604391"/>
      <w:bookmarkStart w:id="5" w:name="_Toc235604452"/>
      <w:bookmarkStart w:id="6" w:name="_Toc235959401"/>
      <w:r w:rsidRPr="00BD5489">
        <w:rPr>
          <w:rFonts w:ascii="Times New Roman" w:hAnsi="Times New Roman"/>
          <w:b/>
        </w:rPr>
        <w:t>2.1 F</w:t>
      </w:r>
      <w:r>
        <w:rPr>
          <w:rFonts w:ascii="Times New Roman" w:hAnsi="Times New Roman"/>
          <w:b/>
        </w:rPr>
        <w:t>atores</w:t>
      </w:r>
      <w:r w:rsidRPr="00BD5489">
        <w:rPr>
          <w:rFonts w:ascii="Times New Roman" w:hAnsi="Times New Roman"/>
          <w:b/>
        </w:rPr>
        <w:t xml:space="preserve"> determinantes do “</w:t>
      </w:r>
      <w:proofErr w:type="spellStart"/>
      <w:r w:rsidRPr="00BD5489">
        <w:rPr>
          <w:rFonts w:ascii="Times New Roman" w:hAnsi="Times New Roman"/>
          <w:b/>
        </w:rPr>
        <w:t>job-change</w:t>
      </w:r>
      <w:proofErr w:type="spellEnd"/>
      <w:r w:rsidRPr="00BD5489">
        <w:rPr>
          <w:rFonts w:ascii="Times New Roman" w:hAnsi="Times New Roman"/>
          <w:b/>
        </w:rPr>
        <w:t xml:space="preserve">”: mobilidade </w:t>
      </w:r>
      <w:proofErr w:type="spellStart"/>
      <w:r w:rsidRPr="00BD5489">
        <w:rPr>
          <w:rFonts w:ascii="Times New Roman" w:hAnsi="Times New Roman"/>
          <w:b/>
        </w:rPr>
        <w:t>int</w:t>
      </w:r>
      <w:r w:rsidR="005968F4">
        <w:rPr>
          <w:rFonts w:ascii="Times New Roman" w:hAnsi="Times New Roman"/>
          <w:b/>
        </w:rPr>
        <w:t>erfirmas</w:t>
      </w:r>
      <w:bookmarkEnd w:id="0"/>
      <w:proofErr w:type="spellEnd"/>
    </w:p>
    <w:p w:rsidR="0022611E" w:rsidRPr="0022611E" w:rsidRDefault="0022611E" w:rsidP="005D3BD3">
      <w:pPr>
        <w:spacing w:after="0" w:line="240" w:lineRule="auto"/>
        <w:ind w:firstLine="709"/>
        <w:jc w:val="both"/>
        <w:rPr>
          <w:rFonts w:ascii="Times New Roman" w:hAnsi="Times New Roman"/>
        </w:rPr>
      </w:pPr>
      <w:proofErr w:type="spellStart"/>
      <w:r>
        <w:rPr>
          <w:rFonts w:ascii="Times New Roman" w:hAnsi="Times New Roman"/>
        </w:rPr>
        <w:t>Farber</w:t>
      </w:r>
      <w:proofErr w:type="spellEnd"/>
      <w:r>
        <w:rPr>
          <w:rFonts w:ascii="Times New Roman" w:hAnsi="Times New Roman"/>
        </w:rPr>
        <w:t xml:space="preserve"> (1999) destaca três f</w:t>
      </w:r>
      <w:r w:rsidRPr="0022611E">
        <w:rPr>
          <w:rFonts w:ascii="Times New Roman" w:hAnsi="Times New Roman"/>
        </w:rPr>
        <w:t>atores centrais que descrevem a mobilidade dos trabalhadores no moderno mercado de trabalho</w:t>
      </w:r>
      <w:r>
        <w:rPr>
          <w:rFonts w:ascii="Times New Roman" w:hAnsi="Times New Roman"/>
        </w:rPr>
        <w:t xml:space="preserve">, sendo eles: as relações de emprego de longo prazo são </w:t>
      </w:r>
      <w:proofErr w:type="spellStart"/>
      <w:r>
        <w:rPr>
          <w:rFonts w:ascii="Times New Roman" w:hAnsi="Times New Roman"/>
        </w:rPr>
        <w:t>frequentes</w:t>
      </w:r>
      <w:proofErr w:type="spellEnd"/>
      <w:r>
        <w:rPr>
          <w:rFonts w:ascii="Times New Roman" w:hAnsi="Times New Roman"/>
        </w:rPr>
        <w:t xml:space="preserve"> no mercado de trabalho; a maioria dos empregos recém-criados tem pequena duração; e a probabilidade de término de um emprego decresce com a experiência no mesmo vínculo</w:t>
      </w:r>
      <w:r w:rsidRPr="0022611E">
        <w:rPr>
          <w:rFonts w:ascii="Times New Roman" w:hAnsi="Times New Roman"/>
        </w:rPr>
        <w:t>.</w:t>
      </w:r>
      <w:r>
        <w:rPr>
          <w:rFonts w:ascii="Times New Roman" w:hAnsi="Times New Roman"/>
        </w:rPr>
        <w:t xml:space="preserve"> O autor destaca que o</w:t>
      </w:r>
      <w:r w:rsidRPr="0022611E">
        <w:rPr>
          <w:rFonts w:ascii="Times New Roman" w:hAnsi="Times New Roman"/>
        </w:rPr>
        <w:t xml:space="preserve"> mercado de trabalho americano e dos demais países desenvolvidos não é marcado por relações de trabalho de curto prazo e nem existe um grande movimento de trabalhadores entre empresas. Destaca</w:t>
      </w:r>
      <w:r>
        <w:rPr>
          <w:rFonts w:ascii="Times New Roman" w:hAnsi="Times New Roman"/>
        </w:rPr>
        <w:t>, ainda,</w:t>
      </w:r>
      <w:r w:rsidRPr="0022611E">
        <w:rPr>
          <w:rFonts w:ascii="Times New Roman" w:hAnsi="Times New Roman"/>
        </w:rPr>
        <w:t xml:space="preserve"> que as relações de longo prazo são características ainda mais comuns em outros países desenvolvidos (União Européia)</w:t>
      </w:r>
      <w:r w:rsidR="00A14D29">
        <w:rPr>
          <w:rFonts w:ascii="Times New Roman" w:hAnsi="Times New Roman"/>
        </w:rPr>
        <w:t>,</w:t>
      </w:r>
      <w:r>
        <w:rPr>
          <w:rFonts w:ascii="Times New Roman" w:hAnsi="Times New Roman"/>
        </w:rPr>
        <w:t xml:space="preserve"> se comparado</w:t>
      </w:r>
      <w:r w:rsidR="009A7179">
        <w:rPr>
          <w:rFonts w:ascii="Times New Roman" w:hAnsi="Times New Roman"/>
        </w:rPr>
        <w:t>s</w:t>
      </w:r>
      <w:r>
        <w:rPr>
          <w:rFonts w:ascii="Times New Roman" w:hAnsi="Times New Roman"/>
        </w:rPr>
        <w:t xml:space="preserve"> com </w:t>
      </w:r>
      <w:r>
        <w:rPr>
          <w:rFonts w:ascii="Times New Roman" w:hAnsi="Times New Roman"/>
        </w:rPr>
        <w:lastRenderedPageBreak/>
        <w:t>os EUA</w:t>
      </w:r>
      <w:r w:rsidRPr="0022611E">
        <w:rPr>
          <w:rFonts w:ascii="Times New Roman" w:hAnsi="Times New Roman"/>
        </w:rPr>
        <w:t>. O custo para os empregadores da mudança de sua mão-de-obra é menor para os EUA do que para outras economias modernas, destacando o baixo nível de regulação estatal das relações de emprego n</w:t>
      </w:r>
      <w:r>
        <w:rPr>
          <w:rFonts w:ascii="Times New Roman" w:hAnsi="Times New Roman"/>
        </w:rPr>
        <w:t xml:space="preserve">este </w:t>
      </w:r>
      <w:r w:rsidR="009A7179">
        <w:rPr>
          <w:rFonts w:ascii="Times New Roman" w:hAnsi="Times New Roman"/>
        </w:rPr>
        <w:t>p</w:t>
      </w:r>
      <w:r>
        <w:rPr>
          <w:rFonts w:ascii="Times New Roman" w:hAnsi="Times New Roman"/>
        </w:rPr>
        <w:t xml:space="preserve">aís. </w:t>
      </w:r>
      <w:r w:rsidR="00A14D29">
        <w:rPr>
          <w:rFonts w:ascii="Times New Roman" w:hAnsi="Times New Roman"/>
        </w:rPr>
        <w:t>Nesse sentido</w:t>
      </w:r>
      <w:r>
        <w:rPr>
          <w:rFonts w:ascii="Times New Roman" w:hAnsi="Times New Roman"/>
        </w:rPr>
        <w:t>, e</w:t>
      </w:r>
      <w:r w:rsidRPr="0022611E">
        <w:rPr>
          <w:rFonts w:ascii="Times New Roman" w:hAnsi="Times New Roman"/>
        </w:rPr>
        <w:t xml:space="preserve">mbora uma fração substancial da força de trabalho </w:t>
      </w:r>
      <w:r w:rsidR="00A14D29">
        <w:rPr>
          <w:rFonts w:ascii="Times New Roman" w:hAnsi="Times New Roman"/>
        </w:rPr>
        <w:t>a</w:t>
      </w:r>
      <w:r w:rsidRPr="0022611E">
        <w:rPr>
          <w:rFonts w:ascii="Times New Roman" w:hAnsi="Times New Roman"/>
        </w:rPr>
        <w:t>presente relações de longo prazo, a maioria dos postos de trabalho dura pouco tempo.</w:t>
      </w:r>
      <w:r w:rsidR="009A7179">
        <w:rPr>
          <w:rFonts w:ascii="Times New Roman" w:hAnsi="Times New Roman"/>
        </w:rPr>
        <w:t xml:space="preserve"> </w:t>
      </w:r>
      <w:r w:rsidR="00A14D29">
        <w:rPr>
          <w:rFonts w:ascii="Times New Roman" w:hAnsi="Times New Roman"/>
        </w:rPr>
        <w:t>Tendo em vista</w:t>
      </w:r>
      <w:r w:rsidRPr="0022611E">
        <w:rPr>
          <w:rFonts w:ascii="Times New Roman" w:hAnsi="Times New Roman"/>
        </w:rPr>
        <w:t xml:space="preserve"> que existem durações de longo prazo de emprego e que as relações de curto prazo tendem a ser menos duradouras, a probabilidade de mudança entre empregos diminui com o aumento da duração do v</w:t>
      </w:r>
      <w:r w:rsidR="00A14D29">
        <w:rPr>
          <w:rFonts w:ascii="Times New Roman" w:hAnsi="Times New Roman"/>
        </w:rPr>
        <w:t>í</w:t>
      </w:r>
      <w:r w:rsidRPr="0022611E">
        <w:rPr>
          <w:rFonts w:ascii="Times New Roman" w:hAnsi="Times New Roman"/>
        </w:rPr>
        <w:t xml:space="preserve">nculo no mesmo emprego. </w:t>
      </w:r>
    </w:p>
    <w:p w:rsidR="007255D0" w:rsidRDefault="009A7179" w:rsidP="005D3BD3">
      <w:pPr>
        <w:spacing w:after="0" w:line="240" w:lineRule="auto"/>
        <w:ind w:firstLine="709"/>
        <w:jc w:val="both"/>
        <w:rPr>
          <w:rFonts w:ascii="Times New Roman" w:hAnsi="Times New Roman"/>
        </w:rPr>
      </w:pPr>
      <w:r>
        <w:rPr>
          <w:rFonts w:ascii="Times New Roman" w:hAnsi="Times New Roman"/>
        </w:rPr>
        <w:t>Outros autores enfatizam o papel do salário</w:t>
      </w:r>
      <w:r w:rsidR="00D17996">
        <w:rPr>
          <w:rFonts w:ascii="Times New Roman" w:hAnsi="Times New Roman"/>
        </w:rPr>
        <w:t>, da educação e da experiência</w:t>
      </w:r>
      <w:r>
        <w:rPr>
          <w:rFonts w:ascii="Times New Roman" w:hAnsi="Times New Roman"/>
        </w:rPr>
        <w:t xml:space="preserve"> sobre a mobilidade </w:t>
      </w:r>
      <w:proofErr w:type="spellStart"/>
      <w:r>
        <w:rPr>
          <w:rFonts w:ascii="Times New Roman" w:hAnsi="Times New Roman"/>
        </w:rPr>
        <w:t>interfirmas</w:t>
      </w:r>
      <w:proofErr w:type="spellEnd"/>
      <w:r>
        <w:rPr>
          <w:rFonts w:ascii="Times New Roman" w:hAnsi="Times New Roman"/>
        </w:rPr>
        <w:t xml:space="preserve">. </w:t>
      </w:r>
      <w:r w:rsidR="00D17996">
        <w:rPr>
          <w:rFonts w:ascii="Times New Roman" w:hAnsi="Times New Roman"/>
        </w:rPr>
        <w:t>No</w:t>
      </w:r>
      <w:r>
        <w:rPr>
          <w:rFonts w:ascii="Times New Roman" w:hAnsi="Times New Roman"/>
        </w:rPr>
        <w:t xml:space="preserve"> caso de </w:t>
      </w:r>
      <w:proofErr w:type="spellStart"/>
      <w:r w:rsidR="00BD5489" w:rsidRPr="00A96392">
        <w:rPr>
          <w:rFonts w:ascii="Times New Roman" w:hAnsi="Times New Roman"/>
        </w:rPr>
        <w:t>Topel</w:t>
      </w:r>
      <w:proofErr w:type="spellEnd"/>
      <w:r w:rsidR="00BD5489" w:rsidRPr="00A96392">
        <w:rPr>
          <w:rFonts w:ascii="Times New Roman" w:hAnsi="Times New Roman"/>
        </w:rPr>
        <w:t xml:space="preserve"> e </w:t>
      </w:r>
      <w:proofErr w:type="spellStart"/>
      <w:r w:rsidR="00BD5489" w:rsidRPr="00A96392">
        <w:rPr>
          <w:rFonts w:ascii="Times New Roman" w:hAnsi="Times New Roman"/>
        </w:rPr>
        <w:t>Ward</w:t>
      </w:r>
      <w:proofErr w:type="spellEnd"/>
      <w:r w:rsidR="00BD5489" w:rsidRPr="00A96392">
        <w:rPr>
          <w:rFonts w:ascii="Times New Roman" w:hAnsi="Times New Roman"/>
        </w:rPr>
        <w:t xml:space="preserve"> (1992)</w:t>
      </w:r>
      <w:r>
        <w:rPr>
          <w:rFonts w:ascii="Times New Roman" w:hAnsi="Times New Roman"/>
        </w:rPr>
        <w:t xml:space="preserve">, </w:t>
      </w:r>
      <w:r w:rsidR="00D17996">
        <w:rPr>
          <w:rFonts w:ascii="Times New Roman" w:hAnsi="Times New Roman"/>
        </w:rPr>
        <w:t>destaca-se</w:t>
      </w:r>
      <w:r>
        <w:rPr>
          <w:rFonts w:ascii="Times New Roman" w:hAnsi="Times New Roman"/>
        </w:rPr>
        <w:t xml:space="preserve"> </w:t>
      </w:r>
      <w:r w:rsidR="00BD5489" w:rsidRPr="00A96392">
        <w:rPr>
          <w:rFonts w:ascii="Times New Roman" w:hAnsi="Times New Roman"/>
        </w:rPr>
        <w:t xml:space="preserve">a evolução salarial </w:t>
      </w:r>
      <w:r>
        <w:rPr>
          <w:rFonts w:ascii="Times New Roman" w:hAnsi="Times New Roman"/>
        </w:rPr>
        <w:t xml:space="preserve">como fator </w:t>
      </w:r>
      <w:r w:rsidR="00BD5489" w:rsidRPr="00A96392">
        <w:rPr>
          <w:rFonts w:ascii="Times New Roman" w:hAnsi="Times New Roman"/>
        </w:rPr>
        <w:t>fundamental na transição para um emprego estável, sendo o salário o principal determinante da mobilidade desses trabalhadores. Para esses autores, é amplamente documentado na literatura sobre mobilidade laboral que as taxas de mudança de emprego declinam com o aumento da idade ou da experiência, com destaque para o tempo de vínculo num mesmo emprego. Nesse trabalho, a transição entre diferentes empregos é fundamental no desenvolvimento da carreira de jovens trabalhadores.</w:t>
      </w:r>
      <w:r w:rsidR="00D17996">
        <w:rPr>
          <w:rFonts w:ascii="Times New Roman" w:hAnsi="Times New Roman"/>
        </w:rPr>
        <w:t xml:space="preserve"> </w:t>
      </w:r>
    </w:p>
    <w:p w:rsidR="007255D0" w:rsidRDefault="00D17996" w:rsidP="005D3BD3">
      <w:pPr>
        <w:spacing w:after="0" w:line="240" w:lineRule="auto"/>
        <w:ind w:firstLine="709"/>
        <w:jc w:val="both"/>
        <w:rPr>
          <w:rFonts w:ascii="Times New Roman" w:hAnsi="Times New Roman"/>
        </w:rPr>
      </w:pPr>
      <w:r w:rsidRPr="00D17996">
        <w:rPr>
          <w:rFonts w:ascii="Times New Roman" w:hAnsi="Times New Roman"/>
        </w:rPr>
        <w:t>Para Schwartz (1976), pessoas com maiores níveis de educaç</w:t>
      </w:r>
      <w:r>
        <w:rPr>
          <w:rFonts w:ascii="Times New Roman" w:hAnsi="Times New Roman"/>
        </w:rPr>
        <w:t>ão e experiência são mais propensas a migrar a fim de aproveitar seu maior potencial para auferir retornos pecuniários maiores, de acordo com a teoria do capital humano.</w:t>
      </w:r>
      <w:r w:rsidR="007255D0">
        <w:rPr>
          <w:rFonts w:ascii="Times New Roman" w:hAnsi="Times New Roman"/>
        </w:rPr>
        <w:t xml:space="preserve"> Argumentos que reforçam tal relação podem ser encontrados também em </w:t>
      </w:r>
      <w:proofErr w:type="spellStart"/>
      <w:r w:rsidR="007255D0">
        <w:rPr>
          <w:rFonts w:ascii="Times New Roman" w:hAnsi="Times New Roman"/>
        </w:rPr>
        <w:t>Borjas</w:t>
      </w:r>
      <w:proofErr w:type="spellEnd"/>
      <w:r w:rsidR="007255D0">
        <w:rPr>
          <w:rFonts w:ascii="Times New Roman" w:hAnsi="Times New Roman"/>
        </w:rPr>
        <w:t xml:space="preserve"> (1996), ainda que referentes à mobilidade espacial do trabalhador (migração). </w:t>
      </w:r>
      <w:proofErr w:type="spellStart"/>
      <w:r w:rsidR="007255D0">
        <w:rPr>
          <w:rFonts w:ascii="Times New Roman" w:hAnsi="Times New Roman"/>
        </w:rPr>
        <w:t>Borjas</w:t>
      </w:r>
      <w:proofErr w:type="spellEnd"/>
      <w:r w:rsidR="007255D0">
        <w:rPr>
          <w:rFonts w:ascii="Times New Roman" w:hAnsi="Times New Roman"/>
        </w:rPr>
        <w:t xml:space="preserve"> (1996) apresenta duas causas </w:t>
      </w:r>
      <w:r w:rsidR="007255D0" w:rsidRPr="0042356A">
        <w:rPr>
          <w:rFonts w:ascii="Times New Roman" w:hAnsi="Times New Roman"/>
        </w:rPr>
        <w:t xml:space="preserve">para a correlação positiva entre a qualificação do trabalhador e a probabilidade de migrar: 1) trabalhadores </w:t>
      </w:r>
      <w:r w:rsidR="007255D0">
        <w:rPr>
          <w:rFonts w:ascii="Times New Roman" w:hAnsi="Times New Roman"/>
        </w:rPr>
        <w:t xml:space="preserve">qualificados </w:t>
      </w:r>
      <w:r w:rsidR="007255D0" w:rsidRPr="0042356A">
        <w:rPr>
          <w:rFonts w:ascii="Times New Roman" w:hAnsi="Times New Roman"/>
        </w:rPr>
        <w:t>adquirem informações sobre empregos em outros mercados de trabalho, de forma mais eficiente, e, assim, incorreriam em custos de migração menores; 2) trabalhadores com nível educacional mais elevado possuem mais alternativas de emprego no mercado de trabalho do que os com menor nível educacional.</w:t>
      </w:r>
    </w:p>
    <w:p w:rsidR="00336AA9" w:rsidRPr="00A96392" w:rsidRDefault="00336AA9" w:rsidP="005D3BD3">
      <w:pPr>
        <w:spacing w:after="0" w:line="240" w:lineRule="auto"/>
        <w:ind w:firstLine="709"/>
        <w:jc w:val="both"/>
        <w:rPr>
          <w:rFonts w:ascii="Times New Roman" w:hAnsi="Times New Roman"/>
        </w:rPr>
      </w:pPr>
      <w:proofErr w:type="spellStart"/>
      <w:r w:rsidRPr="00A96392">
        <w:rPr>
          <w:rFonts w:ascii="Times New Roman" w:hAnsi="Times New Roman"/>
        </w:rPr>
        <w:t>Holzer</w:t>
      </w:r>
      <w:proofErr w:type="spellEnd"/>
      <w:r w:rsidRPr="00A96392">
        <w:rPr>
          <w:rFonts w:ascii="Times New Roman" w:hAnsi="Times New Roman"/>
        </w:rPr>
        <w:t xml:space="preserve"> e </w:t>
      </w:r>
      <w:proofErr w:type="spellStart"/>
      <w:r w:rsidRPr="00A96392">
        <w:rPr>
          <w:rFonts w:ascii="Times New Roman" w:hAnsi="Times New Roman"/>
        </w:rPr>
        <w:t>LaLonde</w:t>
      </w:r>
      <w:proofErr w:type="spellEnd"/>
      <w:r w:rsidRPr="00A96392">
        <w:rPr>
          <w:rFonts w:ascii="Times New Roman" w:hAnsi="Times New Roman"/>
        </w:rPr>
        <w:t xml:space="preserve"> (1999) fazem uma revisão bibliográfica referente aos indicadores de instabilidade do trabalho, chamando a atenção para o fato das diferenças existentes entre grupos demográficos. Os autores destacam a maior instabilidade do emprego para mulheres, minorias e menos educados e confirma que a instabilidade do emprego tende a diminuir com a idade e experiência, mesmo para os menos qualificados.</w:t>
      </w:r>
    </w:p>
    <w:p w:rsidR="00193543" w:rsidRDefault="00BD5489" w:rsidP="005D3BD3">
      <w:pPr>
        <w:autoSpaceDE w:val="0"/>
        <w:autoSpaceDN w:val="0"/>
        <w:adjustRightInd w:val="0"/>
        <w:spacing w:after="0" w:line="240" w:lineRule="auto"/>
        <w:ind w:firstLine="709"/>
        <w:jc w:val="both"/>
        <w:rPr>
          <w:rFonts w:ascii="Times New Roman" w:hAnsi="Times New Roman"/>
        </w:rPr>
      </w:pPr>
      <w:proofErr w:type="spellStart"/>
      <w:r w:rsidRPr="00A96392">
        <w:rPr>
          <w:rFonts w:ascii="Times New Roman" w:hAnsi="Times New Roman"/>
        </w:rPr>
        <w:t>Pacelli</w:t>
      </w:r>
      <w:proofErr w:type="spellEnd"/>
      <w:r w:rsidR="002B7ADD">
        <w:rPr>
          <w:rFonts w:ascii="Times New Roman" w:hAnsi="Times New Roman"/>
        </w:rPr>
        <w:t xml:space="preserve"> </w:t>
      </w:r>
      <w:proofErr w:type="spellStart"/>
      <w:r w:rsidRPr="002D31F8">
        <w:rPr>
          <w:rFonts w:ascii="Times New Roman" w:hAnsi="Times New Roman"/>
          <w:i/>
        </w:rPr>
        <w:t>et</w:t>
      </w:r>
      <w:proofErr w:type="spellEnd"/>
      <w:r w:rsidRPr="002D31F8">
        <w:rPr>
          <w:rFonts w:ascii="Times New Roman" w:hAnsi="Times New Roman"/>
          <w:i/>
        </w:rPr>
        <w:t xml:space="preserve"> al</w:t>
      </w:r>
      <w:r w:rsidRPr="00D30952">
        <w:rPr>
          <w:rFonts w:ascii="Times New Roman" w:hAnsi="Times New Roman"/>
        </w:rPr>
        <w:t>.</w:t>
      </w:r>
      <w:r w:rsidRPr="00A96392">
        <w:rPr>
          <w:rFonts w:ascii="Times New Roman" w:hAnsi="Times New Roman"/>
        </w:rPr>
        <w:t xml:space="preserve"> (1998) fazem um estudo para investigar a composição do emprego e a dinâmica da indústria italiana, de acordo com a </w:t>
      </w:r>
      <w:r w:rsidRPr="00D30952">
        <w:rPr>
          <w:rFonts w:ascii="Times New Roman" w:hAnsi="Times New Roman"/>
        </w:rPr>
        <w:t>intensidade tecnológica industrial</w:t>
      </w:r>
      <w:r w:rsidRPr="00A96392">
        <w:rPr>
          <w:rFonts w:ascii="Times New Roman" w:hAnsi="Times New Roman"/>
        </w:rPr>
        <w:t xml:space="preserve">. Os autores visam investigar os determinantes da </w:t>
      </w:r>
      <w:r w:rsidR="00BE5F60">
        <w:rPr>
          <w:rFonts w:ascii="Times New Roman" w:hAnsi="Times New Roman"/>
        </w:rPr>
        <w:t>quebra de vínculo da mão-de-obra e d</w:t>
      </w:r>
      <w:r w:rsidR="00983857">
        <w:rPr>
          <w:rFonts w:ascii="Times New Roman" w:hAnsi="Times New Roman"/>
        </w:rPr>
        <w:t>o seu subconjunto particular</w:t>
      </w:r>
      <w:r w:rsidR="002B7ADD">
        <w:rPr>
          <w:rFonts w:ascii="Times New Roman" w:hAnsi="Times New Roman"/>
        </w:rPr>
        <w:t xml:space="preserve"> </w:t>
      </w:r>
      <w:r w:rsidR="00265A64">
        <w:rPr>
          <w:rFonts w:ascii="Times New Roman" w:hAnsi="Times New Roman"/>
        </w:rPr>
        <w:t>(movimentos “</w:t>
      </w:r>
      <w:proofErr w:type="spellStart"/>
      <w:r w:rsidR="00265A64" w:rsidRPr="00BE5F60">
        <w:rPr>
          <w:rFonts w:ascii="Times New Roman" w:hAnsi="Times New Roman"/>
          <w:i/>
        </w:rPr>
        <w:t>job-to-job</w:t>
      </w:r>
      <w:proofErr w:type="spellEnd"/>
      <w:r w:rsidR="00265A64">
        <w:rPr>
          <w:rFonts w:ascii="Times New Roman" w:hAnsi="Times New Roman"/>
        </w:rPr>
        <w:t>”)</w:t>
      </w:r>
      <w:r w:rsidR="00983857">
        <w:rPr>
          <w:rFonts w:ascii="Times New Roman" w:hAnsi="Times New Roman"/>
        </w:rPr>
        <w:t xml:space="preserve">, que é caracterizado pela </w:t>
      </w:r>
      <w:r w:rsidR="00BE5F60">
        <w:rPr>
          <w:rFonts w:ascii="Times New Roman" w:hAnsi="Times New Roman"/>
        </w:rPr>
        <w:t>mobilidade laboral sem período</w:t>
      </w:r>
      <w:r w:rsidR="00983857">
        <w:rPr>
          <w:rFonts w:ascii="Times New Roman" w:hAnsi="Times New Roman"/>
        </w:rPr>
        <w:t>s</w:t>
      </w:r>
      <w:r w:rsidR="00BE5F60">
        <w:rPr>
          <w:rFonts w:ascii="Times New Roman" w:hAnsi="Times New Roman"/>
        </w:rPr>
        <w:t xml:space="preserve"> de desemprego</w:t>
      </w:r>
      <w:r w:rsidR="00983857">
        <w:rPr>
          <w:rFonts w:ascii="Times New Roman" w:hAnsi="Times New Roman"/>
        </w:rPr>
        <w:t>, de saída da força de trabalho ou de emprego</w:t>
      </w:r>
      <w:r w:rsidR="002B7ADD">
        <w:rPr>
          <w:rFonts w:ascii="Times New Roman" w:hAnsi="Times New Roman"/>
        </w:rPr>
        <w:t xml:space="preserve"> </w:t>
      </w:r>
      <w:r w:rsidR="00265A64">
        <w:rPr>
          <w:rFonts w:ascii="Times New Roman" w:hAnsi="Times New Roman"/>
        </w:rPr>
        <w:t>autônomo</w:t>
      </w:r>
      <w:r w:rsidR="00983857">
        <w:rPr>
          <w:rFonts w:ascii="Times New Roman" w:hAnsi="Times New Roman"/>
        </w:rPr>
        <w:t xml:space="preserve">. </w:t>
      </w:r>
      <w:r w:rsidR="00193543">
        <w:rPr>
          <w:rFonts w:ascii="Times New Roman" w:hAnsi="Times New Roman"/>
        </w:rPr>
        <w:t xml:space="preserve">O primeiro tipo de quebra de vínculo inibe investimentos da firma no trabalhador e </w:t>
      </w:r>
      <w:r w:rsidR="00265A64">
        <w:rPr>
          <w:rFonts w:ascii="Times New Roman" w:hAnsi="Times New Roman"/>
        </w:rPr>
        <w:t xml:space="preserve">a </w:t>
      </w:r>
      <w:r w:rsidR="00193543">
        <w:rPr>
          <w:rFonts w:ascii="Times New Roman" w:hAnsi="Times New Roman"/>
        </w:rPr>
        <w:t>acumulação de capital humano específico da firma. O segundo tipo, movimentos “</w:t>
      </w:r>
      <w:proofErr w:type="spellStart"/>
      <w:r w:rsidR="00193543" w:rsidRPr="00BE5F60">
        <w:rPr>
          <w:rFonts w:ascii="Times New Roman" w:hAnsi="Times New Roman"/>
          <w:i/>
        </w:rPr>
        <w:t>job-to-job</w:t>
      </w:r>
      <w:proofErr w:type="spellEnd"/>
      <w:r w:rsidR="00193543">
        <w:rPr>
          <w:rFonts w:ascii="Times New Roman" w:hAnsi="Times New Roman"/>
        </w:rPr>
        <w:t xml:space="preserve">”, representa a mobilidade </w:t>
      </w:r>
      <w:proofErr w:type="spellStart"/>
      <w:r w:rsidR="00193543">
        <w:rPr>
          <w:rFonts w:ascii="Times New Roman" w:hAnsi="Times New Roman"/>
        </w:rPr>
        <w:t>interfirma</w:t>
      </w:r>
      <w:proofErr w:type="spellEnd"/>
      <w:r w:rsidR="00193543">
        <w:rPr>
          <w:rFonts w:ascii="Times New Roman" w:hAnsi="Times New Roman"/>
        </w:rPr>
        <w:t xml:space="preserve">, que pode conduzir a troca de conhecimento e experiência </w:t>
      </w:r>
      <w:proofErr w:type="spellStart"/>
      <w:r w:rsidR="00193543">
        <w:rPr>
          <w:rFonts w:ascii="Times New Roman" w:hAnsi="Times New Roman"/>
        </w:rPr>
        <w:t>interfirmas</w:t>
      </w:r>
      <w:proofErr w:type="spellEnd"/>
      <w:r w:rsidR="00193543">
        <w:rPr>
          <w:rFonts w:ascii="Times New Roman" w:hAnsi="Times New Roman"/>
        </w:rPr>
        <w:t xml:space="preserve">. </w:t>
      </w:r>
    </w:p>
    <w:p w:rsidR="00983857" w:rsidRDefault="00983857" w:rsidP="005D3BD3">
      <w:pPr>
        <w:autoSpaceDE w:val="0"/>
        <w:autoSpaceDN w:val="0"/>
        <w:adjustRightInd w:val="0"/>
        <w:spacing w:after="0" w:line="240" w:lineRule="auto"/>
        <w:ind w:firstLine="709"/>
        <w:jc w:val="both"/>
        <w:rPr>
          <w:rFonts w:ascii="Times New Roman" w:hAnsi="Times New Roman"/>
        </w:rPr>
      </w:pPr>
      <w:r>
        <w:rPr>
          <w:rFonts w:ascii="Times New Roman" w:hAnsi="Times New Roman"/>
        </w:rPr>
        <w:t>U</w:t>
      </w:r>
      <w:r w:rsidR="00892252" w:rsidRPr="00A96392">
        <w:rPr>
          <w:rFonts w:ascii="Times New Roman" w:hAnsi="Times New Roman"/>
        </w:rPr>
        <w:t>sando um</w:t>
      </w:r>
      <w:r w:rsidR="00BD5489" w:rsidRPr="00A96392">
        <w:rPr>
          <w:rFonts w:ascii="Times New Roman" w:hAnsi="Times New Roman"/>
        </w:rPr>
        <w:t xml:space="preserve"> modelo de regressão logística</w:t>
      </w:r>
      <w:r w:rsidR="00892252" w:rsidRPr="00A96392">
        <w:rPr>
          <w:rFonts w:ascii="Times New Roman" w:hAnsi="Times New Roman"/>
        </w:rPr>
        <w:t>,</w:t>
      </w:r>
      <w:r w:rsidR="00A34287">
        <w:rPr>
          <w:rFonts w:ascii="Times New Roman" w:hAnsi="Times New Roman"/>
        </w:rPr>
        <w:t xml:space="preserve"> </w:t>
      </w:r>
      <w:r w:rsidR="00892252" w:rsidRPr="00A96392">
        <w:rPr>
          <w:rFonts w:ascii="Times New Roman" w:hAnsi="Times New Roman"/>
        </w:rPr>
        <w:t>com a</w:t>
      </w:r>
      <w:r w:rsidR="00BD5489" w:rsidRPr="00A96392">
        <w:rPr>
          <w:rFonts w:ascii="Times New Roman" w:hAnsi="Times New Roman"/>
        </w:rPr>
        <w:t xml:space="preserve"> variável dependente assum</w:t>
      </w:r>
      <w:r w:rsidR="00892252" w:rsidRPr="00A96392">
        <w:rPr>
          <w:rFonts w:ascii="Times New Roman" w:hAnsi="Times New Roman"/>
        </w:rPr>
        <w:t xml:space="preserve">indo </w:t>
      </w:r>
      <w:r w:rsidR="00A34287">
        <w:rPr>
          <w:rFonts w:ascii="Times New Roman" w:hAnsi="Times New Roman"/>
        </w:rPr>
        <w:t>"</w:t>
      </w:r>
      <w:r w:rsidR="00BD5489" w:rsidRPr="00A96392">
        <w:rPr>
          <w:rFonts w:ascii="Times New Roman" w:hAnsi="Times New Roman"/>
        </w:rPr>
        <w:t>0</w:t>
      </w:r>
      <w:r w:rsidR="00A34287">
        <w:rPr>
          <w:rFonts w:ascii="Times New Roman" w:hAnsi="Times New Roman"/>
        </w:rPr>
        <w:t>"</w:t>
      </w:r>
      <w:r w:rsidR="00BD5489" w:rsidRPr="00A96392">
        <w:rPr>
          <w:rFonts w:ascii="Times New Roman" w:hAnsi="Times New Roman"/>
        </w:rPr>
        <w:t xml:space="preserve"> para os casos em que não há </w:t>
      </w:r>
      <w:r>
        <w:rPr>
          <w:rFonts w:ascii="Times New Roman" w:hAnsi="Times New Roman"/>
        </w:rPr>
        <w:t>quebra de vínculo</w:t>
      </w:r>
      <w:r w:rsidR="00BD5489" w:rsidRPr="00A96392">
        <w:rPr>
          <w:rFonts w:ascii="Times New Roman" w:hAnsi="Times New Roman"/>
        </w:rPr>
        <w:t xml:space="preserve"> e </w:t>
      </w:r>
      <w:r w:rsidR="00A34287">
        <w:rPr>
          <w:rFonts w:ascii="Times New Roman" w:hAnsi="Times New Roman"/>
        </w:rPr>
        <w:t>"</w:t>
      </w:r>
      <w:r w:rsidR="00BD5489" w:rsidRPr="00A96392">
        <w:rPr>
          <w:rFonts w:ascii="Times New Roman" w:hAnsi="Times New Roman"/>
        </w:rPr>
        <w:t>1</w:t>
      </w:r>
      <w:r w:rsidR="00A34287">
        <w:rPr>
          <w:rFonts w:ascii="Times New Roman" w:hAnsi="Times New Roman"/>
        </w:rPr>
        <w:t>"</w:t>
      </w:r>
      <w:r w:rsidR="00BD5489" w:rsidRPr="00A96392">
        <w:rPr>
          <w:rFonts w:ascii="Times New Roman" w:hAnsi="Times New Roman"/>
        </w:rPr>
        <w:t xml:space="preserve"> para os casos em que ela ocorre</w:t>
      </w:r>
      <w:r>
        <w:rPr>
          <w:rFonts w:ascii="Times New Roman" w:hAnsi="Times New Roman"/>
        </w:rPr>
        <w:t>, o</w:t>
      </w:r>
      <w:r w:rsidR="00193543">
        <w:rPr>
          <w:rFonts w:ascii="Times New Roman" w:hAnsi="Times New Roman"/>
        </w:rPr>
        <w:t>s</w:t>
      </w:r>
      <w:r>
        <w:rPr>
          <w:rFonts w:ascii="Times New Roman" w:hAnsi="Times New Roman"/>
        </w:rPr>
        <w:t xml:space="preserve"> autor</w:t>
      </w:r>
      <w:r w:rsidR="00193543">
        <w:rPr>
          <w:rFonts w:ascii="Times New Roman" w:hAnsi="Times New Roman"/>
        </w:rPr>
        <w:t>es</w:t>
      </w:r>
      <w:r>
        <w:rPr>
          <w:rFonts w:ascii="Times New Roman" w:hAnsi="Times New Roman"/>
        </w:rPr>
        <w:t xml:space="preserve"> controla</w:t>
      </w:r>
      <w:r w:rsidR="00193543">
        <w:rPr>
          <w:rFonts w:ascii="Times New Roman" w:hAnsi="Times New Roman"/>
        </w:rPr>
        <w:t>m</w:t>
      </w:r>
      <w:r>
        <w:rPr>
          <w:rFonts w:ascii="Times New Roman" w:hAnsi="Times New Roman"/>
        </w:rPr>
        <w:t xml:space="preserve"> o modelo por</w:t>
      </w:r>
      <w:r w:rsidR="00BD5489" w:rsidRPr="00A96392">
        <w:rPr>
          <w:rFonts w:ascii="Times New Roman" w:hAnsi="Times New Roman"/>
        </w:rPr>
        <w:t xml:space="preserve"> características do trabalhador e da firma</w:t>
      </w:r>
      <w:r w:rsidR="00193543">
        <w:rPr>
          <w:rFonts w:ascii="Times New Roman" w:hAnsi="Times New Roman"/>
        </w:rPr>
        <w:t>, como</w:t>
      </w:r>
      <w:r w:rsidR="00BD5489" w:rsidRPr="00A96392">
        <w:rPr>
          <w:rFonts w:ascii="Times New Roman" w:hAnsi="Times New Roman"/>
        </w:rPr>
        <w:t xml:space="preserve">: sexo, idade, salário, categoria profissional, duração do emprego, tamanho da firma, </w:t>
      </w:r>
      <w:r>
        <w:rPr>
          <w:rFonts w:ascii="Times New Roman" w:hAnsi="Times New Roman"/>
        </w:rPr>
        <w:t xml:space="preserve">intensidade tecnológica setorial, </w:t>
      </w:r>
      <w:r w:rsidR="00BD5489" w:rsidRPr="00A96392">
        <w:rPr>
          <w:rFonts w:ascii="Times New Roman" w:hAnsi="Times New Roman"/>
        </w:rPr>
        <w:t xml:space="preserve">dentre outras. </w:t>
      </w:r>
    </w:p>
    <w:p w:rsidR="007E40BD" w:rsidRDefault="00983857" w:rsidP="005D3BD3">
      <w:pPr>
        <w:autoSpaceDE w:val="0"/>
        <w:autoSpaceDN w:val="0"/>
        <w:adjustRightInd w:val="0"/>
        <w:spacing w:after="0" w:line="240" w:lineRule="auto"/>
        <w:ind w:firstLine="709"/>
        <w:jc w:val="both"/>
        <w:rPr>
          <w:rFonts w:ascii="Times New Roman" w:hAnsi="Times New Roman"/>
        </w:rPr>
      </w:pPr>
      <w:r>
        <w:rPr>
          <w:rFonts w:ascii="Times New Roman" w:hAnsi="Times New Roman"/>
        </w:rPr>
        <w:t>A partir dos</w:t>
      </w:r>
      <w:r w:rsidR="00BD5489" w:rsidRPr="00A96392">
        <w:rPr>
          <w:rFonts w:ascii="Times New Roman" w:hAnsi="Times New Roman"/>
        </w:rPr>
        <w:t xml:space="preserve"> resultados</w:t>
      </w:r>
      <w:r w:rsidR="00A96392" w:rsidRPr="00A96392">
        <w:rPr>
          <w:rFonts w:ascii="Times New Roman" w:hAnsi="Times New Roman"/>
        </w:rPr>
        <w:t xml:space="preserve"> do trabalho</w:t>
      </w:r>
      <w:r>
        <w:rPr>
          <w:rFonts w:ascii="Times New Roman" w:hAnsi="Times New Roman"/>
        </w:rPr>
        <w:t>,</w:t>
      </w:r>
      <w:r w:rsidR="00A96392" w:rsidRPr="00A96392">
        <w:rPr>
          <w:rFonts w:ascii="Times New Roman" w:hAnsi="Times New Roman"/>
        </w:rPr>
        <w:t xml:space="preserve"> observa-se </w:t>
      </w:r>
      <w:r w:rsidR="00BD5489" w:rsidRPr="00A96392">
        <w:rPr>
          <w:rFonts w:ascii="Times New Roman" w:hAnsi="Times New Roman"/>
        </w:rPr>
        <w:t xml:space="preserve">que a probabilidade de </w:t>
      </w:r>
      <w:r>
        <w:rPr>
          <w:rFonts w:ascii="Times New Roman" w:hAnsi="Times New Roman"/>
        </w:rPr>
        <w:t xml:space="preserve">quebra de vínculo é maior para </w:t>
      </w:r>
      <w:r w:rsidR="007E40BD">
        <w:rPr>
          <w:rFonts w:ascii="Times New Roman" w:hAnsi="Times New Roman"/>
        </w:rPr>
        <w:t xml:space="preserve">mulheres, </w:t>
      </w:r>
      <w:r>
        <w:rPr>
          <w:rFonts w:ascii="Times New Roman" w:hAnsi="Times New Roman"/>
        </w:rPr>
        <w:t>trabalhadores manuais</w:t>
      </w:r>
      <w:r w:rsidR="007E40BD">
        <w:rPr>
          <w:rFonts w:ascii="Times New Roman" w:hAnsi="Times New Roman"/>
        </w:rPr>
        <w:t xml:space="preserve"> e</w:t>
      </w:r>
      <w:r>
        <w:rPr>
          <w:rFonts w:ascii="Times New Roman" w:hAnsi="Times New Roman"/>
        </w:rPr>
        <w:t xml:space="preserve"> jovens</w:t>
      </w:r>
      <w:r w:rsidR="007E40BD">
        <w:rPr>
          <w:rFonts w:ascii="Times New Roman" w:hAnsi="Times New Roman"/>
        </w:rPr>
        <w:t>. Por outro lado, a quebra de vínculo</w:t>
      </w:r>
      <w:r>
        <w:rPr>
          <w:rFonts w:ascii="Times New Roman" w:hAnsi="Times New Roman"/>
        </w:rPr>
        <w:t xml:space="preserve"> decresce </w:t>
      </w:r>
      <w:proofErr w:type="spellStart"/>
      <w:r>
        <w:rPr>
          <w:rFonts w:ascii="Times New Roman" w:hAnsi="Times New Roman"/>
        </w:rPr>
        <w:t>monotonicamente</w:t>
      </w:r>
      <w:proofErr w:type="spellEnd"/>
      <w:r>
        <w:rPr>
          <w:rFonts w:ascii="Times New Roman" w:hAnsi="Times New Roman"/>
        </w:rPr>
        <w:t xml:space="preserve"> com o tamanho da firma, com a experiência no vínculo e com o crescimento do salário. Além disso, </w:t>
      </w:r>
      <w:r w:rsidR="00A4554B">
        <w:rPr>
          <w:rFonts w:ascii="Times New Roman" w:hAnsi="Times New Roman"/>
        </w:rPr>
        <w:t xml:space="preserve">os </w:t>
      </w:r>
      <w:r>
        <w:rPr>
          <w:rFonts w:ascii="Times New Roman" w:hAnsi="Times New Roman"/>
        </w:rPr>
        <w:t xml:space="preserve">setores de tecnologia tradicional </w:t>
      </w:r>
      <w:r w:rsidR="00A4554B">
        <w:rPr>
          <w:rFonts w:ascii="Times New Roman" w:hAnsi="Times New Roman"/>
        </w:rPr>
        <w:t xml:space="preserve">da Itália </w:t>
      </w:r>
      <w:r>
        <w:rPr>
          <w:rFonts w:ascii="Times New Roman" w:hAnsi="Times New Roman"/>
        </w:rPr>
        <w:t>est</w:t>
      </w:r>
      <w:r w:rsidR="00A4554B">
        <w:rPr>
          <w:rFonts w:ascii="Times New Roman" w:hAnsi="Times New Roman"/>
        </w:rPr>
        <w:t>ariam</w:t>
      </w:r>
      <w:r>
        <w:rPr>
          <w:rFonts w:ascii="Times New Roman" w:hAnsi="Times New Roman"/>
        </w:rPr>
        <w:t xml:space="preserve"> mais propensos a </w:t>
      </w:r>
      <w:r w:rsidR="00A4554B">
        <w:rPr>
          <w:rFonts w:ascii="Times New Roman" w:hAnsi="Times New Roman"/>
        </w:rPr>
        <w:t>sofrer</w:t>
      </w:r>
      <w:r>
        <w:rPr>
          <w:rFonts w:ascii="Times New Roman" w:hAnsi="Times New Roman"/>
        </w:rPr>
        <w:t xml:space="preserve"> quebra de vínculo em relação aos setores de alta tecnologia. Isso revela que setores com alta intensidade de </w:t>
      </w:r>
      <w:proofErr w:type="spellStart"/>
      <w:r>
        <w:rPr>
          <w:rFonts w:ascii="Times New Roman" w:hAnsi="Times New Roman"/>
        </w:rPr>
        <w:t>P&amp;D</w:t>
      </w:r>
      <w:proofErr w:type="spellEnd"/>
      <w:r>
        <w:rPr>
          <w:rFonts w:ascii="Times New Roman" w:hAnsi="Times New Roman"/>
        </w:rPr>
        <w:t xml:space="preserve"> possuem</w:t>
      </w:r>
      <w:r w:rsidR="007E40BD">
        <w:rPr>
          <w:rFonts w:ascii="Times New Roman" w:hAnsi="Times New Roman"/>
        </w:rPr>
        <w:t xml:space="preserve"> força de trabalho</w:t>
      </w:r>
      <w:r>
        <w:rPr>
          <w:rFonts w:ascii="Times New Roman" w:hAnsi="Times New Roman"/>
        </w:rPr>
        <w:t xml:space="preserve"> mais estável </w:t>
      </w:r>
      <w:r w:rsidR="007E40BD">
        <w:rPr>
          <w:rFonts w:ascii="Times New Roman" w:hAnsi="Times New Roman"/>
        </w:rPr>
        <w:t xml:space="preserve">em relação às firmas que não investem em processos inovadores. </w:t>
      </w:r>
      <w:r w:rsidR="00193543">
        <w:rPr>
          <w:rFonts w:ascii="Times New Roman" w:hAnsi="Times New Roman"/>
        </w:rPr>
        <w:t>Os autores também afirmam</w:t>
      </w:r>
      <w:r w:rsidR="00A4554B">
        <w:rPr>
          <w:rFonts w:ascii="Times New Roman" w:hAnsi="Times New Roman"/>
        </w:rPr>
        <w:t xml:space="preserve"> que a intensidade inovadora setorial tem relação positiva com </w:t>
      </w:r>
      <w:r w:rsidR="00193543">
        <w:rPr>
          <w:rFonts w:ascii="Times New Roman" w:hAnsi="Times New Roman"/>
        </w:rPr>
        <w:t xml:space="preserve">as mudanças do tipo </w:t>
      </w:r>
      <w:r w:rsidR="003F38C4">
        <w:rPr>
          <w:rFonts w:ascii="Times New Roman" w:hAnsi="Times New Roman"/>
        </w:rPr>
        <w:t>“</w:t>
      </w:r>
      <w:proofErr w:type="spellStart"/>
      <w:r w:rsidR="00193543" w:rsidRPr="00193543">
        <w:rPr>
          <w:rFonts w:ascii="Times New Roman" w:hAnsi="Times New Roman"/>
          <w:i/>
        </w:rPr>
        <w:t>job-to-job</w:t>
      </w:r>
      <w:proofErr w:type="spellEnd"/>
      <w:r w:rsidR="003F38C4">
        <w:rPr>
          <w:rFonts w:ascii="Times New Roman" w:hAnsi="Times New Roman"/>
          <w:i/>
        </w:rPr>
        <w:t>”</w:t>
      </w:r>
      <w:r w:rsidR="00193543">
        <w:rPr>
          <w:rFonts w:ascii="Times New Roman" w:hAnsi="Times New Roman"/>
        </w:rPr>
        <w:t>, ao mesmo tempo em que ela diminui as chances de quebra de vínculo, como mencionado anteriormente.</w:t>
      </w:r>
    </w:p>
    <w:p w:rsidR="00A34287" w:rsidRDefault="00A34287" w:rsidP="005D3BD3">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Tendo visto os fatores determinantes da mobilidade </w:t>
      </w:r>
      <w:proofErr w:type="spellStart"/>
      <w:r>
        <w:rPr>
          <w:rFonts w:ascii="Times New Roman" w:hAnsi="Times New Roman"/>
        </w:rPr>
        <w:t>interfirmas</w:t>
      </w:r>
      <w:proofErr w:type="spellEnd"/>
      <w:r>
        <w:rPr>
          <w:rFonts w:ascii="Times New Roman" w:hAnsi="Times New Roman"/>
        </w:rPr>
        <w:t xml:space="preserve">, é preciso abordar os efeitos dessa mobilidade em termos de possibilidade de difusão de conhecimento </w:t>
      </w:r>
      <w:proofErr w:type="spellStart"/>
      <w:r>
        <w:rPr>
          <w:rFonts w:ascii="Times New Roman" w:hAnsi="Times New Roman"/>
        </w:rPr>
        <w:t>interfirmas</w:t>
      </w:r>
      <w:proofErr w:type="spellEnd"/>
      <w:r>
        <w:rPr>
          <w:rFonts w:ascii="Times New Roman" w:hAnsi="Times New Roman"/>
        </w:rPr>
        <w:t>. A próxima subseção se encarrega desse objetivo.</w:t>
      </w:r>
    </w:p>
    <w:p w:rsidR="00BE412D" w:rsidRDefault="00BD5489" w:rsidP="005D3BD3">
      <w:pPr>
        <w:pStyle w:val="Ttulo3"/>
        <w:spacing w:before="0" w:after="0"/>
        <w:rPr>
          <w:rFonts w:ascii="Times New Roman" w:hAnsi="Times New Roman" w:cs="Times New Roman"/>
          <w:sz w:val="24"/>
          <w:szCs w:val="24"/>
        </w:rPr>
      </w:pPr>
      <w:bookmarkStart w:id="7" w:name="_Toc246865692"/>
      <w:bookmarkEnd w:id="1"/>
      <w:bookmarkEnd w:id="2"/>
      <w:bookmarkEnd w:id="3"/>
      <w:bookmarkEnd w:id="4"/>
      <w:bookmarkEnd w:id="5"/>
      <w:bookmarkEnd w:id="6"/>
      <w:r w:rsidRPr="00BD5489">
        <w:rPr>
          <w:rFonts w:ascii="Times New Roman" w:hAnsi="Times New Roman" w:cs="Times New Roman"/>
          <w:sz w:val="24"/>
          <w:szCs w:val="24"/>
        </w:rPr>
        <w:lastRenderedPageBreak/>
        <w:t>2.2 O papel do trabalhador</w:t>
      </w:r>
      <w:bookmarkEnd w:id="7"/>
      <w:r w:rsidR="002F0F5D">
        <w:rPr>
          <w:rFonts w:ascii="Times New Roman" w:hAnsi="Times New Roman" w:cs="Times New Roman"/>
          <w:sz w:val="24"/>
          <w:szCs w:val="24"/>
        </w:rPr>
        <w:t xml:space="preserve"> na difusão do conhecimento </w:t>
      </w:r>
      <w:proofErr w:type="spellStart"/>
      <w:r w:rsidR="00A34287">
        <w:rPr>
          <w:rFonts w:ascii="Times New Roman" w:hAnsi="Times New Roman" w:cs="Times New Roman"/>
          <w:sz w:val="24"/>
          <w:szCs w:val="24"/>
        </w:rPr>
        <w:t>interfirma</w:t>
      </w:r>
      <w:proofErr w:type="spellEnd"/>
    </w:p>
    <w:p w:rsidR="00BD5489" w:rsidRPr="00BD5489" w:rsidRDefault="00A31BDD" w:rsidP="005D3BD3">
      <w:pPr>
        <w:spacing w:after="0" w:line="240" w:lineRule="auto"/>
        <w:ind w:firstLine="709"/>
        <w:jc w:val="both"/>
        <w:rPr>
          <w:rFonts w:ascii="Times New Roman" w:hAnsi="Times New Roman"/>
        </w:rPr>
      </w:pPr>
      <w:r>
        <w:rPr>
          <w:rFonts w:ascii="Times New Roman" w:hAnsi="Times New Roman"/>
        </w:rPr>
        <w:t xml:space="preserve">Pesquisadores </w:t>
      </w:r>
      <w:r w:rsidR="00BD5489" w:rsidRPr="00BD5489">
        <w:rPr>
          <w:rFonts w:ascii="Times New Roman" w:hAnsi="Times New Roman"/>
        </w:rPr>
        <w:t xml:space="preserve">do progresso tecnológico </w:t>
      </w:r>
      <w:r>
        <w:rPr>
          <w:rFonts w:ascii="Times New Roman" w:hAnsi="Times New Roman"/>
        </w:rPr>
        <w:t xml:space="preserve">destacam </w:t>
      </w:r>
      <w:r w:rsidR="00BD5489" w:rsidRPr="00BD5489">
        <w:rPr>
          <w:rFonts w:ascii="Times New Roman" w:hAnsi="Times New Roman"/>
        </w:rPr>
        <w:t xml:space="preserve">a capacidade que o indivíduo possui de influenciar o desenvolvimento de inovações. </w:t>
      </w:r>
      <w:r>
        <w:rPr>
          <w:rFonts w:ascii="Times New Roman" w:hAnsi="Times New Roman"/>
        </w:rPr>
        <w:t xml:space="preserve">Nesse sentido, </w:t>
      </w:r>
      <w:proofErr w:type="spellStart"/>
      <w:r w:rsidR="00BD5489" w:rsidRPr="00BD5489">
        <w:rPr>
          <w:rFonts w:ascii="Times New Roman" w:hAnsi="Times New Roman"/>
        </w:rPr>
        <w:t>Audretsch</w:t>
      </w:r>
      <w:proofErr w:type="spellEnd"/>
      <w:r w:rsidR="00BD5489" w:rsidRPr="00BD5489">
        <w:rPr>
          <w:rFonts w:ascii="Times New Roman" w:hAnsi="Times New Roman"/>
        </w:rPr>
        <w:t xml:space="preserve"> (1995) propõe que a unidade de observação do progresso tecnológico seja transferida da firma para o indivíduo. Para o autor, esse agente possui papel determinante na inovação, com destaque para alguns que se diferenciam dos demais, por estarem intimamente ligados ao processo de criação de conhecimento, como engenheiros, cientistas, dentre outros. </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A mobilidade de trabalhadores qualificados entre empresas e/ou regiões pode ser compreendida, segundo </w:t>
      </w:r>
      <w:proofErr w:type="spellStart"/>
      <w:r w:rsidRPr="00BD5489">
        <w:rPr>
          <w:rFonts w:ascii="Times New Roman" w:hAnsi="Times New Roman"/>
        </w:rPr>
        <w:t>Audretsch</w:t>
      </w:r>
      <w:proofErr w:type="spellEnd"/>
      <w:r w:rsidRPr="00BD5489">
        <w:rPr>
          <w:rFonts w:ascii="Times New Roman" w:hAnsi="Times New Roman"/>
        </w:rPr>
        <w:t xml:space="preserve"> e </w:t>
      </w:r>
      <w:proofErr w:type="spellStart"/>
      <w:r w:rsidRPr="00BD5489">
        <w:rPr>
          <w:rFonts w:ascii="Times New Roman" w:hAnsi="Times New Roman"/>
        </w:rPr>
        <w:t>Keilbach</w:t>
      </w:r>
      <w:proofErr w:type="spellEnd"/>
      <w:r w:rsidRPr="00BD5489">
        <w:rPr>
          <w:rFonts w:ascii="Times New Roman" w:hAnsi="Times New Roman"/>
        </w:rPr>
        <w:t xml:space="preserve"> (2005), como uma manifestação da transmissão de </w:t>
      </w:r>
      <w:r w:rsidR="00C1003C" w:rsidRPr="00BD5489">
        <w:rPr>
          <w:rFonts w:ascii="Times New Roman" w:hAnsi="Times New Roman"/>
        </w:rPr>
        <w:t>conhec</w:t>
      </w:r>
      <w:r w:rsidR="00C1003C">
        <w:rPr>
          <w:rFonts w:ascii="Times New Roman" w:hAnsi="Times New Roman"/>
        </w:rPr>
        <w:t>i</w:t>
      </w:r>
      <w:r w:rsidR="00C1003C" w:rsidRPr="00BD5489">
        <w:rPr>
          <w:rFonts w:ascii="Times New Roman" w:hAnsi="Times New Roman"/>
        </w:rPr>
        <w:t>mento</w:t>
      </w:r>
      <w:r w:rsidRPr="00BD5489">
        <w:rPr>
          <w:rFonts w:ascii="Times New Roman" w:hAnsi="Times New Roman"/>
        </w:rPr>
        <w:t xml:space="preserve"> e de transbordamento tecnológico via contato pessoal. O objetivo desses autores é tirar o foco da firma, que comumente é </w:t>
      </w:r>
      <w:r w:rsidR="00C7218C">
        <w:rPr>
          <w:rFonts w:ascii="Times New Roman" w:hAnsi="Times New Roman"/>
        </w:rPr>
        <w:t>considerada</w:t>
      </w:r>
      <w:r w:rsidRPr="00BD5489">
        <w:rPr>
          <w:rFonts w:ascii="Times New Roman" w:hAnsi="Times New Roman"/>
        </w:rPr>
        <w:t xml:space="preserve"> como unidade de análise de inovação e mudança tecnológica, buscando esclarecer a importância que a unidade “trabalhador” tem nessa determinação. </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Feldman (1999) destaca que os transbordamentos de conhecimento se tornam possíveis pela sua transmissão via pessoas dotadas de alto nível de capital humano. Tais indivíduos possuem a capacidade de incorporar um tipo de conhecimento que não pode ser codificado (conhecimento tácito) e cuja difusão se mostra possível via contado face a face entre trabalhadores. A autora faz uma revisão de estudos empíricos, chamando atenção para o papel do trabalho qualificado, que deveria ser considerado como um dos principais mecanismos pelos quais o transbordamento de conhecimento pode ser realizado, à medida que os trabalhadores se movem entre firmas e regiões. As empresas que contratam trabalhadores qualificados estariam se apropriando do </w:t>
      </w:r>
      <w:r w:rsidRPr="00BD5489">
        <w:rPr>
          <w:rFonts w:ascii="Times New Roman" w:hAnsi="Times New Roman"/>
          <w:i/>
        </w:rPr>
        <w:t>know-how</w:t>
      </w:r>
      <w:r w:rsidRPr="00BD5489">
        <w:rPr>
          <w:rFonts w:ascii="Times New Roman" w:hAnsi="Times New Roman"/>
        </w:rPr>
        <w:t xml:space="preserve"> tácito destes. Dessa forma, o conhecimento não estaria solto no ar, conforme a metáfora de Marshall, mas estaria incorporado em cientistas e trabalhadores qualificados, podendo ser transmitido a qualquer localidade desde que os trabalhadores detentores deste conhecimento se mostrem propensos à mobilidade geográfica. </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Arrow (1962) já havia destacado a mobilidade de trabalhadores qualificados como um fator que influencia a transferência de conhecimento. Além disso, enfatizou que a proximidade geográfica importaria na sua transmissão, por se tratar de um conhecimento tácito. Apesar de sua característica não rival, a transmissão de tal conhecimento não pode ser feita de outra maneira que não via contatos face a face, uma vez que não se trata de algo </w:t>
      </w:r>
      <w:proofErr w:type="spellStart"/>
      <w:r w:rsidRPr="00BD5489">
        <w:rPr>
          <w:rFonts w:ascii="Times New Roman" w:hAnsi="Times New Roman"/>
        </w:rPr>
        <w:t>codificável</w:t>
      </w:r>
      <w:proofErr w:type="spellEnd"/>
      <w:r w:rsidRPr="00BD5489">
        <w:rPr>
          <w:rFonts w:ascii="Times New Roman" w:hAnsi="Times New Roman"/>
        </w:rPr>
        <w:t xml:space="preserve">. Por isso, a mobilidade de trabalhadores pode se constituir uma das formas mais importantes de transmissão e difusão de conhecimento. </w:t>
      </w:r>
    </w:p>
    <w:p w:rsidR="00BD5489" w:rsidRPr="00BD5489" w:rsidRDefault="00BD5489" w:rsidP="005D3BD3">
      <w:pPr>
        <w:spacing w:after="0" w:line="240" w:lineRule="auto"/>
        <w:ind w:firstLine="709"/>
        <w:jc w:val="both"/>
        <w:rPr>
          <w:rFonts w:ascii="Times New Roman" w:hAnsi="Times New Roman"/>
        </w:rPr>
      </w:pPr>
      <w:proofErr w:type="spellStart"/>
      <w:r w:rsidRPr="00BD5489">
        <w:rPr>
          <w:rFonts w:ascii="Times New Roman" w:hAnsi="Times New Roman"/>
        </w:rPr>
        <w:t>Song</w:t>
      </w:r>
      <w:proofErr w:type="spellEnd"/>
      <w:r w:rsidRPr="00BD5489">
        <w:rPr>
          <w:rFonts w:ascii="Times New Roman" w:hAnsi="Times New Roman"/>
        </w:rPr>
        <w:t>, Almeida e Wu (2003) sugerem a existência da possibilidade de aprendizagem pela contratação (</w:t>
      </w:r>
      <w:proofErr w:type="spellStart"/>
      <w:r w:rsidRPr="00BD5489">
        <w:rPr>
          <w:rFonts w:ascii="Times New Roman" w:hAnsi="Times New Roman"/>
          <w:i/>
        </w:rPr>
        <w:t>learning-by-hiring</w:t>
      </w:r>
      <w:proofErr w:type="spellEnd"/>
      <w:r w:rsidRPr="00BD5489">
        <w:rPr>
          <w:rFonts w:ascii="Times New Roman" w:hAnsi="Times New Roman"/>
        </w:rPr>
        <w:t>) de trabalhadores qualificados (engenheiros), podendo esta ser utilizada para explorar distâncias tecnológicas do conhecimento. Os autores ressaltam o fato de que a distância tecnológica entre a firma e o suposto trabalhador contratado seria, então, preferível ao reforço da especialização, que se daria pela contratação de um trabalhador qualificado que desempenha funções semelhantes à que desempenharia no novo emprego. Nos resultados desse trabalho, destaca-se a inexistência de diferenças entre a contratação de trabalhadores em outros países e a contratação interna ao país ou a localidade. Isso reforça a tese de que o mecanismo de transmissão de conhecimento não se limita geograficamente.</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Firmas com maiores competências tecnológicas e acúmulos de conhecimento tendem a atrair trabalhadores fundamentais no processo de produção de conhecimento para inovar. O empenho dessas firmas em </w:t>
      </w:r>
      <w:proofErr w:type="spellStart"/>
      <w:r w:rsidRPr="00BD5489">
        <w:rPr>
          <w:rFonts w:ascii="Times New Roman" w:hAnsi="Times New Roman"/>
        </w:rPr>
        <w:t>P&amp;D</w:t>
      </w:r>
      <w:proofErr w:type="spellEnd"/>
      <w:r w:rsidRPr="00BD5489">
        <w:rPr>
          <w:rFonts w:ascii="Times New Roman" w:hAnsi="Times New Roman"/>
        </w:rPr>
        <w:t xml:space="preserve"> é fundamental no avanço tecnológico e na capacidade que os trabalhadores possuem de produzir novos conhecimentos também. O avanço tecnológico só é possível pela interação existente entre estes agentes. Para que haja transferência de conhecimento entre firmas não basta apenas que existam canais que possibilitem essa difusão. Faz-se necessária a existência de uma capacidade de absorção</w:t>
      </w:r>
      <w:r w:rsidR="00096076">
        <w:rPr>
          <w:rFonts w:ascii="Times New Roman" w:hAnsi="Times New Roman"/>
        </w:rPr>
        <w:t xml:space="preserve"> (Cohen e </w:t>
      </w:r>
      <w:proofErr w:type="spellStart"/>
      <w:r w:rsidR="00096076">
        <w:rPr>
          <w:rFonts w:ascii="Times New Roman" w:hAnsi="Times New Roman"/>
        </w:rPr>
        <w:t>Levintahl</w:t>
      </w:r>
      <w:proofErr w:type="spellEnd"/>
      <w:r w:rsidR="00096076">
        <w:rPr>
          <w:rFonts w:ascii="Times New Roman" w:hAnsi="Times New Roman"/>
        </w:rPr>
        <w:t>, 1989)</w:t>
      </w:r>
      <w:r w:rsidRPr="00BD5489">
        <w:rPr>
          <w:rFonts w:ascii="Times New Roman" w:hAnsi="Times New Roman"/>
        </w:rPr>
        <w:t xml:space="preserve"> e replicação da tecnologia, sendo que firmas e trabalhadores se completam nesse processo.</w:t>
      </w:r>
    </w:p>
    <w:p w:rsidR="00BD5489" w:rsidRPr="00BD5489" w:rsidRDefault="00BD5489" w:rsidP="005D3BD3">
      <w:pPr>
        <w:spacing w:after="0" w:line="240" w:lineRule="auto"/>
        <w:ind w:firstLine="709"/>
        <w:rPr>
          <w:rFonts w:ascii="Times New Roman" w:hAnsi="Times New Roman"/>
        </w:rPr>
      </w:pPr>
      <w:bookmarkStart w:id="8" w:name="_Toc235505608"/>
      <w:bookmarkStart w:id="9" w:name="_Toc235505770"/>
      <w:bookmarkStart w:id="10" w:name="_Toc235506249"/>
      <w:bookmarkStart w:id="11" w:name="_Toc235604394"/>
      <w:bookmarkStart w:id="12" w:name="_Toc235604455"/>
      <w:bookmarkStart w:id="13" w:name="_Toc235959404"/>
    </w:p>
    <w:p w:rsidR="00BD5489" w:rsidRPr="00BD5489" w:rsidRDefault="00BD5489" w:rsidP="005D3BD3">
      <w:pPr>
        <w:pStyle w:val="Ttulo2"/>
        <w:spacing w:before="0" w:after="0"/>
        <w:jc w:val="both"/>
        <w:rPr>
          <w:rFonts w:ascii="Times New Roman" w:hAnsi="Times New Roman" w:cs="Times New Roman"/>
          <w:i w:val="0"/>
          <w:iCs w:val="0"/>
          <w:sz w:val="24"/>
          <w:szCs w:val="24"/>
        </w:rPr>
      </w:pPr>
      <w:bookmarkStart w:id="14" w:name="_Toc246865693"/>
      <w:r w:rsidRPr="00BD5489">
        <w:rPr>
          <w:rFonts w:ascii="Times New Roman" w:hAnsi="Times New Roman" w:cs="Times New Roman"/>
          <w:i w:val="0"/>
          <w:iCs w:val="0"/>
          <w:sz w:val="24"/>
          <w:szCs w:val="24"/>
        </w:rPr>
        <w:t>2.3 M</w:t>
      </w:r>
      <w:r>
        <w:rPr>
          <w:rFonts w:ascii="Times New Roman" w:hAnsi="Times New Roman" w:cs="Times New Roman"/>
          <w:i w:val="0"/>
          <w:iCs w:val="0"/>
          <w:sz w:val="24"/>
          <w:szCs w:val="24"/>
        </w:rPr>
        <w:t>ercado de trabalho e</w:t>
      </w:r>
      <w:r w:rsidRPr="00BD5489">
        <w:rPr>
          <w:rFonts w:ascii="Times New Roman" w:hAnsi="Times New Roman" w:cs="Times New Roman"/>
          <w:i w:val="0"/>
          <w:iCs w:val="0"/>
          <w:sz w:val="24"/>
          <w:szCs w:val="24"/>
        </w:rPr>
        <w:t xml:space="preserve"> mobilidade do trabalhador no </w:t>
      </w:r>
      <w:r>
        <w:rPr>
          <w:rFonts w:ascii="Times New Roman" w:hAnsi="Times New Roman" w:cs="Times New Roman"/>
          <w:i w:val="0"/>
          <w:iCs w:val="0"/>
          <w:sz w:val="24"/>
          <w:szCs w:val="24"/>
        </w:rPr>
        <w:t>B</w:t>
      </w:r>
      <w:r w:rsidRPr="00BD5489">
        <w:rPr>
          <w:rFonts w:ascii="Times New Roman" w:hAnsi="Times New Roman" w:cs="Times New Roman"/>
          <w:i w:val="0"/>
          <w:iCs w:val="0"/>
          <w:sz w:val="24"/>
          <w:szCs w:val="24"/>
        </w:rPr>
        <w:t>rasil</w:t>
      </w:r>
      <w:bookmarkEnd w:id="8"/>
      <w:bookmarkEnd w:id="9"/>
      <w:bookmarkEnd w:id="10"/>
      <w:bookmarkEnd w:id="11"/>
      <w:bookmarkEnd w:id="12"/>
      <w:bookmarkEnd w:id="13"/>
      <w:bookmarkEnd w:id="14"/>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Sabe-se que nos anos 90 o Brasil passou uma reconfiguração do seu mercado de trabalho em virtude de mudanças econômicas vividas pelo país. A mudança do cenário macroeconômico, em decorrência da </w:t>
      </w:r>
      <w:r w:rsidRPr="00BD5489">
        <w:rPr>
          <w:rFonts w:ascii="Times New Roman" w:hAnsi="Times New Roman"/>
        </w:rPr>
        <w:lastRenderedPageBreak/>
        <w:t xml:space="preserve">abertura comercial e da estabilização monetária, gerou um processo de reorganização do setor privado </w:t>
      </w:r>
      <w:r w:rsidR="00D44F3E">
        <w:rPr>
          <w:rFonts w:ascii="Times New Roman" w:hAnsi="Times New Roman"/>
        </w:rPr>
        <w:t xml:space="preserve">diante </w:t>
      </w:r>
      <w:r w:rsidRPr="00BD5489">
        <w:rPr>
          <w:rFonts w:ascii="Times New Roman" w:hAnsi="Times New Roman"/>
        </w:rPr>
        <w:t xml:space="preserve">da necessidade de aumento de produtividade e competitividade. </w:t>
      </w:r>
    </w:p>
    <w:p w:rsidR="00BD5489" w:rsidRPr="00BD5489" w:rsidRDefault="00BD5489"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Oliveira e Machado (2000) fazem uma análise desta reconfiguração do mercado de trabalho brasileiro, no período posterior à abertura comercial. Nessa fase, o modelo baseado no protecionismo da indústria nacional é substituído pelo aumento da concorrência de mercado, com foco na busca por eficiência. Neste estudo, feito com base na P</w:t>
      </w:r>
      <w:r w:rsidR="00EE3C7C">
        <w:rPr>
          <w:rFonts w:ascii="Times New Roman" w:hAnsi="Times New Roman"/>
        </w:rPr>
        <w:t>esquisa Mensal de Emprego (P</w:t>
      </w:r>
      <w:r w:rsidRPr="00BD5489">
        <w:rPr>
          <w:rFonts w:ascii="Times New Roman" w:hAnsi="Times New Roman"/>
        </w:rPr>
        <w:t>ME</w:t>
      </w:r>
      <w:r w:rsidR="00EE3C7C">
        <w:rPr>
          <w:rFonts w:ascii="Times New Roman" w:hAnsi="Times New Roman"/>
        </w:rPr>
        <w:t>)</w:t>
      </w:r>
      <w:r w:rsidRPr="00BD5489">
        <w:rPr>
          <w:rFonts w:ascii="Times New Roman" w:hAnsi="Times New Roman"/>
        </w:rPr>
        <w:t>, observa-se o aumento da mobilidade ocupacional com o aumento da escolaridade. A mobilidade ocupacional é definida com base no critério de definição das ocupações no estudo do IBGE (1994). Observa-se uma mobilidade ascendente mais expressiva para indivíduos com níveis educacionais mais elevados. Entretanto, um resultado curioso é que a mobilidade descendente</w:t>
      </w:r>
      <w:r w:rsidR="00EE3C7C">
        <w:rPr>
          <w:rStyle w:val="Refdenotaderodap"/>
          <w:rFonts w:ascii="Times New Roman" w:hAnsi="Times New Roman"/>
        </w:rPr>
        <w:footnoteReference w:id="2"/>
      </w:r>
      <w:r w:rsidRPr="00BD5489">
        <w:rPr>
          <w:rFonts w:ascii="Times New Roman" w:hAnsi="Times New Roman"/>
        </w:rPr>
        <w:t xml:space="preserve"> também aumenta com a escolaridade, o que é justificado pelas autoras como conseqüência da existência de um conjunto de trabalhadores qualificados em categorias consideradas superiores.</w:t>
      </w:r>
    </w:p>
    <w:p w:rsidR="00BD5489" w:rsidRPr="00BD5489" w:rsidRDefault="00BD5489" w:rsidP="005D3BD3">
      <w:pPr>
        <w:spacing w:after="0" w:line="240" w:lineRule="auto"/>
        <w:ind w:firstLine="709"/>
        <w:jc w:val="both"/>
        <w:rPr>
          <w:rFonts w:ascii="Times New Roman" w:hAnsi="Times New Roman"/>
        </w:rPr>
      </w:pPr>
      <w:r w:rsidRPr="00BD5489">
        <w:rPr>
          <w:rFonts w:ascii="Times New Roman" w:hAnsi="Times New Roman"/>
        </w:rPr>
        <w:t>Gonzaga (1998) destaca que a baixa qualidade do emprego é o maior problema do mercado de trabalho brasileiro. Para este autor a alta produtividade da mão-de-obra depende não somente da sua qualificação geral, mas também de um capital humano específico, desenvolvido através de treinamento dentro do ambiente de trabalho. Neste sentido, o artigo destaca que a alta rotatividade da mão-de-obra, no país, contribuiria para explicar a baixa qualidade do emprego. A rotatividade do emprego no Brasil estaria acima do nível considerado ótimo para uma alocação eficiente dos trabalhadores. Com isso, tanto as firmas quanto os trabalhadores, que são os que investem em treinamentos específicos, estariam menos dispostos a investirem nestes treinamentos pelo risco de não aproveitarem o retorno destes investimentos. Entretanto, o autor chama a atenção para alguns pontos relevantes no que se refere ao mercado de trabalho formal, e especificamente a indústria de transformação: a rotatividade no setor industrial é bem menor do que no setor de comércio, para todos os níveis de instrução; observa-se uma relação negativa entre o indicador de rotatividade e o tamanho do estabelecimento; a rotatividade tende a ser menor para trabalhadores mais educados, o que torna menos arriscado o investimento em treinamento.</w:t>
      </w:r>
    </w:p>
    <w:p w:rsidR="00BD5489" w:rsidRDefault="00BD5489" w:rsidP="005D3BD3">
      <w:pPr>
        <w:spacing w:after="0" w:line="240" w:lineRule="auto"/>
        <w:ind w:firstLine="709"/>
        <w:jc w:val="both"/>
        <w:rPr>
          <w:rFonts w:ascii="Times New Roman" w:hAnsi="Times New Roman"/>
        </w:rPr>
      </w:pPr>
      <w:r w:rsidRPr="00BD5489">
        <w:rPr>
          <w:rFonts w:ascii="Times New Roman" w:hAnsi="Times New Roman"/>
        </w:rPr>
        <w:t xml:space="preserve">Dada a identificação do cenário produtivo da indústria de transformação brasileira, e partindo da aceitação que os trabalhadores possuem uma capacidade de transmissão de conhecimento ao se moverem entre empresas, a proposta deste trabalho é </w:t>
      </w:r>
      <w:r w:rsidR="00D44F3E">
        <w:rPr>
          <w:rFonts w:ascii="Times New Roman" w:hAnsi="Times New Roman"/>
        </w:rPr>
        <w:t>contribuir</w:t>
      </w:r>
      <w:r w:rsidRPr="00BD5489">
        <w:rPr>
          <w:rFonts w:ascii="Times New Roman" w:hAnsi="Times New Roman"/>
        </w:rPr>
        <w:t xml:space="preserve"> na direção de explicar os determinantes da mobilidade</w:t>
      </w:r>
      <w:r w:rsidR="00846EE7">
        <w:rPr>
          <w:rFonts w:ascii="Times New Roman" w:hAnsi="Times New Roman"/>
        </w:rPr>
        <w:t xml:space="preserve"> laboral</w:t>
      </w:r>
      <w:r w:rsidR="0016013B">
        <w:rPr>
          <w:rFonts w:ascii="Times New Roman" w:hAnsi="Times New Roman"/>
        </w:rPr>
        <w:t>.</w:t>
      </w:r>
    </w:p>
    <w:p w:rsidR="00BD5489" w:rsidRPr="00BD5489" w:rsidRDefault="00BD5489" w:rsidP="005D3BD3">
      <w:pPr>
        <w:spacing w:after="0" w:line="240" w:lineRule="auto"/>
        <w:ind w:firstLine="709"/>
        <w:jc w:val="both"/>
        <w:rPr>
          <w:rFonts w:ascii="Times New Roman" w:hAnsi="Times New Roman"/>
        </w:rPr>
      </w:pPr>
    </w:p>
    <w:p w:rsidR="00F0119F" w:rsidRDefault="00F0119F" w:rsidP="005D3BD3">
      <w:pPr>
        <w:pStyle w:val="Ttulo1"/>
        <w:spacing w:before="0" w:after="0"/>
        <w:rPr>
          <w:rFonts w:ascii="Times New Roman" w:hAnsi="Times New Roman" w:cs="Times New Roman"/>
          <w:sz w:val="24"/>
          <w:szCs w:val="24"/>
        </w:rPr>
      </w:pPr>
      <w:bookmarkStart w:id="15" w:name="_Toc246865694"/>
      <w:r w:rsidRPr="00BD5489">
        <w:rPr>
          <w:rFonts w:ascii="Times New Roman" w:hAnsi="Times New Roman" w:cs="Times New Roman"/>
          <w:sz w:val="24"/>
          <w:szCs w:val="24"/>
        </w:rPr>
        <w:t xml:space="preserve">3. </w:t>
      </w:r>
      <w:r>
        <w:rPr>
          <w:rFonts w:ascii="Times New Roman" w:hAnsi="Times New Roman" w:cs="Times New Roman"/>
          <w:sz w:val="24"/>
          <w:szCs w:val="24"/>
        </w:rPr>
        <w:t>A</w:t>
      </w:r>
      <w:r w:rsidRPr="00BD5489">
        <w:rPr>
          <w:rFonts w:ascii="Times New Roman" w:hAnsi="Times New Roman" w:cs="Times New Roman"/>
          <w:sz w:val="24"/>
          <w:szCs w:val="24"/>
        </w:rPr>
        <w:t>spectos metodológicos</w:t>
      </w:r>
    </w:p>
    <w:p w:rsidR="00F0119F" w:rsidRPr="00BD5489" w:rsidRDefault="00F0119F" w:rsidP="005D3BD3">
      <w:pPr>
        <w:pStyle w:val="Ttulo1"/>
        <w:spacing w:before="0" w:after="0"/>
        <w:rPr>
          <w:rFonts w:ascii="Times New Roman" w:hAnsi="Times New Roman" w:cs="Times New Roman"/>
          <w:i/>
          <w:iCs/>
          <w:sz w:val="24"/>
          <w:szCs w:val="24"/>
        </w:rPr>
      </w:pPr>
      <w:r w:rsidRPr="00AE1B07">
        <w:rPr>
          <w:rFonts w:ascii="Times New Roman" w:hAnsi="Times New Roman" w:cs="Times New Roman"/>
          <w:sz w:val="24"/>
          <w:szCs w:val="24"/>
        </w:rPr>
        <w:t>3.1 Base de dados</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A base de dados utilizada neste trabalho foi extraída da RAIS-M</w:t>
      </w:r>
      <w:r w:rsidR="00EE3C7C" w:rsidRPr="00BD5489">
        <w:rPr>
          <w:rFonts w:ascii="Times New Roman" w:hAnsi="Times New Roman"/>
        </w:rPr>
        <w:t>IGRA</w:t>
      </w:r>
      <w:r w:rsidRPr="00BD5489">
        <w:rPr>
          <w:rFonts w:ascii="Times New Roman" w:hAnsi="Times New Roman"/>
        </w:rPr>
        <w:t xml:space="preserve"> (Ministério do Trabalho), que é um registro administrativo, anual, criado com o objetivo de suprir as necessidades de controle, de estatísticas e de informações às entidades governamentais da área social, de fundamental importância para o acompanhamento e a caracterização do mercado de trabalho formal</w:t>
      </w:r>
      <w:r w:rsidR="00846EE7">
        <w:rPr>
          <w:rFonts w:ascii="Times New Roman" w:hAnsi="Times New Roman"/>
        </w:rPr>
        <w:t>.</w:t>
      </w:r>
      <w:r w:rsidRPr="00BD5489">
        <w:rPr>
          <w:rStyle w:val="Refdenotaderodap"/>
          <w:rFonts w:ascii="Times New Roman" w:hAnsi="Times New Roman"/>
        </w:rPr>
        <w:footnoteReference w:id="3"/>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A RAIS representa, praticamente, um censo anual do mercado formal brasileiro, na medida em que todas as organizações legais (privadas e públicas) são obrigadas a declará-la. O tratamento aplicado aos dados dos estabelecimentos e aos vínculos empregatícios permite sua desagregação no âmbito do município, de </w:t>
      </w:r>
      <w:proofErr w:type="spellStart"/>
      <w:r w:rsidRPr="00BD5489">
        <w:rPr>
          <w:rFonts w:ascii="Times New Roman" w:hAnsi="Times New Roman"/>
        </w:rPr>
        <w:t>subatividades</w:t>
      </w:r>
      <w:proofErr w:type="spellEnd"/>
      <w:r w:rsidRPr="00BD5489">
        <w:rPr>
          <w:rFonts w:ascii="Times New Roman" w:hAnsi="Times New Roman"/>
        </w:rPr>
        <w:t xml:space="preserve"> econômicas e de ocupações. Tais informações são disponibilizadas segundo o estoque (número de empregos) e a movimentação de mão-de-obra empregada (admissões e desligamentos), por gênero, faixa etária, grau de instrução, rendimento médio e faixas de rendimentos em salários mínimos, sendo possível, também, construir dados sobre a massa salarial. </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lastRenderedPageBreak/>
        <w:t xml:space="preserve">De </w:t>
      </w:r>
      <w:proofErr w:type="spellStart"/>
      <w:r w:rsidRPr="00BD5489">
        <w:rPr>
          <w:rFonts w:ascii="Times New Roman" w:hAnsi="Times New Roman"/>
        </w:rPr>
        <w:t>Negri</w:t>
      </w:r>
      <w:proofErr w:type="spellEnd"/>
      <w:r w:rsidRPr="00BD5489">
        <w:rPr>
          <w:rFonts w:ascii="Times New Roman" w:hAnsi="Times New Roman"/>
        </w:rPr>
        <w:t xml:space="preserve"> </w:t>
      </w:r>
      <w:proofErr w:type="spellStart"/>
      <w:r w:rsidRPr="00BD5489">
        <w:rPr>
          <w:rFonts w:ascii="Times New Roman" w:hAnsi="Times New Roman"/>
          <w:i/>
          <w:iCs/>
        </w:rPr>
        <w:t>et</w:t>
      </w:r>
      <w:proofErr w:type="spellEnd"/>
      <w:r w:rsidRPr="00BD5489">
        <w:rPr>
          <w:rFonts w:ascii="Times New Roman" w:hAnsi="Times New Roman"/>
          <w:i/>
          <w:iCs/>
        </w:rPr>
        <w:t xml:space="preserve"> al.</w:t>
      </w:r>
      <w:r w:rsidRPr="00BD5489">
        <w:rPr>
          <w:rFonts w:ascii="Times New Roman" w:hAnsi="Times New Roman"/>
        </w:rPr>
        <w:t xml:space="preserve"> (2001) destaca</w:t>
      </w:r>
      <w:r w:rsidR="00846EE7">
        <w:rPr>
          <w:rFonts w:ascii="Times New Roman" w:hAnsi="Times New Roman"/>
        </w:rPr>
        <w:t>m</w:t>
      </w:r>
      <w:r w:rsidRPr="00BD5489">
        <w:rPr>
          <w:rFonts w:ascii="Times New Roman" w:hAnsi="Times New Roman"/>
        </w:rPr>
        <w:t xml:space="preserve"> a confiabilidade dos dados levantados pelo Ministério do Trabalho, presentes na RAIS, e defende amplamente seu uso em pesquisas aplicadas para o mercado formal, embora haja alguns problemas, referentes à subestimação do setor agropecuário e da construção civil e à superestimação dos trabalhadores na administração pública. Contudo, destaca sua confiabilidade para a indústria de transformação, que é o foco desta pesquisa.</w:t>
      </w:r>
    </w:p>
    <w:p w:rsidR="00123E8B"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A base de dados foi construída selecionando-se, aleatoriamente, 50% dos trabalhadores </w:t>
      </w:r>
      <w:r w:rsidR="00616576">
        <w:rPr>
          <w:rFonts w:ascii="Times New Roman" w:hAnsi="Times New Roman"/>
        </w:rPr>
        <w:t xml:space="preserve">que estavam </w:t>
      </w:r>
      <w:r w:rsidRPr="00BD5489">
        <w:rPr>
          <w:rFonts w:ascii="Times New Roman" w:hAnsi="Times New Roman"/>
        </w:rPr>
        <w:t>empregados na indústria de transformação</w:t>
      </w:r>
      <w:r w:rsidR="00616576">
        <w:rPr>
          <w:rFonts w:ascii="Times New Roman" w:hAnsi="Times New Roman"/>
        </w:rPr>
        <w:t xml:space="preserve"> e</w:t>
      </w:r>
      <w:r w:rsidRPr="00BD5489">
        <w:rPr>
          <w:rFonts w:ascii="Times New Roman" w:hAnsi="Times New Roman"/>
        </w:rPr>
        <w:t xml:space="preserve"> que possuíam registro na RAIS para todos os oito anos d</w:t>
      </w:r>
      <w:r w:rsidR="00616576">
        <w:rPr>
          <w:rFonts w:ascii="Times New Roman" w:hAnsi="Times New Roman"/>
        </w:rPr>
        <w:t>o</w:t>
      </w:r>
      <w:r w:rsidRPr="00BD5489">
        <w:rPr>
          <w:rFonts w:ascii="Times New Roman" w:hAnsi="Times New Roman"/>
        </w:rPr>
        <w:t xml:space="preserve"> estudo, de </w:t>
      </w:r>
      <w:smartTag w:uri="urn:schemas-microsoft-com:office:smarttags" w:element="metricconverter">
        <w:smartTagPr>
          <w:attr w:name="ProductID" w:val="1995 a"/>
        </w:smartTagPr>
        <w:r w:rsidRPr="00BD5489">
          <w:rPr>
            <w:rFonts w:ascii="Times New Roman" w:hAnsi="Times New Roman"/>
          </w:rPr>
          <w:t>1995 a</w:t>
        </w:r>
      </w:smartTag>
      <w:r w:rsidRPr="00BD5489">
        <w:rPr>
          <w:rFonts w:ascii="Times New Roman" w:hAnsi="Times New Roman"/>
        </w:rPr>
        <w:t xml:space="preserve"> 2002. As </w:t>
      </w:r>
      <w:r w:rsidR="00726561">
        <w:rPr>
          <w:rFonts w:ascii="Times New Roman" w:hAnsi="Times New Roman"/>
        </w:rPr>
        <w:t>variáveis</w:t>
      </w:r>
      <w:r w:rsidR="00595953">
        <w:rPr>
          <w:rFonts w:ascii="Times New Roman" w:hAnsi="Times New Roman"/>
        </w:rPr>
        <w:t xml:space="preserve"> </w:t>
      </w:r>
      <w:r w:rsidR="00726561">
        <w:rPr>
          <w:rFonts w:ascii="Times New Roman" w:hAnsi="Times New Roman"/>
        </w:rPr>
        <w:t>utilizadas são</w:t>
      </w:r>
      <w:r w:rsidRPr="00BD5489">
        <w:rPr>
          <w:rFonts w:ascii="Times New Roman" w:hAnsi="Times New Roman"/>
        </w:rPr>
        <w:t xml:space="preserve">: salários (salário de dezembro), experiência (medida em meses no mesmo emprego), idade, sexo, nível educacional, tamanho da empresa (medido pelo número de funcionários),  classificação da CNAE a dois dígitos, </w:t>
      </w:r>
      <w:r w:rsidR="00595953">
        <w:rPr>
          <w:rFonts w:ascii="Times New Roman" w:hAnsi="Times New Roman"/>
        </w:rPr>
        <w:t xml:space="preserve">além do </w:t>
      </w:r>
      <w:r w:rsidRPr="00BD5489">
        <w:rPr>
          <w:rFonts w:ascii="Times New Roman" w:hAnsi="Times New Roman"/>
        </w:rPr>
        <w:t>PIS e CNPJ, que serviram para acompanhar os indivíduos e as firmas para quais eles trabalhavam</w:t>
      </w:r>
      <w:r w:rsidR="00616576">
        <w:rPr>
          <w:rFonts w:ascii="Times New Roman" w:hAnsi="Times New Roman"/>
        </w:rPr>
        <w:t>.</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Uma vez que a base da RAIS nos possibilita acompanhar o trabalhador, através do PIS, e também acompanhar a empresa</w:t>
      </w:r>
      <w:r w:rsidR="00DE5F16">
        <w:rPr>
          <w:rFonts w:ascii="Times New Roman" w:hAnsi="Times New Roman"/>
        </w:rPr>
        <w:t xml:space="preserve"> na qual ele trabalha</w:t>
      </w:r>
      <w:r w:rsidRPr="00BD5489">
        <w:rPr>
          <w:rFonts w:ascii="Times New Roman" w:hAnsi="Times New Roman"/>
        </w:rPr>
        <w:t xml:space="preserve"> por meio do CNPJ, foi possível seguir o vínculo do trabalhador e construir a variável dependente (“</w:t>
      </w:r>
      <w:proofErr w:type="spellStart"/>
      <w:r w:rsidRPr="00BD5489">
        <w:rPr>
          <w:rFonts w:ascii="Times New Roman" w:hAnsi="Times New Roman"/>
          <w:i/>
        </w:rPr>
        <w:t>job-change</w:t>
      </w:r>
      <w:proofErr w:type="spellEnd"/>
      <w:r w:rsidRPr="00BD5489">
        <w:rPr>
          <w:rFonts w:ascii="Times New Roman" w:hAnsi="Times New Roman"/>
          <w:i/>
        </w:rPr>
        <w:t>”</w:t>
      </w:r>
      <w:r w:rsidRPr="00BD5489">
        <w:rPr>
          <w:rFonts w:ascii="Times New Roman" w:hAnsi="Times New Roman"/>
        </w:rPr>
        <w:t>), que assume os seguintes valores: “</w:t>
      </w:r>
      <w:r>
        <w:rPr>
          <w:rFonts w:ascii="Times New Roman" w:hAnsi="Times New Roman"/>
        </w:rPr>
        <w:t>1</w:t>
      </w:r>
      <w:r w:rsidRPr="00BD5489">
        <w:rPr>
          <w:rFonts w:ascii="Times New Roman" w:hAnsi="Times New Roman"/>
        </w:rPr>
        <w:t xml:space="preserve">” quando o trabalhador </w:t>
      </w:r>
      <w:r>
        <w:rPr>
          <w:rFonts w:ascii="Times New Roman" w:hAnsi="Times New Roman"/>
        </w:rPr>
        <w:t xml:space="preserve">muda de </w:t>
      </w:r>
      <w:r w:rsidR="00DE5F16">
        <w:rPr>
          <w:rFonts w:ascii="Times New Roman" w:hAnsi="Times New Roman"/>
        </w:rPr>
        <w:t>vínculo empregatício</w:t>
      </w:r>
      <w:r>
        <w:rPr>
          <w:rFonts w:ascii="Times New Roman" w:hAnsi="Times New Roman"/>
        </w:rPr>
        <w:t>, independente da questão geográfica</w:t>
      </w:r>
      <w:r w:rsidR="00DE5F16">
        <w:rPr>
          <w:rFonts w:ascii="Times New Roman" w:hAnsi="Times New Roman"/>
        </w:rPr>
        <w:t>,</w:t>
      </w:r>
      <w:r>
        <w:rPr>
          <w:rFonts w:ascii="Times New Roman" w:hAnsi="Times New Roman"/>
        </w:rPr>
        <w:t xml:space="preserve"> e</w:t>
      </w:r>
      <w:r w:rsidRPr="00BD5489">
        <w:rPr>
          <w:rFonts w:ascii="Times New Roman" w:hAnsi="Times New Roman"/>
        </w:rPr>
        <w:t xml:space="preserve"> “</w:t>
      </w:r>
      <w:r>
        <w:rPr>
          <w:rFonts w:ascii="Times New Roman" w:hAnsi="Times New Roman"/>
        </w:rPr>
        <w:t>0</w:t>
      </w:r>
      <w:r w:rsidRPr="00BD5489">
        <w:rPr>
          <w:rFonts w:ascii="Times New Roman" w:hAnsi="Times New Roman"/>
        </w:rPr>
        <w:t xml:space="preserve">” para o caso de o trabalhador </w:t>
      </w:r>
      <w:r>
        <w:rPr>
          <w:rFonts w:ascii="Times New Roman" w:hAnsi="Times New Roman"/>
        </w:rPr>
        <w:t>permanecer no mesmo emprego.</w:t>
      </w:r>
      <w:r w:rsidRPr="00BD5489">
        <w:rPr>
          <w:rFonts w:ascii="Times New Roman" w:hAnsi="Times New Roman"/>
        </w:rPr>
        <w:t xml:space="preserve"> O valor </w:t>
      </w:r>
      <w:r>
        <w:rPr>
          <w:rFonts w:ascii="Times New Roman" w:hAnsi="Times New Roman"/>
        </w:rPr>
        <w:t>“</w:t>
      </w:r>
      <w:r w:rsidRPr="00BD5489">
        <w:rPr>
          <w:rFonts w:ascii="Times New Roman" w:hAnsi="Times New Roman"/>
        </w:rPr>
        <w:t>1</w:t>
      </w:r>
      <w:r>
        <w:rPr>
          <w:rFonts w:ascii="Times New Roman" w:hAnsi="Times New Roman"/>
        </w:rPr>
        <w:t>”</w:t>
      </w:r>
      <w:r w:rsidRPr="00BD5489">
        <w:rPr>
          <w:rFonts w:ascii="Times New Roman" w:hAnsi="Times New Roman"/>
        </w:rPr>
        <w:t xml:space="preserve"> fo</w:t>
      </w:r>
      <w:r>
        <w:rPr>
          <w:rFonts w:ascii="Times New Roman" w:hAnsi="Times New Roman"/>
        </w:rPr>
        <w:t>i</w:t>
      </w:r>
      <w:r w:rsidRPr="00BD5489">
        <w:rPr>
          <w:rFonts w:ascii="Times New Roman" w:hAnsi="Times New Roman"/>
        </w:rPr>
        <w:t xml:space="preserve"> determinado no destino e não na origem</w:t>
      </w:r>
      <w:r w:rsidR="00606DEF">
        <w:rPr>
          <w:rFonts w:ascii="Times New Roman" w:hAnsi="Times New Roman"/>
        </w:rPr>
        <w:t>, ou seja, após observar a mudança de vínculo empregatício</w:t>
      </w:r>
      <w:r w:rsidRPr="00BD5489">
        <w:rPr>
          <w:rFonts w:ascii="Times New Roman" w:hAnsi="Times New Roman"/>
        </w:rPr>
        <w:t xml:space="preserve">. Neste sentido, </w:t>
      </w:r>
      <w:r w:rsidR="00DE5F16">
        <w:rPr>
          <w:rFonts w:ascii="Times New Roman" w:hAnsi="Times New Roman"/>
        </w:rPr>
        <w:t>n</w:t>
      </w:r>
      <w:r w:rsidRPr="00BD5489">
        <w:rPr>
          <w:rFonts w:ascii="Times New Roman" w:hAnsi="Times New Roman"/>
        </w:rPr>
        <w:t>o ano de 1995</w:t>
      </w:r>
      <w:r w:rsidR="00DE5F16">
        <w:rPr>
          <w:rFonts w:ascii="Times New Roman" w:hAnsi="Times New Roman"/>
        </w:rPr>
        <w:t>,</w:t>
      </w:r>
      <w:r w:rsidR="00197ABA">
        <w:rPr>
          <w:rFonts w:ascii="Times New Roman" w:hAnsi="Times New Roman"/>
        </w:rPr>
        <w:t xml:space="preserve"> </w:t>
      </w:r>
      <w:r w:rsidR="00DE5F16">
        <w:rPr>
          <w:rFonts w:ascii="Times New Roman" w:hAnsi="Times New Roman"/>
        </w:rPr>
        <w:t>o</w:t>
      </w:r>
      <w:r w:rsidR="00DE5F16" w:rsidRPr="00BD5489">
        <w:rPr>
          <w:rFonts w:ascii="Times New Roman" w:hAnsi="Times New Roman"/>
        </w:rPr>
        <w:t xml:space="preserve"> valor </w:t>
      </w:r>
      <w:r w:rsidR="00DE5F16">
        <w:rPr>
          <w:rFonts w:ascii="Times New Roman" w:hAnsi="Times New Roman"/>
        </w:rPr>
        <w:t>d</w:t>
      </w:r>
      <w:r w:rsidR="00DE5F16" w:rsidRPr="00BD5489">
        <w:rPr>
          <w:rFonts w:ascii="Times New Roman" w:hAnsi="Times New Roman"/>
        </w:rPr>
        <w:t>a variável “</w:t>
      </w:r>
      <w:proofErr w:type="spellStart"/>
      <w:r w:rsidR="00DE5F16" w:rsidRPr="00BD5489">
        <w:rPr>
          <w:rFonts w:ascii="Times New Roman" w:hAnsi="Times New Roman"/>
          <w:i/>
        </w:rPr>
        <w:t>job-change</w:t>
      </w:r>
      <w:proofErr w:type="spellEnd"/>
      <w:r w:rsidR="00DE5F16" w:rsidRPr="00BD5489">
        <w:rPr>
          <w:rFonts w:ascii="Times New Roman" w:hAnsi="Times New Roman"/>
        </w:rPr>
        <w:t xml:space="preserve">” </w:t>
      </w:r>
      <w:r w:rsidR="00DE5F16">
        <w:rPr>
          <w:rFonts w:ascii="Times New Roman" w:hAnsi="Times New Roman"/>
        </w:rPr>
        <w:t>é</w:t>
      </w:r>
      <w:r w:rsidR="00DE5F16" w:rsidRPr="00BD5489">
        <w:rPr>
          <w:rFonts w:ascii="Times New Roman" w:hAnsi="Times New Roman"/>
        </w:rPr>
        <w:t xml:space="preserve"> “0”</w:t>
      </w:r>
      <w:r w:rsidR="00197ABA">
        <w:rPr>
          <w:rFonts w:ascii="Times New Roman" w:hAnsi="Times New Roman"/>
        </w:rPr>
        <w:t xml:space="preserve"> </w:t>
      </w:r>
      <w:r>
        <w:rPr>
          <w:rFonts w:ascii="Times New Roman" w:hAnsi="Times New Roman"/>
        </w:rPr>
        <w:t>para todos os indivíduos</w:t>
      </w:r>
      <w:r w:rsidRPr="00BD5489">
        <w:rPr>
          <w:rFonts w:ascii="Times New Roman" w:hAnsi="Times New Roman"/>
        </w:rPr>
        <w:t xml:space="preserve">, como pode ser observado na </w:t>
      </w:r>
      <w:r w:rsidR="00606DEF">
        <w:rPr>
          <w:rFonts w:ascii="Times New Roman" w:hAnsi="Times New Roman"/>
        </w:rPr>
        <w:t>T</w:t>
      </w:r>
      <w:r w:rsidRPr="00BD5489">
        <w:rPr>
          <w:rFonts w:ascii="Times New Roman" w:hAnsi="Times New Roman"/>
        </w:rPr>
        <w:t>abela 1.</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A opção </w:t>
      </w:r>
      <w:r w:rsidR="00A43F2F">
        <w:rPr>
          <w:rFonts w:ascii="Times New Roman" w:hAnsi="Times New Roman"/>
        </w:rPr>
        <w:t>pel</w:t>
      </w:r>
      <w:r w:rsidRPr="00BD5489">
        <w:rPr>
          <w:rFonts w:ascii="Times New Roman" w:hAnsi="Times New Roman"/>
        </w:rPr>
        <w:t>o destino</w:t>
      </w:r>
      <w:r w:rsidR="00A43F2F">
        <w:rPr>
          <w:rFonts w:ascii="Times New Roman" w:hAnsi="Times New Roman"/>
        </w:rPr>
        <w:t xml:space="preserve"> em detrimento da</w:t>
      </w:r>
      <w:r w:rsidRPr="00BD5489">
        <w:rPr>
          <w:rFonts w:ascii="Times New Roman" w:hAnsi="Times New Roman"/>
        </w:rPr>
        <w:t xml:space="preserve"> origem</w:t>
      </w:r>
      <w:r w:rsidR="00A43F2F">
        <w:rPr>
          <w:rFonts w:ascii="Times New Roman" w:hAnsi="Times New Roman"/>
        </w:rPr>
        <w:t xml:space="preserve"> pode ser </w:t>
      </w:r>
      <w:r w:rsidRPr="00BD5489">
        <w:rPr>
          <w:rFonts w:ascii="Times New Roman" w:hAnsi="Times New Roman"/>
        </w:rPr>
        <w:t>justificada na teoria sobre mobilidade de trabalhadores (</w:t>
      </w:r>
      <w:proofErr w:type="spellStart"/>
      <w:r w:rsidRPr="00BD5489">
        <w:rPr>
          <w:rFonts w:ascii="Times New Roman" w:hAnsi="Times New Roman"/>
        </w:rPr>
        <w:t>interfirmas</w:t>
      </w:r>
      <w:proofErr w:type="spellEnd"/>
      <w:r w:rsidRPr="00BD5489">
        <w:rPr>
          <w:rFonts w:ascii="Times New Roman" w:hAnsi="Times New Roman"/>
        </w:rPr>
        <w:t xml:space="preserve"> e inter-regional) que situa o local de destino como </w:t>
      </w:r>
      <w:r w:rsidR="00A43F2F">
        <w:rPr>
          <w:rFonts w:ascii="Times New Roman" w:hAnsi="Times New Roman"/>
        </w:rPr>
        <w:t>o de</w:t>
      </w:r>
      <w:r w:rsidRPr="00BD5489">
        <w:rPr>
          <w:rFonts w:ascii="Times New Roman" w:hAnsi="Times New Roman"/>
        </w:rPr>
        <w:t xml:space="preserve"> maior poder de influência na escolha de se mover</w:t>
      </w:r>
      <w:r w:rsidR="00197ABA">
        <w:rPr>
          <w:rFonts w:ascii="Times New Roman" w:hAnsi="Times New Roman"/>
        </w:rPr>
        <w:t xml:space="preserve"> </w:t>
      </w:r>
      <w:r w:rsidR="00A43F2F" w:rsidRPr="00A43F2F">
        <w:rPr>
          <w:rFonts w:ascii="Times New Roman" w:hAnsi="Times New Roman"/>
          <w:i/>
        </w:rPr>
        <w:t>vis-à-vis</w:t>
      </w:r>
      <w:r w:rsidRPr="00BD5489">
        <w:rPr>
          <w:rFonts w:ascii="Times New Roman" w:hAnsi="Times New Roman"/>
        </w:rPr>
        <w:t xml:space="preserve"> a localidade de origem (</w:t>
      </w:r>
      <w:r w:rsidRPr="00BD5489">
        <w:rPr>
          <w:rFonts w:ascii="Times New Roman" w:hAnsi="Times New Roman"/>
          <w:caps/>
        </w:rPr>
        <w:t>Massey</w:t>
      </w:r>
      <w:r w:rsidR="00197ABA">
        <w:rPr>
          <w:rFonts w:ascii="Times New Roman" w:hAnsi="Times New Roman"/>
          <w:caps/>
        </w:rPr>
        <w:t xml:space="preserve"> </w:t>
      </w:r>
      <w:proofErr w:type="spellStart"/>
      <w:r w:rsidRPr="00BD5489">
        <w:rPr>
          <w:rFonts w:ascii="Times New Roman" w:hAnsi="Times New Roman"/>
          <w:i/>
        </w:rPr>
        <w:t>et</w:t>
      </w:r>
      <w:proofErr w:type="spellEnd"/>
      <w:r w:rsidRPr="00BD5489">
        <w:rPr>
          <w:rFonts w:ascii="Times New Roman" w:hAnsi="Times New Roman"/>
          <w:i/>
        </w:rPr>
        <w:t xml:space="preserve"> al.</w:t>
      </w:r>
      <w:r w:rsidRPr="00BD5489">
        <w:rPr>
          <w:rFonts w:ascii="Times New Roman" w:hAnsi="Times New Roman"/>
        </w:rPr>
        <w:t>, 1993). Estudos empíricos que modelam a transição de trabalhadores entre firmas e/ou regiões também tendem a trabalhar com a indicação desta transição no destino, em detrimento da origem (</w:t>
      </w:r>
      <w:r w:rsidRPr="00BD5489">
        <w:rPr>
          <w:rFonts w:ascii="Times New Roman" w:hAnsi="Times New Roman"/>
          <w:caps/>
        </w:rPr>
        <w:t>Pekkala</w:t>
      </w:r>
      <w:r w:rsidRPr="00BD5489">
        <w:rPr>
          <w:rFonts w:ascii="Times New Roman" w:hAnsi="Times New Roman"/>
        </w:rPr>
        <w:t xml:space="preserve">, 2003; </w:t>
      </w:r>
      <w:r w:rsidRPr="00BD5489">
        <w:rPr>
          <w:rFonts w:ascii="Times New Roman" w:hAnsi="Times New Roman"/>
          <w:caps/>
        </w:rPr>
        <w:t>Kulu</w:t>
      </w:r>
      <w:r w:rsidR="00197ABA">
        <w:rPr>
          <w:rFonts w:ascii="Times New Roman" w:hAnsi="Times New Roman"/>
          <w:caps/>
        </w:rPr>
        <w:t xml:space="preserve"> </w:t>
      </w:r>
      <w:r w:rsidR="00197ABA">
        <w:rPr>
          <w:rFonts w:ascii="Times New Roman" w:hAnsi="Times New Roman"/>
        </w:rPr>
        <w:t xml:space="preserve">e </w:t>
      </w:r>
      <w:r w:rsidRPr="00BD5489">
        <w:rPr>
          <w:rFonts w:ascii="Times New Roman" w:hAnsi="Times New Roman"/>
          <w:caps/>
        </w:rPr>
        <w:t>Billari</w:t>
      </w:r>
      <w:r w:rsidRPr="00BD5489">
        <w:rPr>
          <w:rFonts w:ascii="Times New Roman" w:hAnsi="Times New Roman"/>
        </w:rPr>
        <w:t xml:space="preserve">, 2004; </w:t>
      </w:r>
      <w:r w:rsidRPr="00BD5489">
        <w:rPr>
          <w:rFonts w:ascii="Times New Roman" w:hAnsi="Times New Roman"/>
          <w:caps/>
        </w:rPr>
        <w:t>Pacelli</w:t>
      </w:r>
      <w:r w:rsidR="00197ABA">
        <w:rPr>
          <w:rFonts w:ascii="Times New Roman" w:hAnsi="Times New Roman"/>
          <w:caps/>
        </w:rPr>
        <w:t xml:space="preserve"> </w:t>
      </w:r>
      <w:proofErr w:type="spellStart"/>
      <w:r w:rsidR="00197ABA" w:rsidRPr="00BD5489">
        <w:rPr>
          <w:rFonts w:ascii="Times New Roman" w:hAnsi="Times New Roman"/>
          <w:i/>
        </w:rPr>
        <w:t>et</w:t>
      </w:r>
      <w:proofErr w:type="spellEnd"/>
      <w:r w:rsidR="00197ABA" w:rsidRPr="00BD5489">
        <w:rPr>
          <w:rFonts w:ascii="Times New Roman" w:hAnsi="Times New Roman"/>
          <w:i/>
        </w:rPr>
        <w:t xml:space="preserve"> al</w:t>
      </w:r>
      <w:r w:rsidR="00197ABA">
        <w:rPr>
          <w:rFonts w:ascii="Times New Roman" w:hAnsi="Times New Roman"/>
          <w:i/>
        </w:rPr>
        <w:t>.</w:t>
      </w:r>
      <w:r w:rsidRPr="00BD5489">
        <w:rPr>
          <w:rFonts w:ascii="Times New Roman" w:hAnsi="Times New Roman"/>
          <w:caps/>
        </w:rPr>
        <w:t>,</w:t>
      </w:r>
      <w:r w:rsidRPr="00BD5489">
        <w:rPr>
          <w:rFonts w:ascii="Times New Roman" w:hAnsi="Times New Roman"/>
        </w:rPr>
        <w:t xml:space="preserve"> 1998)</w:t>
      </w:r>
      <w:r>
        <w:rPr>
          <w:rFonts w:ascii="Times New Roman" w:hAnsi="Times New Roman"/>
        </w:rPr>
        <w:t>.</w:t>
      </w:r>
    </w:p>
    <w:p w:rsidR="00606DEF"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A forma como a base de dados foi </w:t>
      </w:r>
      <w:r w:rsidR="00A43F2F">
        <w:rPr>
          <w:rFonts w:ascii="Times New Roman" w:hAnsi="Times New Roman"/>
        </w:rPr>
        <w:t>construí</w:t>
      </w:r>
      <w:r w:rsidRPr="00BD5489">
        <w:rPr>
          <w:rFonts w:ascii="Times New Roman" w:hAnsi="Times New Roman"/>
        </w:rPr>
        <w:t>da evidencia a existência de um viés de seleção, uma vez que apenas os trabalhadores que se mantiveram empregados na indústria de transformação ao longo dos oito anos de estudo foram selecionados. Entretanto, es</w:t>
      </w:r>
      <w:r w:rsidR="00197ABA">
        <w:rPr>
          <w:rFonts w:ascii="Times New Roman" w:hAnsi="Times New Roman"/>
        </w:rPr>
        <w:t>s</w:t>
      </w:r>
      <w:r w:rsidRPr="00BD5489">
        <w:rPr>
          <w:rFonts w:ascii="Times New Roman" w:hAnsi="Times New Roman"/>
        </w:rPr>
        <w:t>e viés atende aos interesses desse trabalho, uma vez que, a capacidade d</w:t>
      </w:r>
      <w:r w:rsidR="00606DEF">
        <w:rPr>
          <w:rFonts w:ascii="Times New Roman" w:hAnsi="Times New Roman"/>
        </w:rPr>
        <w:t xml:space="preserve">e </w:t>
      </w:r>
      <w:r w:rsidRPr="00BD5489">
        <w:rPr>
          <w:rFonts w:ascii="Times New Roman" w:hAnsi="Times New Roman"/>
        </w:rPr>
        <w:t xml:space="preserve">o trabalhador se manter no emprego neste período de tempo, ou se transferir para outro, ainda dentro da indústria de transformação, o diferencia dos demais. </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Esse diferencial, que mantém o trabalhador na indústria, considerando-se principalmente os trabalhadores mais qualificados (educados), é o indício da sua capacidade de acúmulo de conhecimento e, por conseqüência, de transferência de conhecimento, quando for o caso de mudança de emprego. Ou seja, se esses indivíduos permaneceram na indústria de transformação nesse período de tempo, provavelmente possuem alguma habilidade que os diferenciam dos demais. Essa característica os torna relevantes para entender o padrão de sua mobilidade e, dessa forma, entender o mecanismo pelo qual o conhecimento tecnológico incorporado em trabalhadores diferenciados pode difundir-se entre firmas. </w:t>
      </w:r>
    </w:p>
    <w:p w:rsidR="00606DEF"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A base de dados passou por alguns ajustes para corrigir inconsistências do banco de dados originalmente extraído da RAIS-M</w:t>
      </w:r>
      <w:r w:rsidR="00606DEF" w:rsidRPr="00BD5489">
        <w:rPr>
          <w:rFonts w:ascii="Times New Roman" w:hAnsi="Times New Roman"/>
        </w:rPr>
        <w:t>IGRA</w:t>
      </w:r>
      <w:r w:rsidRPr="00BD5489">
        <w:rPr>
          <w:rFonts w:ascii="Times New Roman" w:hAnsi="Times New Roman"/>
        </w:rPr>
        <w:t>. Dentre os problemas corrigidos, podem ser citados: registros de trabalhadores (P</w:t>
      </w:r>
      <w:r w:rsidR="00312CB4">
        <w:rPr>
          <w:rFonts w:ascii="Times New Roman" w:hAnsi="Times New Roman"/>
        </w:rPr>
        <w:t>rograma de Integração Social - P</w:t>
      </w:r>
      <w:r w:rsidRPr="00BD5489">
        <w:rPr>
          <w:rFonts w:ascii="Times New Roman" w:hAnsi="Times New Roman"/>
        </w:rPr>
        <w:t xml:space="preserve">IS) que apresentavam diferença de sexo de um ano para o outro, registros de declínio na escolaridade, como nível superior completo em um ano e segundo grau completo no ano seguinte, por exemplo, e declínio ou manutenção da mesma idade ao longo dos anos. </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Entende-se que todas essas inco</w:t>
      </w:r>
      <w:r w:rsidR="00942567">
        <w:rPr>
          <w:rFonts w:ascii="Times New Roman" w:hAnsi="Times New Roman"/>
        </w:rPr>
        <w:t>nsistências</w:t>
      </w:r>
      <w:r w:rsidRPr="00BD5489">
        <w:rPr>
          <w:rFonts w:ascii="Times New Roman" w:hAnsi="Times New Roman"/>
        </w:rPr>
        <w:t xml:space="preserve"> podem estar associadas a uma prestação errada de informação por parte da empresa, o que torna questionável a validade da informação e justifica sua exclusão. Neste sentido, optou-se por fazer a exclusão do trabalhador (identificado pelo PIS) na totalidade, ou seja, foram excluídas todas as informações des</w:t>
      </w:r>
      <w:r w:rsidR="00197ABA">
        <w:rPr>
          <w:rFonts w:ascii="Times New Roman" w:hAnsi="Times New Roman"/>
        </w:rPr>
        <w:t>s</w:t>
      </w:r>
      <w:r w:rsidRPr="00BD5489">
        <w:rPr>
          <w:rFonts w:ascii="Times New Roman" w:hAnsi="Times New Roman"/>
        </w:rPr>
        <w:t>es trabalhadores para os oito anos que compõem a base de dados. Achou-se conveniente sua exclusão total, pois não existia possibilidade de identificar, dentro dos oito anos, em qual das informações prestadas estariam os erros. Assim, com es</w:t>
      </w:r>
      <w:r w:rsidR="00197ABA">
        <w:rPr>
          <w:rFonts w:ascii="Times New Roman" w:hAnsi="Times New Roman"/>
        </w:rPr>
        <w:t>s</w:t>
      </w:r>
      <w:r w:rsidRPr="00BD5489">
        <w:rPr>
          <w:rFonts w:ascii="Times New Roman" w:hAnsi="Times New Roman"/>
        </w:rPr>
        <w:t xml:space="preserve">a exclusão, a base ficou novamente balanceada obtendo-se um painel de </w:t>
      </w:r>
      <w:r w:rsidR="00606DEF">
        <w:rPr>
          <w:rFonts w:ascii="Times New Roman" w:hAnsi="Times New Roman"/>
        </w:rPr>
        <w:t>oito</w:t>
      </w:r>
      <w:r w:rsidRPr="00BD5489">
        <w:rPr>
          <w:rFonts w:ascii="Times New Roman" w:hAnsi="Times New Roman"/>
        </w:rPr>
        <w:t xml:space="preserve"> anos.</w:t>
      </w:r>
    </w:p>
    <w:p w:rsidR="00F0119F" w:rsidRPr="00BD5489" w:rsidRDefault="00F0119F"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lastRenderedPageBreak/>
        <w:t xml:space="preserve">De uma base inicial de 50%, feitas as eliminações das inconsistências descritas acima, restou uma base que corresponde a 48,91% do </w:t>
      </w:r>
      <w:r w:rsidR="00616576">
        <w:rPr>
          <w:rFonts w:ascii="Times New Roman" w:hAnsi="Times New Roman"/>
        </w:rPr>
        <w:t>total</w:t>
      </w:r>
      <w:r w:rsidRPr="00BD5489">
        <w:rPr>
          <w:rFonts w:ascii="Times New Roman" w:hAnsi="Times New Roman"/>
        </w:rPr>
        <w:t xml:space="preserve"> de trabalhadores empregados na indústria de transformação </w:t>
      </w:r>
      <w:r w:rsidR="00616576">
        <w:rPr>
          <w:rFonts w:ascii="Times New Roman" w:hAnsi="Times New Roman"/>
        </w:rPr>
        <w:t>que estavam em todos os</w:t>
      </w:r>
      <w:r w:rsidRPr="00BD5489">
        <w:rPr>
          <w:rFonts w:ascii="Times New Roman" w:hAnsi="Times New Roman"/>
        </w:rPr>
        <w:t xml:space="preserve"> oito anos</w:t>
      </w:r>
      <w:r w:rsidR="00616576">
        <w:rPr>
          <w:rFonts w:ascii="Times New Roman" w:hAnsi="Times New Roman"/>
        </w:rPr>
        <w:t xml:space="preserve"> do período 1995-2002</w:t>
      </w:r>
      <w:r w:rsidRPr="00BD5489">
        <w:rPr>
          <w:rFonts w:ascii="Times New Roman" w:hAnsi="Times New Roman"/>
        </w:rPr>
        <w:t>. Essa base de dados conta</w:t>
      </w:r>
      <w:r w:rsidR="001C5182">
        <w:rPr>
          <w:rFonts w:ascii="Times New Roman" w:hAnsi="Times New Roman"/>
        </w:rPr>
        <w:t>, ao todo,</w:t>
      </w:r>
      <w:r w:rsidRPr="00BD5489">
        <w:rPr>
          <w:rFonts w:ascii="Times New Roman" w:hAnsi="Times New Roman"/>
        </w:rPr>
        <w:t xml:space="preserve"> com 4.433.1</w:t>
      </w:r>
      <w:r>
        <w:rPr>
          <w:rFonts w:ascii="Times New Roman" w:hAnsi="Times New Roman"/>
        </w:rPr>
        <w:t>1</w:t>
      </w:r>
      <w:r w:rsidRPr="00BD5489">
        <w:rPr>
          <w:rFonts w:ascii="Times New Roman" w:hAnsi="Times New Roman"/>
        </w:rPr>
        <w:t xml:space="preserve">2 registros de emprego e </w:t>
      </w:r>
      <w:r>
        <w:rPr>
          <w:rFonts w:ascii="Times New Roman" w:hAnsi="Times New Roman"/>
        </w:rPr>
        <w:t>266.953</w:t>
      </w:r>
      <w:r w:rsidRPr="00BD5489">
        <w:rPr>
          <w:rFonts w:ascii="Times New Roman" w:hAnsi="Times New Roman"/>
        </w:rPr>
        <w:t xml:space="preserve"> registros de mudança </w:t>
      </w:r>
      <w:r w:rsidR="00942567">
        <w:rPr>
          <w:rFonts w:ascii="Times New Roman" w:hAnsi="Times New Roman"/>
        </w:rPr>
        <w:t xml:space="preserve">de vínculo empregatício </w:t>
      </w:r>
      <w:r w:rsidRPr="00BD5489">
        <w:rPr>
          <w:rFonts w:ascii="Times New Roman" w:hAnsi="Times New Roman"/>
        </w:rPr>
        <w:t>(“</w:t>
      </w:r>
      <w:proofErr w:type="spellStart"/>
      <w:r w:rsidRPr="00BD5489">
        <w:rPr>
          <w:rFonts w:ascii="Times New Roman" w:hAnsi="Times New Roman"/>
          <w:i/>
        </w:rPr>
        <w:t>job-change</w:t>
      </w:r>
      <w:proofErr w:type="spellEnd"/>
      <w:r w:rsidRPr="00BD5489">
        <w:rPr>
          <w:rFonts w:ascii="Times New Roman" w:hAnsi="Times New Roman"/>
          <w:i/>
        </w:rPr>
        <w:t>”</w:t>
      </w:r>
      <w:r w:rsidRPr="00BD5489">
        <w:rPr>
          <w:rFonts w:ascii="Times New Roman" w:hAnsi="Times New Roman"/>
        </w:rPr>
        <w:t xml:space="preserve">), distribuídos como pode ser observado na Tabela 1. </w:t>
      </w:r>
      <w:r w:rsidR="00F00ED9">
        <w:rPr>
          <w:rFonts w:ascii="Times New Roman" w:hAnsi="Times New Roman"/>
        </w:rPr>
        <w:t xml:space="preserve">A taxa média de mobilidade </w:t>
      </w:r>
      <w:proofErr w:type="spellStart"/>
      <w:r w:rsidR="00F00ED9">
        <w:rPr>
          <w:rFonts w:ascii="Times New Roman" w:hAnsi="Times New Roman"/>
        </w:rPr>
        <w:t>interfirma</w:t>
      </w:r>
      <w:proofErr w:type="spellEnd"/>
      <w:r w:rsidR="00F00ED9">
        <w:rPr>
          <w:rFonts w:ascii="Times New Roman" w:hAnsi="Times New Roman"/>
        </w:rPr>
        <w:t xml:space="preserve"> no período 1995-2002 situa-se em torno de 6,87%, ao se computar a média das divisões entre mudanças de firma e registros de emprego.</w:t>
      </w:r>
      <w:r w:rsidR="00197ABA">
        <w:rPr>
          <w:rStyle w:val="Refdenotaderodap"/>
          <w:rFonts w:ascii="Times New Roman" w:hAnsi="Times New Roman"/>
        </w:rPr>
        <w:footnoteReference w:id="4"/>
      </w:r>
    </w:p>
    <w:p w:rsidR="005D3BD3" w:rsidRDefault="005D3BD3" w:rsidP="005D3BD3">
      <w:pPr>
        <w:pStyle w:val="SemEspaamento"/>
        <w:jc w:val="center"/>
        <w:rPr>
          <w:rFonts w:ascii="Times New Roman" w:hAnsi="Times New Roman"/>
        </w:rPr>
      </w:pPr>
    </w:p>
    <w:p w:rsidR="00526057" w:rsidRPr="005D3BD3" w:rsidRDefault="00F0119F" w:rsidP="005D3BD3">
      <w:pPr>
        <w:pStyle w:val="SemEspaamento"/>
        <w:jc w:val="center"/>
        <w:rPr>
          <w:rFonts w:ascii="Times New Roman" w:hAnsi="Times New Roman"/>
          <w:b/>
        </w:rPr>
      </w:pPr>
      <w:r w:rsidRPr="005D3BD3">
        <w:rPr>
          <w:rFonts w:ascii="Times New Roman" w:hAnsi="Times New Roman"/>
        </w:rPr>
        <w:t>Tabela 1: Distribuição dos registros de emprego e “</w:t>
      </w:r>
      <w:proofErr w:type="spellStart"/>
      <w:r w:rsidRPr="005D3BD3">
        <w:rPr>
          <w:rFonts w:ascii="Times New Roman" w:hAnsi="Times New Roman"/>
          <w:i/>
        </w:rPr>
        <w:t>job-change</w:t>
      </w:r>
      <w:proofErr w:type="spellEnd"/>
      <w:r w:rsidRPr="005D3BD3">
        <w:rPr>
          <w:rFonts w:ascii="Times New Roman" w:hAnsi="Times New Roman"/>
        </w:rPr>
        <w:t>”</w:t>
      </w:r>
    </w:p>
    <w:p w:rsidR="00F0119F" w:rsidRPr="005D3BD3" w:rsidRDefault="00526057" w:rsidP="005D3BD3">
      <w:pPr>
        <w:pStyle w:val="SemEspaamento"/>
        <w:jc w:val="center"/>
        <w:rPr>
          <w:rFonts w:ascii="Times New Roman" w:hAnsi="Times New Roman"/>
          <w:b/>
        </w:rPr>
      </w:pPr>
      <w:r w:rsidRPr="005D3BD3">
        <w:rPr>
          <w:rFonts w:ascii="Times New Roman" w:hAnsi="Times New Roman"/>
        </w:rPr>
        <w:t>no Brasil (1995-2002)</w:t>
      </w:r>
    </w:p>
    <w:p w:rsidR="00BD5489" w:rsidRDefault="001C49E3" w:rsidP="0073033C">
      <w:pPr>
        <w:pStyle w:val="Tabela"/>
        <w:spacing w:before="120" w:after="120" w:line="360" w:lineRule="auto"/>
        <w:rPr>
          <w:b w:val="0"/>
          <w:sz w:val="24"/>
          <w:szCs w:val="24"/>
        </w:rPr>
      </w:pPr>
      <w:r w:rsidRPr="00963EC3">
        <w:rPr>
          <w:b w:val="0"/>
          <w:sz w:val="24"/>
          <w:szCs w:val="24"/>
        </w:rPr>
        <w:object w:dxaOrig="6971" w:dyaOrig="2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0.25pt;height:150.35pt" o:ole="">
            <v:imagedata r:id="rId8" o:title=""/>
          </v:shape>
          <o:OLEObject Type="Embed" ProgID="Excel.Sheet.12" ShapeID="_x0000_i1034" DrawAspect="Content" ObjectID="_1372512518" r:id="rId9"/>
        </w:object>
      </w:r>
      <w:bookmarkEnd w:id="15"/>
    </w:p>
    <w:p w:rsidR="0073033C" w:rsidRPr="00BD5489" w:rsidRDefault="0073033C" w:rsidP="005D3BD3">
      <w:pPr>
        <w:pStyle w:val="Ttulo2"/>
        <w:spacing w:before="0" w:after="0"/>
        <w:rPr>
          <w:rFonts w:ascii="Times New Roman" w:hAnsi="Times New Roman" w:cs="Times New Roman"/>
          <w:i w:val="0"/>
          <w:sz w:val="24"/>
          <w:szCs w:val="24"/>
        </w:rPr>
      </w:pPr>
      <w:r w:rsidRPr="00BD5489">
        <w:rPr>
          <w:rFonts w:ascii="Times New Roman" w:hAnsi="Times New Roman" w:cs="Times New Roman"/>
          <w:i w:val="0"/>
          <w:sz w:val="24"/>
          <w:szCs w:val="24"/>
        </w:rPr>
        <w:t xml:space="preserve">3.2 </w:t>
      </w:r>
      <w:r>
        <w:rPr>
          <w:rFonts w:ascii="Times New Roman" w:hAnsi="Times New Roman" w:cs="Times New Roman"/>
          <w:i w:val="0"/>
          <w:sz w:val="24"/>
          <w:szCs w:val="24"/>
        </w:rPr>
        <w:t>Construção das variáveis</w:t>
      </w:r>
    </w:p>
    <w:p w:rsidR="0073033C" w:rsidRPr="00180B25" w:rsidRDefault="0073033C" w:rsidP="005D3BD3">
      <w:pPr>
        <w:spacing w:after="0" w:line="240" w:lineRule="auto"/>
        <w:ind w:firstLine="708"/>
        <w:jc w:val="both"/>
        <w:rPr>
          <w:rFonts w:ascii="Times New Roman" w:hAnsi="Times New Roman"/>
        </w:rPr>
      </w:pPr>
      <w:r>
        <w:rPr>
          <w:rFonts w:ascii="Times New Roman" w:hAnsi="Times New Roman"/>
        </w:rPr>
        <w:t xml:space="preserve">A mobilidade de trabalhadores </w:t>
      </w:r>
      <w:proofErr w:type="spellStart"/>
      <w:r>
        <w:rPr>
          <w:rFonts w:ascii="Times New Roman" w:hAnsi="Times New Roman"/>
        </w:rPr>
        <w:t>interfirma</w:t>
      </w:r>
      <w:proofErr w:type="spellEnd"/>
      <w:r>
        <w:rPr>
          <w:rFonts w:ascii="Times New Roman" w:hAnsi="Times New Roman"/>
        </w:rPr>
        <w:t xml:space="preserve"> é identificada pelos</w:t>
      </w:r>
      <w:r w:rsidRPr="009B126E">
        <w:rPr>
          <w:rFonts w:ascii="Times New Roman" w:hAnsi="Times New Roman"/>
        </w:rPr>
        <w:t xml:space="preserve"> indivíduos </w:t>
      </w:r>
      <w:r>
        <w:rPr>
          <w:rFonts w:ascii="Times New Roman" w:hAnsi="Times New Roman"/>
        </w:rPr>
        <w:t xml:space="preserve">cuja firma em que se possuía vínculo em t é diferente da firma em t-1. </w:t>
      </w:r>
      <w:r w:rsidRPr="009B126E">
        <w:rPr>
          <w:rFonts w:ascii="Times New Roman" w:hAnsi="Times New Roman"/>
        </w:rPr>
        <w:t xml:space="preserve"> </w:t>
      </w:r>
      <w:r w:rsidRPr="00762E3F">
        <w:rPr>
          <w:rFonts w:ascii="Times New Roman" w:hAnsi="Times New Roman"/>
        </w:rPr>
        <w:t>Assim, a variável dependente binária</w:t>
      </w:r>
      <w:r>
        <w:rPr>
          <w:rFonts w:ascii="Times New Roman" w:hAnsi="Times New Roman"/>
        </w:rPr>
        <w:t xml:space="preserve"> da regressão</w:t>
      </w:r>
      <w:r w:rsidRPr="00762E3F">
        <w:rPr>
          <w:rFonts w:ascii="Times New Roman" w:hAnsi="Times New Roman"/>
        </w:rPr>
        <w:t xml:space="preserve"> reportará valor </w:t>
      </w:r>
      <w:r>
        <w:rPr>
          <w:rFonts w:ascii="Times New Roman" w:hAnsi="Times New Roman"/>
        </w:rPr>
        <w:t>"</w:t>
      </w:r>
      <w:r w:rsidRPr="00762E3F">
        <w:rPr>
          <w:rFonts w:ascii="Times New Roman" w:hAnsi="Times New Roman"/>
        </w:rPr>
        <w:t>1</w:t>
      </w:r>
      <w:r>
        <w:rPr>
          <w:rFonts w:ascii="Times New Roman" w:hAnsi="Times New Roman"/>
        </w:rPr>
        <w:t>"</w:t>
      </w:r>
      <w:r w:rsidRPr="00762E3F">
        <w:rPr>
          <w:rFonts w:ascii="Times New Roman" w:hAnsi="Times New Roman"/>
        </w:rPr>
        <w:t xml:space="preserve"> para aqueles indivíduos que se movem </w:t>
      </w:r>
      <w:r>
        <w:rPr>
          <w:rFonts w:ascii="Times New Roman" w:hAnsi="Times New Roman"/>
        </w:rPr>
        <w:t xml:space="preserve">entre firmas </w:t>
      </w:r>
      <w:r w:rsidRPr="00762E3F">
        <w:rPr>
          <w:rFonts w:ascii="Times New Roman" w:hAnsi="Times New Roman"/>
        </w:rPr>
        <w:t xml:space="preserve">e </w:t>
      </w:r>
      <w:r>
        <w:rPr>
          <w:rFonts w:ascii="Times New Roman" w:hAnsi="Times New Roman"/>
        </w:rPr>
        <w:t>"</w:t>
      </w:r>
      <w:r w:rsidRPr="00762E3F">
        <w:rPr>
          <w:rFonts w:ascii="Times New Roman" w:hAnsi="Times New Roman"/>
        </w:rPr>
        <w:t>0</w:t>
      </w:r>
      <w:r>
        <w:rPr>
          <w:rFonts w:ascii="Times New Roman" w:hAnsi="Times New Roman"/>
        </w:rPr>
        <w:t>"</w:t>
      </w:r>
      <w:r w:rsidRPr="00762E3F">
        <w:rPr>
          <w:rFonts w:ascii="Times New Roman" w:hAnsi="Times New Roman"/>
        </w:rPr>
        <w:t xml:space="preserve"> para os demais indivíduos. </w:t>
      </w:r>
      <w:r>
        <w:rPr>
          <w:rFonts w:ascii="Times New Roman" w:hAnsi="Times New Roman"/>
        </w:rPr>
        <w:t xml:space="preserve">No contexto da mobilidade </w:t>
      </w:r>
      <w:proofErr w:type="spellStart"/>
      <w:r>
        <w:rPr>
          <w:rFonts w:ascii="Times New Roman" w:hAnsi="Times New Roman"/>
        </w:rPr>
        <w:t>interfirma</w:t>
      </w:r>
      <w:proofErr w:type="spellEnd"/>
      <w:r>
        <w:rPr>
          <w:rFonts w:ascii="Times New Roman" w:hAnsi="Times New Roman"/>
        </w:rPr>
        <w:t>, é razoável assumir que outras características individuais não observadas também podem influenciar a propensão à troca de emprego do trabalhador qualificado, como gostos, habilidades individuais e qualidade de ensino. Se os efeitos das variáveis não observadas não forem considerados na regressão, as estimativas geradas podem ser inconsistentes e enviesadas. Diante d</w:t>
      </w:r>
      <w:r w:rsidRPr="009B126E">
        <w:rPr>
          <w:rFonts w:ascii="Times New Roman" w:hAnsi="Times New Roman"/>
        </w:rPr>
        <w:t>a disponibilidade de dados em painel</w:t>
      </w:r>
      <w:r>
        <w:rPr>
          <w:rFonts w:ascii="Times New Roman" w:hAnsi="Times New Roman"/>
        </w:rPr>
        <w:t xml:space="preserve">, a estimação de decisão de mudança </w:t>
      </w:r>
      <w:proofErr w:type="spellStart"/>
      <w:r>
        <w:rPr>
          <w:rFonts w:ascii="Times New Roman" w:hAnsi="Times New Roman"/>
        </w:rPr>
        <w:t>interfirma</w:t>
      </w:r>
      <w:proofErr w:type="spellEnd"/>
      <w:r>
        <w:rPr>
          <w:rFonts w:ascii="Times New Roman" w:hAnsi="Times New Roman"/>
        </w:rPr>
        <w:t xml:space="preserve"> do trabalh</w:t>
      </w:r>
      <w:r w:rsidRPr="00180B25">
        <w:rPr>
          <w:rFonts w:ascii="Times New Roman" w:hAnsi="Times New Roman"/>
        </w:rPr>
        <w:t xml:space="preserve">ador pode ser feita por um modelo </w:t>
      </w:r>
      <w:proofErr w:type="spellStart"/>
      <w:r w:rsidRPr="00180B25">
        <w:rPr>
          <w:rFonts w:ascii="Times New Roman" w:hAnsi="Times New Roman"/>
        </w:rPr>
        <w:t>logit</w:t>
      </w:r>
      <w:proofErr w:type="spellEnd"/>
      <w:r w:rsidRPr="00180B25">
        <w:rPr>
          <w:rFonts w:ascii="Times New Roman" w:hAnsi="Times New Roman"/>
        </w:rPr>
        <w:t xml:space="preserve"> de efeitos fixos, constituindo-se uma forma efetiva de tratamento para o viés de seleção decorrente da mobilidade. </w:t>
      </w:r>
    </w:p>
    <w:p w:rsidR="0073033C" w:rsidRPr="00180B25" w:rsidRDefault="0073033C" w:rsidP="005D3BD3">
      <w:pPr>
        <w:spacing w:after="0" w:line="240" w:lineRule="auto"/>
        <w:ind w:firstLine="709"/>
        <w:jc w:val="both"/>
        <w:rPr>
          <w:rFonts w:ascii="Times New Roman" w:hAnsi="Times New Roman"/>
        </w:rPr>
      </w:pPr>
      <w:r w:rsidRPr="00180B25">
        <w:rPr>
          <w:rFonts w:ascii="Times New Roman" w:hAnsi="Times New Roman"/>
        </w:rPr>
        <w:t xml:space="preserve">À decisão de mudança </w:t>
      </w:r>
      <w:proofErr w:type="spellStart"/>
      <w:r w:rsidRPr="00180B25">
        <w:rPr>
          <w:rFonts w:ascii="Times New Roman" w:hAnsi="Times New Roman"/>
        </w:rPr>
        <w:t>interfirma</w:t>
      </w:r>
      <w:proofErr w:type="spellEnd"/>
      <w:r w:rsidRPr="00180B25">
        <w:rPr>
          <w:rFonts w:ascii="Times New Roman" w:hAnsi="Times New Roman"/>
        </w:rPr>
        <w:t>, foram agregadas variáveis adicionais relacionadas às características dos indivíduos e da unidade de federação, conforme a especificação da equação 1.</w:t>
      </w:r>
    </w:p>
    <w:p w:rsidR="0073033C" w:rsidRPr="00180B25" w:rsidRDefault="0073033C" w:rsidP="005D3BD3">
      <w:pPr>
        <w:tabs>
          <w:tab w:val="left" w:pos="7513"/>
        </w:tabs>
        <w:spacing w:after="120" w:line="240" w:lineRule="auto"/>
        <w:ind w:left="720"/>
        <w:jc w:val="center"/>
        <w:rPr>
          <w:rFonts w:ascii="Times New Roman" w:hAnsi="Times New Roman"/>
        </w:rPr>
      </w:pPr>
      <w:r w:rsidRPr="00180B25">
        <w:rPr>
          <w:position w:val="-12"/>
        </w:rPr>
        <w:object w:dxaOrig="3540" w:dyaOrig="360">
          <v:shape id="_x0000_i1026" type="#_x0000_t75" style="width:200.45pt;height:20.75pt" o:ole="">
            <v:imagedata r:id="rId10" o:title=""/>
          </v:shape>
          <o:OLEObject Type="Embed" ProgID="Equation.DSMT4" ShapeID="_x0000_i1026" DrawAspect="Content" ObjectID="_1372512519" r:id="rId11"/>
        </w:object>
      </w:r>
      <w:r w:rsidRPr="00180B25">
        <w:rPr>
          <w:rFonts w:ascii="Times New Roman" w:hAnsi="Times New Roman"/>
        </w:rPr>
        <w:t xml:space="preserve">         (1)</w:t>
      </w:r>
    </w:p>
    <w:p w:rsidR="0073033C" w:rsidRPr="00180B25" w:rsidRDefault="0073033C" w:rsidP="005D3BD3">
      <w:pPr>
        <w:spacing w:after="0" w:line="240" w:lineRule="auto"/>
        <w:jc w:val="both"/>
        <w:rPr>
          <w:rFonts w:ascii="Times New Roman" w:hAnsi="Times New Roman"/>
        </w:rPr>
      </w:pPr>
      <w:r w:rsidRPr="00180B25">
        <w:rPr>
          <w:rFonts w:ascii="Times New Roman" w:hAnsi="Times New Roman"/>
        </w:rPr>
        <w:t xml:space="preserve">onde: </w:t>
      </w:r>
      <w:r w:rsidRPr="00180B25">
        <w:rPr>
          <w:rFonts w:ascii="Times New Roman" w:hAnsi="Times New Roman"/>
          <w:i/>
        </w:rPr>
        <w:t>i</w:t>
      </w:r>
      <w:r w:rsidRPr="00180B25">
        <w:rPr>
          <w:rFonts w:ascii="Times New Roman" w:hAnsi="Times New Roman"/>
        </w:rPr>
        <w:t xml:space="preserve"> é o indivíduo, </w:t>
      </w:r>
      <w:r w:rsidRPr="00180B25">
        <w:rPr>
          <w:rFonts w:ascii="Times New Roman" w:hAnsi="Times New Roman"/>
          <w:i/>
        </w:rPr>
        <w:t>t</w:t>
      </w:r>
      <w:r w:rsidRPr="00180B25">
        <w:rPr>
          <w:rFonts w:ascii="Times New Roman" w:hAnsi="Times New Roman"/>
        </w:rPr>
        <w:t xml:space="preserve"> são os anos, </w:t>
      </w:r>
      <w:r w:rsidRPr="00180B25">
        <w:rPr>
          <w:rFonts w:ascii="Times New Roman" w:hAnsi="Times New Roman"/>
          <w:i/>
        </w:rPr>
        <w:t>y</w:t>
      </w:r>
      <w:r w:rsidRPr="00180B25">
        <w:rPr>
          <w:rFonts w:ascii="Times New Roman" w:hAnsi="Times New Roman"/>
        </w:rPr>
        <w:t xml:space="preserve"> é a variável binária indicativa de mudança </w:t>
      </w:r>
      <w:r>
        <w:rPr>
          <w:rFonts w:ascii="Times New Roman" w:hAnsi="Times New Roman"/>
        </w:rPr>
        <w:t xml:space="preserve">de </w:t>
      </w:r>
      <w:r w:rsidRPr="00180B25">
        <w:rPr>
          <w:rFonts w:ascii="Times New Roman" w:hAnsi="Times New Roman"/>
        </w:rPr>
        <w:t xml:space="preserve">firma, </w:t>
      </w:r>
      <w:proofErr w:type="spellStart"/>
      <w:r w:rsidRPr="00180B25">
        <w:rPr>
          <w:rFonts w:ascii="Times New Roman" w:hAnsi="Times New Roman"/>
          <w:i/>
        </w:rPr>
        <w:t>α</w:t>
      </w:r>
      <w:r w:rsidRPr="00180B25">
        <w:rPr>
          <w:rFonts w:ascii="Times New Roman" w:hAnsi="Times New Roman"/>
          <w:i/>
          <w:vertAlign w:val="subscript"/>
        </w:rPr>
        <w:t>i</w:t>
      </w:r>
      <w:proofErr w:type="spellEnd"/>
      <w:r w:rsidRPr="00180B25">
        <w:rPr>
          <w:rFonts w:ascii="Times New Roman" w:hAnsi="Times New Roman"/>
        </w:rPr>
        <w:t xml:space="preserve"> é o vetor de efeitos fixos,</w:t>
      </w:r>
      <w:r w:rsidRPr="00180B25">
        <w:rPr>
          <w:rFonts w:ascii="Times New Roman" w:hAnsi="Times New Roman"/>
          <w:i/>
        </w:rPr>
        <w:t xml:space="preserve"> X</w:t>
      </w:r>
      <w:r w:rsidRPr="00180B25">
        <w:rPr>
          <w:rFonts w:ascii="Times New Roman" w:hAnsi="Times New Roman"/>
        </w:rPr>
        <w:t xml:space="preserve"> é o vetor de variáveis explicativas referentes às características do indivíduo,</w:t>
      </w:r>
      <w:r w:rsidRPr="00180B25">
        <w:rPr>
          <w:rFonts w:ascii="Times New Roman" w:hAnsi="Times New Roman"/>
          <w:i/>
        </w:rPr>
        <w:t xml:space="preserve"> Z</w:t>
      </w:r>
      <w:r w:rsidRPr="00180B25">
        <w:rPr>
          <w:rFonts w:ascii="Times New Roman" w:hAnsi="Times New Roman"/>
        </w:rPr>
        <w:t xml:space="preserve"> é o vetor de variáveis relacionadas ao emprego, </w:t>
      </w:r>
      <w:r w:rsidRPr="00180B25">
        <w:rPr>
          <w:rFonts w:ascii="Times New Roman" w:hAnsi="Times New Roman"/>
          <w:i/>
        </w:rPr>
        <w:t>R</w:t>
      </w:r>
      <w:r w:rsidRPr="00180B25">
        <w:rPr>
          <w:rFonts w:ascii="Times New Roman" w:hAnsi="Times New Roman"/>
        </w:rPr>
        <w:t xml:space="preserve"> é o vetor de variáveis </w:t>
      </w:r>
      <w:r>
        <w:rPr>
          <w:rFonts w:ascii="Times New Roman" w:hAnsi="Times New Roman"/>
        </w:rPr>
        <w:t>regionais</w:t>
      </w:r>
      <w:r w:rsidRPr="00180B25">
        <w:rPr>
          <w:rFonts w:ascii="Times New Roman" w:hAnsi="Times New Roman"/>
        </w:rPr>
        <w:t xml:space="preserve">, </w:t>
      </w:r>
      <w:r w:rsidRPr="00180B25">
        <w:rPr>
          <w:rFonts w:ascii="Times New Roman" w:hAnsi="Times New Roman"/>
          <w:position w:val="-12"/>
        </w:rPr>
        <w:object w:dxaOrig="279" w:dyaOrig="360">
          <v:shape id="_x0000_i1027" type="#_x0000_t75" style="width:14.4pt;height:17.3pt" o:ole="">
            <v:imagedata r:id="rId12" o:title=""/>
          </v:shape>
          <o:OLEObject Type="Embed" ProgID="Equation.DSMT4" ShapeID="_x0000_i1027" DrawAspect="Content" ObjectID="_1372512520" r:id="rId13"/>
        </w:object>
      </w:r>
      <w:r w:rsidRPr="00180B25">
        <w:rPr>
          <w:rFonts w:ascii="Times New Roman" w:hAnsi="Times New Roman"/>
        </w:rPr>
        <w:t xml:space="preserve"> representa o termo de erro, </w:t>
      </w:r>
      <w:proofErr w:type="spellStart"/>
      <w:r w:rsidRPr="00180B25">
        <w:rPr>
          <w:rFonts w:ascii="Times New Roman" w:hAnsi="Times New Roman"/>
          <w:i/>
        </w:rPr>
        <w:t>T</w:t>
      </w:r>
      <w:r w:rsidRPr="00180B25">
        <w:rPr>
          <w:rFonts w:ascii="Times New Roman" w:hAnsi="Times New Roman"/>
          <w:i/>
          <w:vertAlign w:val="subscript"/>
        </w:rPr>
        <w:t>t</w:t>
      </w:r>
      <w:proofErr w:type="spellEnd"/>
      <w:r w:rsidRPr="00180B25">
        <w:rPr>
          <w:rFonts w:ascii="Times New Roman" w:hAnsi="Times New Roman"/>
          <w:vertAlign w:val="subscript"/>
        </w:rPr>
        <w:t xml:space="preserve"> </w:t>
      </w:r>
      <w:r w:rsidRPr="00180B25">
        <w:rPr>
          <w:rFonts w:ascii="Times New Roman" w:hAnsi="Times New Roman"/>
        </w:rPr>
        <w:t xml:space="preserve">são as </w:t>
      </w:r>
      <w:proofErr w:type="spellStart"/>
      <w:r w:rsidRPr="00180B25">
        <w:rPr>
          <w:rFonts w:ascii="Times New Roman" w:hAnsi="Times New Roman"/>
          <w:i/>
        </w:rPr>
        <w:t>dummies</w:t>
      </w:r>
      <w:proofErr w:type="spellEnd"/>
      <w:r w:rsidRPr="00180B25">
        <w:rPr>
          <w:rFonts w:ascii="Times New Roman" w:hAnsi="Times New Roman"/>
          <w:i/>
        </w:rPr>
        <w:t xml:space="preserve"> </w:t>
      </w:r>
      <w:r w:rsidRPr="00180B25">
        <w:rPr>
          <w:rFonts w:ascii="Times New Roman" w:hAnsi="Times New Roman"/>
        </w:rPr>
        <w:t xml:space="preserve">de anos, </w:t>
      </w:r>
      <w:r>
        <w:rPr>
          <w:rFonts w:ascii="Times New Roman" w:hAnsi="Times New Roman"/>
        </w:rPr>
        <w:t xml:space="preserve">e </w:t>
      </w:r>
      <w:r w:rsidRPr="00180B25">
        <w:rPr>
          <w:rFonts w:ascii="Times New Roman" w:hAnsi="Times New Roman"/>
        </w:rPr>
        <w:t>β, λ, τ e γ são os parâmetros.</w:t>
      </w:r>
    </w:p>
    <w:p w:rsidR="0073033C" w:rsidRDefault="0073033C" w:rsidP="005D3BD3">
      <w:pPr>
        <w:autoSpaceDE w:val="0"/>
        <w:autoSpaceDN w:val="0"/>
        <w:adjustRightInd w:val="0"/>
        <w:spacing w:after="0" w:line="240" w:lineRule="auto"/>
        <w:ind w:firstLine="709"/>
        <w:jc w:val="both"/>
        <w:rPr>
          <w:rFonts w:ascii="Times New Roman" w:hAnsi="Times New Roman"/>
        </w:rPr>
      </w:pPr>
      <w:r w:rsidRPr="00BD5489">
        <w:rPr>
          <w:rFonts w:ascii="Times New Roman" w:hAnsi="Times New Roman"/>
        </w:rPr>
        <w:t xml:space="preserve">O Quadro </w:t>
      </w:r>
      <w:r>
        <w:rPr>
          <w:rFonts w:ascii="Times New Roman" w:hAnsi="Times New Roman"/>
        </w:rPr>
        <w:t>1</w:t>
      </w:r>
      <w:r w:rsidRPr="00BD5489">
        <w:rPr>
          <w:rFonts w:ascii="Times New Roman" w:hAnsi="Times New Roman"/>
        </w:rPr>
        <w:t xml:space="preserve"> apresenta as variáveis utilizadas na estimação dos determinantes da mobilidade.</w:t>
      </w:r>
      <w:r>
        <w:rPr>
          <w:rFonts w:ascii="Times New Roman" w:hAnsi="Times New Roman"/>
        </w:rPr>
        <w:t xml:space="preserve"> Todas as variáveis independentes são construídas a partir de informações da própria base de dados da </w:t>
      </w:r>
      <w:proofErr w:type="spellStart"/>
      <w:r>
        <w:rPr>
          <w:rFonts w:ascii="Times New Roman" w:hAnsi="Times New Roman"/>
        </w:rPr>
        <w:t>RAIS-Migra</w:t>
      </w:r>
      <w:proofErr w:type="spellEnd"/>
      <w:r>
        <w:rPr>
          <w:rFonts w:ascii="Times New Roman" w:hAnsi="Times New Roman"/>
        </w:rPr>
        <w:t xml:space="preserve">, como expectativa salarial da mobilidade, experiência (medida como meses trabalhados no mesmo emprego), </w:t>
      </w:r>
      <w:r>
        <w:rPr>
          <w:rFonts w:ascii="Times New Roman" w:hAnsi="Times New Roman"/>
        </w:rPr>
        <w:lastRenderedPageBreak/>
        <w:t xml:space="preserve">tempo de permanência no mesmo emprego após a mobilidade (medida em anos de trabalho no mesmo vínculo), gênero e grau de escolaridade do trabalhador, intensidade tecnológica do setor que o indivíduo trabalha, tamanho de firma de destino e outras variáveis de controle, como </w:t>
      </w:r>
      <w:proofErr w:type="spellStart"/>
      <w:r w:rsidRPr="0073033C">
        <w:rPr>
          <w:rFonts w:ascii="Times New Roman" w:hAnsi="Times New Roman"/>
          <w:i/>
        </w:rPr>
        <w:t>dummies</w:t>
      </w:r>
      <w:proofErr w:type="spellEnd"/>
      <w:r>
        <w:rPr>
          <w:rFonts w:ascii="Times New Roman" w:hAnsi="Times New Roman"/>
        </w:rPr>
        <w:t xml:space="preserve"> de unidades de federação. </w:t>
      </w:r>
    </w:p>
    <w:p w:rsidR="0073033C" w:rsidRPr="0073033C" w:rsidRDefault="0073033C" w:rsidP="005D3BD3">
      <w:pPr>
        <w:autoSpaceDE w:val="0"/>
        <w:autoSpaceDN w:val="0"/>
        <w:adjustRightInd w:val="0"/>
        <w:spacing w:after="0" w:line="240" w:lineRule="auto"/>
        <w:ind w:firstLine="709"/>
        <w:jc w:val="both"/>
        <w:rPr>
          <w:rFonts w:ascii="Times New Roman" w:hAnsi="Times New Roman"/>
        </w:rPr>
      </w:pPr>
      <w:r w:rsidRPr="0073033C">
        <w:rPr>
          <w:rFonts w:ascii="Times New Roman" w:hAnsi="Times New Roman"/>
        </w:rPr>
        <w:t xml:space="preserve">A expectativa salarial da mobilidade é construída a partir da diferença entre a média de salário do setor para o qual o trabalhador se destinou e o salário do indivíduo observado antes da mudança. A construção desta variável se justifica pelo fato de o trabalhador não possuir, </w:t>
      </w:r>
      <w:proofErr w:type="spellStart"/>
      <w:r w:rsidRPr="0073033C">
        <w:rPr>
          <w:rFonts w:ascii="Times New Roman" w:hAnsi="Times New Roman"/>
          <w:i/>
        </w:rPr>
        <w:t>ex-ante</w:t>
      </w:r>
      <w:proofErr w:type="spellEnd"/>
      <w:r w:rsidRPr="0073033C">
        <w:rPr>
          <w:rFonts w:ascii="Times New Roman" w:hAnsi="Times New Roman"/>
        </w:rPr>
        <w:t xml:space="preserve">, informações concretas sobre o salário no destino, quando ele se depara com uma possibilidade de mudança de emprego. Em outras palavras, o salário no destino não é observável </w:t>
      </w:r>
      <w:proofErr w:type="spellStart"/>
      <w:r w:rsidRPr="0073033C">
        <w:rPr>
          <w:rFonts w:ascii="Times New Roman" w:hAnsi="Times New Roman"/>
          <w:i/>
        </w:rPr>
        <w:t>ex-ante</w:t>
      </w:r>
      <w:proofErr w:type="spellEnd"/>
      <w:r w:rsidRPr="0073033C">
        <w:rPr>
          <w:rFonts w:ascii="Times New Roman" w:hAnsi="Times New Roman"/>
        </w:rPr>
        <w:t xml:space="preserve">, assumindo-se que os trabalhadores façam, na melhor das hipóteses, uma comparação entre seu salário percebido no momento da mudança de vínculo e as possíveis remunerações que poderão </w:t>
      </w:r>
      <w:r>
        <w:rPr>
          <w:rFonts w:ascii="Times New Roman" w:hAnsi="Times New Roman"/>
        </w:rPr>
        <w:t>auferir</w:t>
      </w:r>
      <w:r w:rsidRPr="0073033C">
        <w:rPr>
          <w:rFonts w:ascii="Times New Roman" w:hAnsi="Times New Roman"/>
        </w:rPr>
        <w:t xml:space="preserve"> com a mudança, as quais são representadas pela média salarial do setor a que se destinam. Para todos os indivíduos que não apresentaram mobilidade ao longo dos 8 anos da base de dados, o valor zero foi atribuído a essa variável.</w:t>
      </w:r>
    </w:p>
    <w:p w:rsidR="0073033C" w:rsidRPr="0073033C" w:rsidRDefault="0073033C" w:rsidP="005D3BD3">
      <w:pPr>
        <w:pStyle w:val="PargrafodaLista1"/>
        <w:ind w:left="0" w:firstLine="720"/>
        <w:jc w:val="both"/>
        <w:rPr>
          <w:lang w:val="pt-BR"/>
        </w:rPr>
      </w:pPr>
      <w:r w:rsidRPr="0073033C">
        <w:rPr>
          <w:lang w:val="pt-BR"/>
        </w:rPr>
        <w:t>A importância da inclusão da variável de expectativa salarial se deve ao fato de que decisões de mobilidade de emprego (espacial ou não) estão vinculadas a comparações de valores presentes de ganhos de renda com os custos de mobilidade, em que o trabalhador opta pela opção de maior ganho líquido (</w:t>
      </w:r>
      <w:proofErr w:type="spellStart"/>
      <w:r w:rsidRPr="0073033C">
        <w:rPr>
          <w:lang w:val="pt-BR"/>
        </w:rPr>
        <w:t>Sjaastad</w:t>
      </w:r>
      <w:proofErr w:type="spellEnd"/>
      <w:r w:rsidRPr="0073033C">
        <w:rPr>
          <w:lang w:val="pt-BR"/>
        </w:rPr>
        <w:t xml:space="preserve">, 1962). </w:t>
      </w:r>
    </w:p>
    <w:p w:rsidR="0073033C" w:rsidRPr="000D2359" w:rsidRDefault="0073033C" w:rsidP="005D3BD3">
      <w:pPr>
        <w:pStyle w:val="PargrafodaLista1"/>
        <w:ind w:left="0" w:firstLine="720"/>
        <w:jc w:val="both"/>
        <w:rPr>
          <w:lang w:val="pt-BR"/>
        </w:rPr>
      </w:pPr>
      <w:r w:rsidRPr="0073033C">
        <w:rPr>
          <w:lang w:val="pt-BR"/>
        </w:rPr>
        <w:t>Os custos da mobilidade, em geral, não são observáveis, mas podem ser bem aproximados por considerar aspectos não pecuniários das condições de trabalho que são comuns a todos os empregados da firma de origem. Nesse sentido, assume-se que uma mudança de emprego seria mais custosa para empregados de uma firma com ótimas condições de higiene, segurança e convívio harmonioso entre os colegas de trabalho, em relação a outra firma em que esses aspectos sejam ruins.</w:t>
      </w:r>
      <w:r w:rsidRPr="0073033C">
        <w:rPr>
          <w:rStyle w:val="Refdenotaderodap"/>
          <w:lang w:val="pt-BR"/>
        </w:rPr>
        <w:footnoteReference w:id="5"/>
      </w:r>
      <w:r w:rsidRPr="0073033C">
        <w:rPr>
          <w:lang w:val="pt-BR"/>
        </w:rPr>
        <w:t xml:space="preserve"> Dessa forma, métodos </w:t>
      </w:r>
      <w:proofErr w:type="spellStart"/>
      <w:r w:rsidRPr="0073033C">
        <w:rPr>
          <w:lang w:val="pt-BR"/>
        </w:rPr>
        <w:t>econométricos</w:t>
      </w:r>
      <w:proofErr w:type="spellEnd"/>
      <w:r w:rsidRPr="0073033C">
        <w:rPr>
          <w:lang w:val="pt-BR"/>
        </w:rPr>
        <w:t xml:space="preserve"> de efeitos fixos seriam apropriados para o problema em questão, em virtude da consideração de características não observáveis que sejam constantes no tempo.</w:t>
      </w:r>
    </w:p>
    <w:p w:rsidR="0073033C" w:rsidRDefault="0073033C" w:rsidP="005D3BD3">
      <w:pPr>
        <w:pStyle w:val="CorpoDissertao"/>
        <w:spacing w:after="0" w:line="240" w:lineRule="auto"/>
        <w:ind w:firstLine="709"/>
        <w:rPr>
          <w:rFonts w:ascii="Times New Roman" w:hAnsi="Times New Roman"/>
        </w:rPr>
      </w:pPr>
      <w:r w:rsidRPr="00784327">
        <w:rPr>
          <w:rFonts w:ascii="Times New Roman" w:hAnsi="Times New Roman"/>
        </w:rPr>
        <w:t>A variável de experiência (ou senioridade) do trabalhador</w:t>
      </w:r>
      <w:r>
        <w:rPr>
          <w:rFonts w:ascii="Times New Roman" w:hAnsi="Times New Roman"/>
        </w:rPr>
        <w:t xml:space="preserve"> é medida em meses </w:t>
      </w:r>
      <w:r w:rsidR="00EA688D">
        <w:rPr>
          <w:rFonts w:ascii="Times New Roman" w:hAnsi="Times New Roman"/>
        </w:rPr>
        <w:t>de trabalho no vínculo anterior à mobilidade. A relação positiva entre essa variável e a propensão à mobilidade indica que trabalhadores com maior conteúdo de conhecimento tácito ou mais experientes se transferem para outras firmas, em relação àqueles com menor nível de experiência</w:t>
      </w:r>
      <w:r w:rsidR="00D17996">
        <w:rPr>
          <w:rFonts w:ascii="Times New Roman" w:hAnsi="Times New Roman"/>
        </w:rPr>
        <w:t xml:space="preserve">. Essa hipótese seria teoricamente esperada, de acordo com os argumentos de Schwartz (1976), que postula relação positiva entre mobilidade e </w:t>
      </w:r>
      <w:r w:rsidR="007255D0">
        <w:rPr>
          <w:rFonts w:ascii="Times New Roman" w:hAnsi="Times New Roman"/>
        </w:rPr>
        <w:t>nível educacional e experiência</w:t>
      </w:r>
      <w:r w:rsidR="00EA688D">
        <w:rPr>
          <w:rFonts w:ascii="Times New Roman" w:hAnsi="Times New Roman"/>
        </w:rPr>
        <w:t xml:space="preserve">. </w:t>
      </w:r>
      <w:r w:rsidR="00D17996">
        <w:rPr>
          <w:rFonts w:ascii="Times New Roman" w:hAnsi="Times New Roman"/>
        </w:rPr>
        <w:t xml:space="preserve">Além disso, </w:t>
      </w:r>
      <w:r w:rsidR="00EA688D">
        <w:rPr>
          <w:rFonts w:ascii="Times New Roman" w:hAnsi="Times New Roman"/>
        </w:rPr>
        <w:t>tal relacionamento aponta para a possibilidade de difusão de conhecimento entre firmas, sendo o trabalhador instrumento da ocorrência de transbordamento de conhecimento, segundo Feldman (1999).</w:t>
      </w:r>
    </w:p>
    <w:p w:rsidR="001C78B8" w:rsidRPr="00243060" w:rsidRDefault="0073033C" w:rsidP="005D3BD3">
      <w:pPr>
        <w:pStyle w:val="CorpoDissertao"/>
        <w:spacing w:after="0" w:line="240" w:lineRule="auto"/>
        <w:ind w:firstLine="709"/>
        <w:rPr>
          <w:rFonts w:ascii="Times New Roman" w:hAnsi="Times New Roman"/>
          <w:color w:val="000000" w:themeColor="text1"/>
        </w:rPr>
      </w:pPr>
      <w:r w:rsidRPr="00243060">
        <w:rPr>
          <w:rFonts w:ascii="Times New Roman" w:hAnsi="Times New Roman"/>
        </w:rPr>
        <w:t xml:space="preserve">Nesta análise, </w:t>
      </w:r>
      <w:r w:rsidR="008457B7">
        <w:rPr>
          <w:rFonts w:ascii="Times New Roman" w:hAnsi="Times New Roman"/>
        </w:rPr>
        <w:t xml:space="preserve">com base em </w:t>
      </w:r>
      <w:proofErr w:type="spellStart"/>
      <w:r w:rsidR="008457B7">
        <w:rPr>
          <w:rFonts w:ascii="Times New Roman" w:hAnsi="Times New Roman"/>
        </w:rPr>
        <w:t>Freguglia</w:t>
      </w:r>
      <w:proofErr w:type="spellEnd"/>
      <w:r w:rsidR="008457B7">
        <w:rPr>
          <w:rFonts w:ascii="Times New Roman" w:hAnsi="Times New Roman"/>
        </w:rPr>
        <w:t xml:space="preserve"> (2007), </w:t>
      </w:r>
      <w:r w:rsidR="00EA688D" w:rsidRPr="00243060">
        <w:rPr>
          <w:rFonts w:ascii="Times New Roman" w:hAnsi="Times New Roman"/>
        </w:rPr>
        <w:t xml:space="preserve">também </w:t>
      </w:r>
      <w:r w:rsidRPr="00243060">
        <w:rPr>
          <w:rFonts w:ascii="Times New Roman" w:hAnsi="Times New Roman"/>
        </w:rPr>
        <w:t>optou-se por criar outra variável que</w:t>
      </w:r>
      <w:r w:rsidR="00EA688D" w:rsidRPr="00243060">
        <w:rPr>
          <w:rFonts w:ascii="Times New Roman" w:hAnsi="Times New Roman"/>
        </w:rPr>
        <w:t>, embora se</w:t>
      </w:r>
      <w:r w:rsidRPr="00243060">
        <w:rPr>
          <w:rFonts w:ascii="Times New Roman" w:hAnsi="Times New Roman"/>
        </w:rPr>
        <w:t xml:space="preserve"> assemelh</w:t>
      </w:r>
      <w:r w:rsidR="00EA688D" w:rsidRPr="00243060">
        <w:rPr>
          <w:rFonts w:ascii="Times New Roman" w:hAnsi="Times New Roman"/>
        </w:rPr>
        <w:t>e</w:t>
      </w:r>
      <w:r w:rsidRPr="00243060">
        <w:rPr>
          <w:rFonts w:ascii="Times New Roman" w:hAnsi="Times New Roman"/>
        </w:rPr>
        <w:t xml:space="preserve"> </w:t>
      </w:r>
      <w:r w:rsidR="00EA688D" w:rsidRPr="00243060">
        <w:rPr>
          <w:rFonts w:ascii="Times New Roman" w:hAnsi="Times New Roman"/>
        </w:rPr>
        <w:t xml:space="preserve">aparentemente </w:t>
      </w:r>
      <w:r w:rsidRPr="00243060">
        <w:rPr>
          <w:rFonts w:ascii="Times New Roman" w:hAnsi="Times New Roman"/>
        </w:rPr>
        <w:t>com a experiência</w:t>
      </w:r>
      <w:r w:rsidR="00EA688D" w:rsidRPr="00243060">
        <w:rPr>
          <w:rFonts w:ascii="Times New Roman" w:hAnsi="Times New Roman"/>
        </w:rPr>
        <w:t xml:space="preserve"> (senioridade)</w:t>
      </w:r>
      <w:r w:rsidRPr="00243060">
        <w:rPr>
          <w:rFonts w:ascii="Times New Roman" w:hAnsi="Times New Roman"/>
        </w:rPr>
        <w:t>, est</w:t>
      </w:r>
      <w:r w:rsidR="00EA688D" w:rsidRPr="00243060">
        <w:rPr>
          <w:rFonts w:ascii="Times New Roman" w:hAnsi="Times New Roman"/>
        </w:rPr>
        <w:t xml:space="preserve">á de fato </w:t>
      </w:r>
      <w:r w:rsidRPr="00243060">
        <w:rPr>
          <w:rFonts w:ascii="Times New Roman" w:hAnsi="Times New Roman"/>
        </w:rPr>
        <w:t>relacionada a uma predisposição do indivíduo à mobilidade. A variável de permanência no emprego representa, em anos, o tempo que os trabalhadores permanecem no mesmo emprego</w:t>
      </w:r>
      <w:r w:rsidR="00710B49" w:rsidRPr="00243060">
        <w:rPr>
          <w:rFonts w:ascii="Times New Roman" w:hAnsi="Times New Roman"/>
        </w:rPr>
        <w:t>,</w:t>
      </w:r>
      <w:r w:rsidR="001F3639" w:rsidRPr="00243060">
        <w:rPr>
          <w:rFonts w:ascii="Times New Roman" w:hAnsi="Times New Roman"/>
        </w:rPr>
        <w:t xml:space="preserve"> após a mobilidade,</w:t>
      </w:r>
      <w:r w:rsidRPr="00243060">
        <w:rPr>
          <w:rFonts w:ascii="Times New Roman" w:hAnsi="Times New Roman"/>
        </w:rPr>
        <w:t xml:space="preserve"> varia</w:t>
      </w:r>
      <w:r w:rsidR="00710B49" w:rsidRPr="00243060">
        <w:rPr>
          <w:rFonts w:ascii="Times New Roman" w:hAnsi="Times New Roman"/>
        </w:rPr>
        <w:t>ndo</w:t>
      </w:r>
      <w:r w:rsidRPr="00243060">
        <w:rPr>
          <w:rFonts w:ascii="Times New Roman" w:hAnsi="Times New Roman"/>
        </w:rPr>
        <w:t xml:space="preserve"> de 0 a 7. </w:t>
      </w:r>
      <w:r w:rsidR="00710B49" w:rsidRPr="00243060">
        <w:rPr>
          <w:rFonts w:ascii="Times New Roman" w:hAnsi="Times New Roman"/>
        </w:rPr>
        <w:t>P</w:t>
      </w:r>
      <w:r w:rsidRPr="00243060">
        <w:rPr>
          <w:rFonts w:ascii="Times New Roman" w:hAnsi="Times New Roman"/>
        </w:rPr>
        <w:t>ara indivíduos que não se move</w:t>
      </w:r>
      <w:r w:rsidR="00087742" w:rsidRPr="00243060">
        <w:rPr>
          <w:rFonts w:ascii="Times New Roman" w:hAnsi="Times New Roman"/>
        </w:rPr>
        <w:t>ra</w:t>
      </w:r>
      <w:r w:rsidRPr="00243060">
        <w:rPr>
          <w:rFonts w:ascii="Times New Roman" w:hAnsi="Times New Roman"/>
        </w:rPr>
        <w:t>m, a variável recebe o valor 0</w:t>
      </w:r>
      <w:r w:rsidR="00087742" w:rsidRPr="00243060">
        <w:rPr>
          <w:rFonts w:ascii="Times New Roman" w:hAnsi="Times New Roman"/>
        </w:rPr>
        <w:t>. P</w:t>
      </w:r>
      <w:r w:rsidRPr="00243060">
        <w:rPr>
          <w:rFonts w:ascii="Times New Roman" w:hAnsi="Times New Roman"/>
        </w:rPr>
        <w:t xml:space="preserve">ara indivíduos que se moveram no </w:t>
      </w:r>
      <w:r w:rsidR="00087742" w:rsidRPr="00243060">
        <w:rPr>
          <w:rFonts w:ascii="Times New Roman" w:hAnsi="Times New Roman"/>
        </w:rPr>
        <w:t>primeiro</w:t>
      </w:r>
      <w:r w:rsidRPr="00243060">
        <w:rPr>
          <w:rFonts w:ascii="Times New Roman" w:hAnsi="Times New Roman"/>
        </w:rPr>
        <w:t xml:space="preserve"> ano da base e não se moveram mais, es</w:t>
      </w:r>
      <w:r w:rsidR="00087742" w:rsidRPr="00243060">
        <w:rPr>
          <w:rFonts w:ascii="Times New Roman" w:hAnsi="Times New Roman"/>
        </w:rPr>
        <w:t>s</w:t>
      </w:r>
      <w:r w:rsidRPr="00243060">
        <w:rPr>
          <w:rFonts w:ascii="Times New Roman" w:hAnsi="Times New Roman"/>
        </w:rPr>
        <w:t>a variável recebe o valor 7</w:t>
      </w:r>
      <w:r w:rsidR="00087742" w:rsidRPr="00243060">
        <w:rPr>
          <w:rFonts w:ascii="Times New Roman" w:hAnsi="Times New Roman"/>
        </w:rPr>
        <w:t xml:space="preserve">. Assim, quanto maior o valor recebido pela variável, maior é o tempo de </w:t>
      </w:r>
      <w:r w:rsidR="008457B7">
        <w:rPr>
          <w:rFonts w:ascii="Times New Roman" w:hAnsi="Times New Roman"/>
        </w:rPr>
        <w:t>sobrevivência</w:t>
      </w:r>
      <w:r w:rsidR="00087742" w:rsidRPr="00243060">
        <w:rPr>
          <w:rFonts w:ascii="Times New Roman" w:hAnsi="Times New Roman"/>
        </w:rPr>
        <w:t xml:space="preserve"> no novo emprego</w:t>
      </w:r>
      <w:r w:rsidRPr="00243060">
        <w:rPr>
          <w:rFonts w:ascii="Times New Roman" w:hAnsi="Times New Roman"/>
        </w:rPr>
        <w:t xml:space="preserve">. </w:t>
      </w:r>
      <w:r w:rsidR="001C78B8" w:rsidRPr="00243060">
        <w:rPr>
          <w:rFonts w:ascii="Times New Roman" w:hAnsi="Times New Roman"/>
          <w:color w:val="000000" w:themeColor="text1"/>
        </w:rPr>
        <w:t xml:space="preserve">Tendo em vista que todo trabalhador está sujeito a se mover entre empregos e que alguns possuem uma maior predisposição à mobilidade, esta variável tenta captar efeitos desta maior predisposição. Como o recorte temporal da pesquisa (oito anos) pode conter distorções por selecionar indivíduos “estáveis” que se moveram neste período ou indivíduos mais aptos à mobilidade, que se mantiveram “estáveis” neste período, entende-se que esta variável de permanência no emprego complementa o uso da variável experiência. </w:t>
      </w:r>
    </w:p>
    <w:p w:rsidR="0073033C" w:rsidRDefault="0073033C" w:rsidP="005D3BD3">
      <w:pPr>
        <w:pStyle w:val="CorpoDissertao"/>
        <w:spacing w:after="0" w:line="240" w:lineRule="auto"/>
        <w:ind w:firstLine="709"/>
        <w:rPr>
          <w:rFonts w:ascii="Times New Roman" w:hAnsi="Times New Roman"/>
        </w:rPr>
      </w:pPr>
      <w:r w:rsidRPr="001C78B8">
        <w:rPr>
          <w:rFonts w:ascii="Times New Roman" w:hAnsi="Times New Roman"/>
        </w:rPr>
        <w:lastRenderedPageBreak/>
        <w:t>No caso da intensidade tecnológica setorial, seguiu-se a classificação</w:t>
      </w:r>
      <w:r>
        <w:rPr>
          <w:rFonts w:ascii="Times New Roman" w:hAnsi="Times New Roman"/>
        </w:rPr>
        <w:t xml:space="preserve"> elaborada por Furtado e Quadros (2005). Os</w:t>
      </w:r>
      <w:r w:rsidRPr="00BD5489">
        <w:rPr>
          <w:rFonts w:ascii="Times New Roman" w:hAnsi="Times New Roman"/>
        </w:rPr>
        <w:t xml:space="preserve"> autores constr</w:t>
      </w:r>
      <w:r>
        <w:rPr>
          <w:rFonts w:ascii="Times New Roman" w:hAnsi="Times New Roman"/>
        </w:rPr>
        <w:t>uíram</w:t>
      </w:r>
      <w:r w:rsidRPr="00BD5489">
        <w:rPr>
          <w:rFonts w:ascii="Times New Roman" w:hAnsi="Times New Roman"/>
        </w:rPr>
        <w:t xml:space="preserve"> indicadores de intensidade tecnológica para a economia brasileira, respeitando as particularidades do processo de mudança técnica de países em desenvolvimento. A construção de tais indicadores é feita com base no investimento médio em </w:t>
      </w:r>
      <w:proofErr w:type="spellStart"/>
      <w:r w:rsidRPr="00BD5489">
        <w:rPr>
          <w:rFonts w:ascii="Times New Roman" w:hAnsi="Times New Roman"/>
        </w:rPr>
        <w:t>P&amp;D</w:t>
      </w:r>
      <w:proofErr w:type="spellEnd"/>
      <w:r>
        <w:rPr>
          <w:rFonts w:ascii="Times New Roman" w:hAnsi="Times New Roman"/>
        </w:rPr>
        <w:t>, seguindo critérios internacionais da literatura,</w:t>
      </w:r>
      <w:r w:rsidRPr="00BD5489">
        <w:rPr>
          <w:rFonts w:ascii="Times New Roman" w:hAnsi="Times New Roman"/>
        </w:rPr>
        <w:t xml:space="preserve"> em cada uma das divisões da CNAE, a dois dígitos (Quadro </w:t>
      </w:r>
      <w:r>
        <w:rPr>
          <w:rFonts w:ascii="Times New Roman" w:hAnsi="Times New Roman"/>
        </w:rPr>
        <w:t>2</w:t>
      </w:r>
      <w:r w:rsidRPr="00BD5489">
        <w:rPr>
          <w:rFonts w:ascii="Times New Roman" w:hAnsi="Times New Roman"/>
        </w:rPr>
        <w:t>).</w:t>
      </w:r>
    </w:p>
    <w:p w:rsidR="0073033C" w:rsidRPr="005D3BD3" w:rsidRDefault="0073033C" w:rsidP="005D3BD3">
      <w:pPr>
        <w:autoSpaceDE w:val="0"/>
        <w:autoSpaceDN w:val="0"/>
        <w:adjustRightInd w:val="0"/>
        <w:spacing w:after="0" w:line="240" w:lineRule="auto"/>
        <w:ind w:firstLine="709"/>
        <w:jc w:val="both"/>
        <w:rPr>
          <w:rFonts w:ascii="Times New Roman" w:hAnsi="Times New Roman"/>
        </w:rPr>
      </w:pPr>
      <w:r>
        <w:rPr>
          <w:rFonts w:ascii="Times New Roman" w:hAnsi="Times New Roman"/>
        </w:rPr>
        <w:t>Os valores médios das variáveis descritas no Quadro 1 informam que o tempo médio de permanência do trabalhador no mesmo vínculo empregatício é de 98 meses, com valor mínimo de 1 e máximo de 754 meses. Os valores médios das variáveis categóricas informam a participação percentual de cada categoria em relação ao total. Nes</w:t>
      </w:r>
      <w:r w:rsidR="00D17996">
        <w:rPr>
          <w:rFonts w:ascii="Times New Roman" w:hAnsi="Times New Roman"/>
        </w:rPr>
        <w:t>s</w:t>
      </w:r>
      <w:r>
        <w:rPr>
          <w:rFonts w:ascii="Times New Roman" w:hAnsi="Times New Roman"/>
        </w:rPr>
        <w:t xml:space="preserve">e sentido, a </w:t>
      </w:r>
      <w:proofErr w:type="spellStart"/>
      <w:r w:rsidRPr="00515331">
        <w:rPr>
          <w:rFonts w:ascii="Times New Roman" w:hAnsi="Times New Roman"/>
          <w:i/>
        </w:rPr>
        <w:t>dummy</w:t>
      </w:r>
      <w:proofErr w:type="spellEnd"/>
      <w:r>
        <w:rPr>
          <w:rFonts w:ascii="Times New Roman" w:hAnsi="Times New Roman"/>
        </w:rPr>
        <w:t xml:space="preserve"> de trabalhadores com idade variando de 26 a 35 anos corresponde a 39% do total de indivíduos do banco, os trabalhadores </w:t>
      </w:r>
      <w:r w:rsidRPr="005D3BD3">
        <w:rPr>
          <w:rFonts w:ascii="Times New Roman" w:hAnsi="Times New Roman"/>
        </w:rPr>
        <w:t>com ensino fundamental incompleto (oitava série incompleta) são os mais freqüentes (20%), a maioria está vinculada a grandes empresas (35%) e a maior parte pertencia a firmas de baixa intensidade tecnológica (65%).</w:t>
      </w:r>
    </w:p>
    <w:p w:rsidR="0073033C" w:rsidRPr="005D3BD3" w:rsidRDefault="0073033C" w:rsidP="005D3BD3">
      <w:pPr>
        <w:pStyle w:val="Quadro"/>
        <w:spacing w:before="0"/>
        <w:rPr>
          <w:sz w:val="24"/>
          <w:szCs w:val="24"/>
        </w:rPr>
      </w:pPr>
    </w:p>
    <w:p w:rsidR="00515331" w:rsidRPr="00515331" w:rsidRDefault="00515331" w:rsidP="00515331">
      <w:pPr>
        <w:pStyle w:val="Quadro"/>
        <w:spacing w:before="0" w:line="360" w:lineRule="auto"/>
        <w:rPr>
          <w:b w:val="0"/>
          <w:sz w:val="24"/>
          <w:szCs w:val="24"/>
        </w:rPr>
      </w:pPr>
      <w:r w:rsidRPr="00515331">
        <w:rPr>
          <w:b w:val="0"/>
          <w:sz w:val="24"/>
          <w:szCs w:val="24"/>
        </w:rPr>
        <w:t>Quadro 1: Descrição das variáveis utilizadas</w:t>
      </w:r>
    </w:p>
    <w:tbl>
      <w:tblPr>
        <w:tblW w:w="8500" w:type="dxa"/>
        <w:jc w:val="center"/>
        <w:tblInd w:w="58" w:type="dxa"/>
        <w:tblCellMar>
          <w:left w:w="70" w:type="dxa"/>
          <w:right w:w="70" w:type="dxa"/>
        </w:tblCellMar>
        <w:tblLook w:val="04A0"/>
      </w:tblPr>
      <w:tblGrid>
        <w:gridCol w:w="1620"/>
        <w:gridCol w:w="2060"/>
        <w:gridCol w:w="1520"/>
        <w:gridCol w:w="1140"/>
        <w:gridCol w:w="1080"/>
        <w:gridCol w:w="1080"/>
      </w:tblGrid>
      <w:tr w:rsidR="00515331" w:rsidRPr="00616576" w:rsidTr="00C40284">
        <w:trPr>
          <w:trHeight w:val="420"/>
          <w:jc w:val="center"/>
        </w:trPr>
        <w:tc>
          <w:tcPr>
            <w:tcW w:w="1620" w:type="dxa"/>
            <w:tcBorders>
              <w:top w:val="single" w:sz="4" w:space="0" w:color="auto"/>
              <w:left w:val="single" w:sz="4" w:space="0" w:color="auto"/>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Abreviação</w:t>
            </w:r>
          </w:p>
        </w:tc>
        <w:tc>
          <w:tcPr>
            <w:tcW w:w="2060" w:type="dxa"/>
            <w:tcBorders>
              <w:top w:val="single" w:sz="4" w:space="0" w:color="auto"/>
              <w:left w:val="nil"/>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Descrição</w:t>
            </w:r>
          </w:p>
        </w:tc>
        <w:tc>
          <w:tcPr>
            <w:tcW w:w="1520" w:type="dxa"/>
            <w:tcBorders>
              <w:top w:val="single" w:sz="4" w:space="0" w:color="auto"/>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Unidade de medida</w:t>
            </w:r>
          </w:p>
        </w:tc>
        <w:tc>
          <w:tcPr>
            <w:tcW w:w="1140" w:type="dxa"/>
            <w:tcBorders>
              <w:top w:val="single" w:sz="4" w:space="0" w:color="auto"/>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Média</w:t>
            </w:r>
          </w:p>
        </w:tc>
        <w:tc>
          <w:tcPr>
            <w:tcW w:w="1080" w:type="dxa"/>
            <w:tcBorders>
              <w:top w:val="single" w:sz="4" w:space="0" w:color="auto"/>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Mínimo</w:t>
            </w:r>
          </w:p>
        </w:tc>
        <w:tc>
          <w:tcPr>
            <w:tcW w:w="1080" w:type="dxa"/>
            <w:tcBorders>
              <w:top w:val="single" w:sz="4" w:space="0" w:color="auto"/>
              <w:left w:val="nil"/>
              <w:bottom w:val="nil"/>
              <w:right w:val="single" w:sz="4" w:space="0" w:color="auto"/>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Máximo</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Variável dependente</w:t>
            </w:r>
          </w:p>
        </w:tc>
      </w:tr>
      <w:tr w:rsidR="00515331" w:rsidRPr="00616576" w:rsidTr="00C40284">
        <w:trPr>
          <w:trHeight w:val="255"/>
          <w:jc w:val="center"/>
        </w:trPr>
        <w:tc>
          <w:tcPr>
            <w:tcW w:w="1620" w:type="dxa"/>
            <w:vMerge w:val="restart"/>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i/>
                <w:iCs/>
                <w:sz w:val="16"/>
                <w:szCs w:val="16"/>
              </w:rPr>
            </w:pPr>
            <w:proofErr w:type="spellStart"/>
            <w:r w:rsidRPr="00616576">
              <w:rPr>
                <w:rFonts w:ascii="Times New Roman" w:hAnsi="Times New Roman"/>
                <w:i/>
                <w:iCs/>
                <w:sz w:val="16"/>
                <w:szCs w:val="16"/>
              </w:rPr>
              <w:t>Job-change</w:t>
            </w:r>
            <w:proofErr w:type="spellEnd"/>
          </w:p>
        </w:tc>
        <w:tc>
          <w:tcPr>
            <w:tcW w:w="2060" w:type="dxa"/>
            <w:vMerge w:val="restart"/>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Mudança de vínculo de emprego</w:t>
            </w:r>
          </w:p>
        </w:tc>
        <w:tc>
          <w:tcPr>
            <w:tcW w:w="1520" w:type="dxa"/>
            <w:vMerge w:val="restart"/>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Proporção</w:t>
            </w:r>
          </w:p>
        </w:tc>
        <w:tc>
          <w:tcPr>
            <w:tcW w:w="2160" w:type="dxa"/>
            <w:gridSpan w:val="2"/>
            <w:tcBorders>
              <w:top w:val="single" w:sz="4" w:space="0" w:color="auto"/>
              <w:left w:val="nil"/>
              <w:bottom w:val="nil"/>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Valor observado</w:t>
            </w:r>
          </w:p>
        </w:tc>
      </w:tr>
      <w:tr w:rsidR="00515331" w:rsidRPr="00616576" w:rsidTr="00C40284">
        <w:trPr>
          <w:trHeight w:val="255"/>
          <w:jc w:val="center"/>
        </w:trPr>
        <w:tc>
          <w:tcPr>
            <w:tcW w:w="1620" w:type="dxa"/>
            <w:vMerge/>
            <w:tcBorders>
              <w:top w:val="nil"/>
              <w:left w:val="single" w:sz="4" w:space="0" w:color="auto"/>
              <w:bottom w:val="nil"/>
              <w:right w:val="nil"/>
            </w:tcBorders>
            <w:vAlign w:val="center"/>
            <w:hideMark/>
          </w:tcPr>
          <w:p w:rsidR="00515331" w:rsidRPr="00616576" w:rsidRDefault="00515331" w:rsidP="00C40284">
            <w:pPr>
              <w:spacing w:after="0" w:line="240" w:lineRule="auto"/>
              <w:rPr>
                <w:rFonts w:ascii="Times New Roman" w:hAnsi="Times New Roman"/>
                <w:i/>
                <w:iCs/>
                <w:sz w:val="16"/>
                <w:szCs w:val="16"/>
              </w:rPr>
            </w:pPr>
          </w:p>
        </w:tc>
        <w:tc>
          <w:tcPr>
            <w:tcW w:w="2060" w:type="dxa"/>
            <w:vMerge/>
            <w:tcBorders>
              <w:top w:val="nil"/>
              <w:left w:val="nil"/>
              <w:bottom w:val="nil"/>
              <w:right w:val="nil"/>
            </w:tcBorders>
            <w:vAlign w:val="center"/>
            <w:hideMark/>
          </w:tcPr>
          <w:p w:rsidR="00515331" w:rsidRPr="00616576" w:rsidRDefault="00515331" w:rsidP="00C40284">
            <w:pPr>
              <w:spacing w:after="0" w:line="240" w:lineRule="auto"/>
              <w:rPr>
                <w:rFonts w:ascii="Times New Roman" w:hAnsi="Times New Roman"/>
                <w:sz w:val="16"/>
                <w:szCs w:val="16"/>
              </w:rPr>
            </w:pPr>
          </w:p>
        </w:tc>
        <w:tc>
          <w:tcPr>
            <w:tcW w:w="1520" w:type="dxa"/>
            <w:vMerge/>
            <w:tcBorders>
              <w:top w:val="nil"/>
              <w:left w:val="nil"/>
              <w:bottom w:val="nil"/>
              <w:right w:val="nil"/>
            </w:tcBorders>
            <w:vAlign w:val="center"/>
            <w:hideMark/>
          </w:tcPr>
          <w:p w:rsidR="00515331" w:rsidRPr="00616576" w:rsidRDefault="00515331" w:rsidP="00C40284">
            <w:pPr>
              <w:spacing w:after="0" w:line="240" w:lineRule="auto"/>
              <w:rPr>
                <w:rFonts w:ascii="Times New Roman" w:hAnsi="Times New Roman"/>
                <w:sz w:val="16"/>
                <w:szCs w:val="16"/>
              </w:rPr>
            </w:pPr>
          </w:p>
        </w:tc>
        <w:tc>
          <w:tcPr>
            <w:tcW w:w="1140" w:type="dxa"/>
            <w:tcBorders>
              <w:top w:val="nil"/>
              <w:left w:val="nil"/>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93,99%</w:t>
            </w:r>
          </w:p>
        </w:tc>
        <w:tc>
          <w:tcPr>
            <w:tcW w:w="2160" w:type="dxa"/>
            <w:gridSpan w:val="2"/>
            <w:tcBorders>
              <w:top w:val="nil"/>
              <w:left w:val="nil"/>
              <w:bottom w:val="nil"/>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r>
      <w:tr w:rsidR="00515331" w:rsidRPr="00616576" w:rsidTr="00C40284">
        <w:trPr>
          <w:trHeight w:val="255"/>
          <w:jc w:val="center"/>
        </w:trPr>
        <w:tc>
          <w:tcPr>
            <w:tcW w:w="1620" w:type="dxa"/>
            <w:vMerge/>
            <w:tcBorders>
              <w:top w:val="nil"/>
              <w:left w:val="single" w:sz="4" w:space="0" w:color="auto"/>
              <w:bottom w:val="nil"/>
              <w:right w:val="nil"/>
            </w:tcBorders>
            <w:vAlign w:val="center"/>
            <w:hideMark/>
          </w:tcPr>
          <w:p w:rsidR="00515331" w:rsidRPr="00616576" w:rsidRDefault="00515331" w:rsidP="00C40284">
            <w:pPr>
              <w:spacing w:after="0" w:line="240" w:lineRule="auto"/>
              <w:rPr>
                <w:rFonts w:ascii="Times New Roman" w:hAnsi="Times New Roman"/>
                <w:i/>
                <w:iCs/>
                <w:sz w:val="16"/>
                <w:szCs w:val="16"/>
              </w:rPr>
            </w:pPr>
          </w:p>
        </w:tc>
        <w:tc>
          <w:tcPr>
            <w:tcW w:w="2060" w:type="dxa"/>
            <w:vMerge/>
            <w:tcBorders>
              <w:top w:val="nil"/>
              <w:left w:val="nil"/>
              <w:bottom w:val="nil"/>
              <w:right w:val="nil"/>
            </w:tcBorders>
            <w:vAlign w:val="center"/>
            <w:hideMark/>
          </w:tcPr>
          <w:p w:rsidR="00515331" w:rsidRPr="00616576" w:rsidRDefault="00515331" w:rsidP="00C40284">
            <w:pPr>
              <w:spacing w:after="0" w:line="240" w:lineRule="auto"/>
              <w:rPr>
                <w:rFonts w:ascii="Times New Roman" w:hAnsi="Times New Roman"/>
                <w:sz w:val="16"/>
                <w:szCs w:val="16"/>
              </w:rPr>
            </w:pPr>
          </w:p>
        </w:tc>
        <w:tc>
          <w:tcPr>
            <w:tcW w:w="1520" w:type="dxa"/>
            <w:vMerge/>
            <w:tcBorders>
              <w:top w:val="nil"/>
              <w:left w:val="nil"/>
              <w:bottom w:val="nil"/>
              <w:right w:val="nil"/>
            </w:tcBorders>
            <w:vAlign w:val="center"/>
            <w:hideMark/>
          </w:tcPr>
          <w:p w:rsidR="00515331" w:rsidRPr="00616576" w:rsidRDefault="00515331" w:rsidP="00C40284">
            <w:pPr>
              <w:spacing w:after="0" w:line="240" w:lineRule="auto"/>
              <w:rPr>
                <w:rFonts w:ascii="Times New Roman" w:hAnsi="Times New Roman"/>
                <w:sz w:val="16"/>
                <w:szCs w:val="16"/>
              </w:rPr>
            </w:pPr>
          </w:p>
        </w:tc>
        <w:tc>
          <w:tcPr>
            <w:tcW w:w="1140" w:type="dxa"/>
            <w:tcBorders>
              <w:top w:val="nil"/>
              <w:left w:val="nil"/>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6,01%</w:t>
            </w:r>
          </w:p>
        </w:tc>
        <w:tc>
          <w:tcPr>
            <w:tcW w:w="2160" w:type="dxa"/>
            <w:gridSpan w:val="2"/>
            <w:tcBorders>
              <w:top w:val="nil"/>
              <w:left w:val="nil"/>
              <w:bottom w:val="nil"/>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Variáveis explicativas</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Variáveis contínuas</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Delta sal</w:t>
            </w:r>
            <w:r>
              <w:rPr>
                <w:rFonts w:ascii="Times New Roman" w:hAnsi="Times New Roman"/>
                <w:sz w:val="16"/>
                <w:szCs w:val="16"/>
              </w:rPr>
              <w:t>a</w:t>
            </w:r>
            <w:r w:rsidRPr="00616576">
              <w:rPr>
                <w:rFonts w:ascii="Times New Roman" w:hAnsi="Times New Roman"/>
                <w:sz w:val="16"/>
                <w:szCs w:val="16"/>
              </w:rPr>
              <w:t>ri</w:t>
            </w:r>
            <w:r>
              <w:rPr>
                <w:rFonts w:ascii="Times New Roman" w:hAnsi="Times New Roman"/>
                <w:sz w:val="16"/>
                <w:szCs w:val="16"/>
              </w:rPr>
              <w:t>al</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Diferença salarial</w:t>
            </w:r>
            <w:r>
              <w:rPr>
                <w:rFonts w:ascii="Times New Roman" w:hAnsi="Times New Roman"/>
                <w:sz w:val="16"/>
                <w:szCs w:val="16"/>
              </w:rPr>
              <w:t xml:space="preserve"> entre o que o trabalhador recebe em t e a média salarial do setor para o qual o trabalhador se transferiria em t+1</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lnR</w:t>
            </w:r>
            <w:proofErr w:type="spellEnd"/>
            <w:r w:rsidRPr="00616576">
              <w:rPr>
                <w:rFonts w:ascii="Times New Roman" w:hAnsi="Times New Roman"/>
                <w:sz w:val="16"/>
                <w:szCs w:val="16"/>
              </w:rPr>
              <w:t>$</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273F7D">
              <w:rPr>
                <w:rFonts w:ascii="Times New Roman" w:hAnsi="Times New Roman"/>
                <w:sz w:val="16"/>
                <w:szCs w:val="16"/>
              </w:rPr>
              <w:t>-</w:t>
            </w:r>
            <w:r>
              <w:rPr>
                <w:rFonts w:ascii="Times New Roman" w:hAnsi="Times New Roman"/>
                <w:sz w:val="16"/>
                <w:szCs w:val="16"/>
              </w:rPr>
              <w:t>0,</w:t>
            </w:r>
            <w:r w:rsidRPr="00273F7D">
              <w:rPr>
                <w:rFonts w:ascii="Times New Roman" w:hAnsi="Times New Roman"/>
                <w:sz w:val="16"/>
                <w:szCs w:val="16"/>
              </w:rPr>
              <w:t>0074</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273F7D">
              <w:rPr>
                <w:rFonts w:ascii="Times New Roman" w:hAnsi="Times New Roman"/>
                <w:sz w:val="16"/>
                <w:szCs w:val="16"/>
              </w:rPr>
              <w:t>-4</w:t>
            </w:r>
            <w:r>
              <w:rPr>
                <w:rFonts w:ascii="Times New Roman" w:hAnsi="Times New Roman"/>
                <w:sz w:val="16"/>
                <w:szCs w:val="16"/>
              </w:rPr>
              <w:t>,</w:t>
            </w:r>
            <w:r w:rsidRPr="00273F7D">
              <w:rPr>
                <w:rFonts w:ascii="Times New Roman" w:hAnsi="Times New Roman"/>
                <w:sz w:val="16"/>
                <w:szCs w:val="16"/>
              </w:rPr>
              <w:t>897126</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273F7D">
              <w:rPr>
                <w:rFonts w:ascii="Times New Roman" w:hAnsi="Times New Roman"/>
                <w:sz w:val="16"/>
                <w:szCs w:val="16"/>
              </w:rPr>
              <w:t>3</w:t>
            </w:r>
            <w:r>
              <w:rPr>
                <w:rFonts w:ascii="Times New Roman" w:hAnsi="Times New Roman"/>
                <w:sz w:val="16"/>
                <w:szCs w:val="16"/>
              </w:rPr>
              <w:t>,</w:t>
            </w:r>
            <w:r w:rsidRPr="00273F7D">
              <w:rPr>
                <w:rFonts w:ascii="Times New Roman" w:hAnsi="Times New Roman"/>
                <w:sz w:val="16"/>
                <w:szCs w:val="16"/>
              </w:rPr>
              <w:t>662339</w:t>
            </w:r>
          </w:p>
        </w:tc>
      </w:tr>
      <w:tr w:rsidR="00515331" w:rsidRPr="00616576" w:rsidTr="00C40284">
        <w:trPr>
          <w:trHeight w:val="90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Experiência anterior</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Experiência (em t-1), medidas em termos de meses trabalhados no mesmo emprego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meses</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98,617</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754,8</w:t>
            </w:r>
          </w:p>
        </w:tc>
      </w:tr>
      <w:tr w:rsidR="00515331" w:rsidRPr="00616576" w:rsidTr="00C40284">
        <w:trPr>
          <w:trHeight w:val="108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Experiência anterio</w:t>
            </w:r>
            <w:r>
              <w:rPr>
                <w:rFonts w:ascii="Times New Roman" w:hAnsi="Times New Roman"/>
                <w:sz w:val="16"/>
                <w:szCs w:val="16"/>
              </w:rPr>
              <w:t>r</w:t>
            </w:r>
            <w:r w:rsidRPr="00616576">
              <w:rPr>
                <w:rFonts w:ascii="Times New Roman" w:hAnsi="Times New Roman"/>
                <w:sz w:val="16"/>
                <w:szCs w:val="16"/>
              </w:rPr>
              <w:t xml:space="preserve"> ao quadrado</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Experiência (em t-1) ao quadrado, medida em termos de meses trabalhados no mesmo emprego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meses</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14790,77</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569723</w:t>
            </w:r>
          </w:p>
        </w:tc>
      </w:tr>
      <w:tr w:rsidR="00515331" w:rsidRPr="00616576" w:rsidTr="00C40284">
        <w:trPr>
          <w:trHeight w:val="675"/>
          <w:jc w:val="center"/>
        </w:trPr>
        <w:tc>
          <w:tcPr>
            <w:tcW w:w="1620" w:type="dxa"/>
            <w:tcBorders>
              <w:top w:val="nil"/>
              <w:left w:val="single" w:sz="4" w:space="0" w:color="auto"/>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Permanência no novo emprego (anos)</w:t>
            </w:r>
          </w:p>
        </w:tc>
        <w:tc>
          <w:tcPr>
            <w:tcW w:w="206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Tempo de permanência no novo emprego após a mobilidade</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anos</w:t>
            </w:r>
          </w:p>
        </w:tc>
        <w:tc>
          <w:tcPr>
            <w:tcW w:w="114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0,517</w:t>
            </w:r>
          </w:p>
        </w:tc>
        <w:tc>
          <w:tcPr>
            <w:tcW w:w="108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7</w:t>
            </w:r>
          </w:p>
        </w:tc>
      </w:tr>
      <w:tr w:rsidR="00515331" w:rsidRPr="00616576" w:rsidTr="00C40284">
        <w:trPr>
          <w:trHeight w:val="255"/>
          <w:jc w:val="center"/>
        </w:trPr>
        <w:tc>
          <w:tcPr>
            <w:tcW w:w="850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r w:rsidRPr="00616576">
              <w:rPr>
                <w:rFonts w:ascii="Times New Roman" w:hAnsi="Times New Roman"/>
                <w:b/>
                <w:bCs/>
                <w:sz w:val="16"/>
                <w:szCs w:val="16"/>
              </w:rPr>
              <w:t>Variáveis categóricas</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Dummies</w:t>
            </w:r>
            <w:proofErr w:type="spellEnd"/>
            <w:r w:rsidRPr="00616576">
              <w:rPr>
                <w:rFonts w:ascii="Times New Roman" w:hAnsi="Times New Roman"/>
                <w:b/>
                <w:bCs/>
                <w:sz w:val="16"/>
                <w:szCs w:val="16"/>
              </w:rPr>
              <w:t xml:space="preserve"> de Idade</w:t>
            </w:r>
          </w:p>
        </w:tc>
      </w:tr>
      <w:tr w:rsidR="00515331" w:rsidRPr="00616576" w:rsidTr="00C40284">
        <w:trPr>
          <w:trHeight w:val="57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até 25 anos</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com até 25 anos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 xml:space="preserve">binária </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0,124</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de 26 a 35 anos</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que possuem entre 26 e 35 anos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0,391</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de 36 a 45 anos</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que possuem entre 36 e 45 anos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0,328</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de 46 a 55 anos</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que possuem entre 46 e 55 anos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0,129</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57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maior que 55 anos</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com mais de 55 anos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0,027</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lastRenderedPageBreak/>
              <w:t>Dummies</w:t>
            </w:r>
            <w:proofErr w:type="spellEnd"/>
            <w:r w:rsidRPr="00616576">
              <w:rPr>
                <w:rFonts w:ascii="Times New Roman" w:hAnsi="Times New Roman"/>
                <w:b/>
                <w:bCs/>
                <w:sz w:val="16"/>
                <w:szCs w:val="16"/>
              </w:rPr>
              <w:t xml:space="preserve"> educacionais</w:t>
            </w:r>
          </w:p>
        </w:tc>
      </w:tr>
      <w:tr w:rsidR="00515331" w:rsidRPr="00616576" w:rsidTr="00C40284">
        <w:trPr>
          <w:trHeight w:val="30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analf</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analfabeto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 xml:space="preserve"> 0,018</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quar_incomp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quarta série incompleta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 xml:space="preserve"> 0,083</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quar_comp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quarta série completa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0,179</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oit_incomp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oitava série incompleta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0,201</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oit_comp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oitava série completa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0,178</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seg_incomp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segundo grau incompleto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0,079</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seg_comp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segundo grau completo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0,168</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sup_incomp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nível superior incompleto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0,031</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sup_comp</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 com nível superior completo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0,062</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Dummy</w:t>
            </w:r>
            <w:proofErr w:type="spellEnd"/>
            <w:r w:rsidRPr="00616576">
              <w:rPr>
                <w:rFonts w:ascii="Times New Roman" w:hAnsi="Times New Roman"/>
                <w:b/>
                <w:bCs/>
                <w:i/>
                <w:iCs/>
                <w:sz w:val="16"/>
                <w:szCs w:val="16"/>
              </w:rPr>
              <w:t xml:space="preserve"> </w:t>
            </w:r>
            <w:r w:rsidRPr="00616576">
              <w:rPr>
                <w:rFonts w:ascii="Times New Roman" w:hAnsi="Times New Roman"/>
                <w:b/>
                <w:bCs/>
                <w:sz w:val="16"/>
                <w:szCs w:val="16"/>
              </w:rPr>
              <w:t>de sexo</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Feminino</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r w:rsidRPr="00616576">
              <w:rPr>
                <w:rFonts w:ascii="Times New Roman" w:hAnsi="Times New Roman"/>
                <w:sz w:val="16"/>
                <w:szCs w:val="16"/>
              </w:rPr>
              <w:t>Trabalhadores do sexo feminino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0,225</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Dummies</w:t>
            </w:r>
            <w:proofErr w:type="spellEnd"/>
            <w:r w:rsidRPr="00616576">
              <w:rPr>
                <w:rFonts w:ascii="Times New Roman" w:hAnsi="Times New Roman"/>
                <w:b/>
                <w:bCs/>
                <w:sz w:val="16"/>
                <w:szCs w:val="16"/>
              </w:rPr>
              <w:t xml:space="preserve"> estaduais</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proofErr w:type="spellStart"/>
            <w:r w:rsidRPr="00616576">
              <w:rPr>
                <w:rFonts w:ascii="Times New Roman" w:hAnsi="Times New Roman"/>
                <w:sz w:val="16"/>
                <w:szCs w:val="16"/>
              </w:rPr>
              <w:t>Ufs</w:t>
            </w:r>
            <w:proofErr w:type="spellEnd"/>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as 27 unidades da Federação</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Dummies</w:t>
            </w:r>
            <w:proofErr w:type="spellEnd"/>
            <w:r w:rsidRPr="00616576">
              <w:rPr>
                <w:rFonts w:ascii="Times New Roman" w:hAnsi="Times New Roman"/>
                <w:b/>
                <w:bCs/>
                <w:sz w:val="16"/>
                <w:szCs w:val="16"/>
              </w:rPr>
              <w:t xml:space="preserve"> para tamanho da firma</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pequena empresa</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até 99 empregados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0,319</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média empresa</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100 até 499 empregados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0,330</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grande empresa</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mais de 500 empregados</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0,351</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Dummies</w:t>
            </w:r>
            <w:proofErr w:type="spellEnd"/>
            <w:r w:rsidRPr="00616576">
              <w:rPr>
                <w:rFonts w:ascii="Times New Roman" w:hAnsi="Times New Roman"/>
                <w:b/>
                <w:bCs/>
                <w:sz w:val="16"/>
                <w:szCs w:val="16"/>
              </w:rPr>
              <w:t xml:space="preserve"> para intensidade tecnológica setorial</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baixa-intensidade</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baixa intensidade tecnológica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0,650</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médio-baixa</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médio-baixa intensidade tecnológica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0,136</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675"/>
          <w:jc w:val="center"/>
        </w:trPr>
        <w:tc>
          <w:tcPr>
            <w:tcW w:w="1620" w:type="dxa"/>
            <w:tcBorders>
              <w:top w:val="nil"/>
              <w:left w:val="single" w:sz="4" w:space="0" w:color="auto"/>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médio-alta</w:t>
            </w:r>
          </w:p>
        </w:tc>
        <w:tc>
          <w:tcPr>
            <w:tcW w:w="206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médio-alta intensidade tecnológica</w:t>
            </w:r>
          </w:p>
        </w:tc>
        <w:tc>
          <w:tcPr>
            <w:tcW w:w="152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0,166</w:t>
            </w:r>
          </w:p>
        </w:tc>
        <w:tc>
          <w:tcPr>
            <w:tcW w:w="1080" w:type="dxa"/>
            <w:tcBorders>
              <w:top w:val="nil"/>
              <w:left w:val="nil"/>
              <w:bottom w:val="nil"/>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nil"/>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450"/>
          <w:jc w:val="center"/>
        </w:trPr>
        <w:tc>
          <w:tcPr>
            <w:tcW w:w="1620" w:type="dxa"/>
            <w:tcBorders>
              <w:top w:val="nil"/>
              <w:left w:val="single" w:sz="4" w:space="0" w:color="auto"/>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alta-intensidade</w:t>
            </w:r>
          </w:p>
        </w:tc>
        <w:tc>
          <w:tcPr>
            <w:tcW w:w="206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para empresas com alta intensidade tecnológica</w:t>
            </w:r>
          </w:p>
        </w:tc>
        <w:tc>
          <w:tcPr>
            <w:tcW w:w="152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 xml:space="preserve"> 0,048</w:t>
            </w:r>
          </w:p>
        </w:tc>
        <w:tc>
          <w:tcPr>
            <w:tcW w:w="108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single" w:sz="4" w:space="0" w:color="auto"/>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85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331" w:rsidRPr="00616576" w:rsidRDefault="00515331" w:rsidP="00C40284">
            <w:pPr>
              <w:spacing w:after="0" w:line="240" w:lineRule="auto"/>
              <w:jc w:val="center"/>
              <w:rPr>
                <w:rFonts w:ascii="Times New Roman" w:hAnsi="Times New Roman"/>
                <w:b/>
                <w:bCs/>
                <w:sz w:val="16"/>
                <w:szCs w:val="16"/>
              </w:rPr>
            </w:pPr>
            <w:proofErr w:type="spellStart"/>
            <w:r w:rsidRPr="00616576">
              <w:rPr>
                <w:rFonts w:ascii="Times New Roman" w:hAnsi="Times New Roman"/>
                <w:b/>
                <w:bCs/>
                <w:i/>
                <w:iCs/>
                <w:sz w:val="16"/>
                <w:szCs w:val="16"/>
              </w:rPr>
              <w:t>Dummy</w:t>
            </w:r>
            <w:proofErr w:type="spellEnd"/>
            <w:r w:rsidRPr="00616576">
              <w:rPr>
                <w:rFonts w:ascii="Times New Roman" w:hAnsi="Times New Roman"/>
                <w:b/>
                <w:bCs/>
                <w:sz w:val="16"/>
                <w:szCs w:val="16"/>
              </w:rPr>
              <w:t xml:space="preserve"> de interação</w:t>
            </w:r>
          </w:p>
        </w:tc>
      </w:tr>
      <w:tr w:rsidR="00515331" w:rsidRPr="00616576" w:rsidTr="00C40284">
        <w:trPr>
          <w:trHeight w:val="675"/>
          <w:jc w:val="center"/>
        </w:trPr>
        <w:tc>
          <w:tcPr>
            <w:tcW w:w="1620" w:type="dxa"/>
            <w:tcBorders>
              <w:top w:val="nil"/>
              <w:left w:val="single" w:sz="4" w:space="0" w:color="auto"/>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Sup</w:t>
            </w:r>
            <w:r>
              <w:rPr>
                <w:rFonts w:ascii="Times New Roman" w:hAnsi="Times New Roman"/>
                <w:sz w:val="16"/>
                <w:szCs w:val="16"/>
              </w:rPr>
              <w:t>.</w:t>
            </w:r>
            <w:r w:rsidRPr="00616576">
              <w:rPr>
                <w:rFonts w:ascii="Times New Roman" w:hAnsi="Times New Roman"/>
                <w:sz w:val="16"/>
                <w:szCs w:val="16"/>
              </w:rPr>
              <w:t xml:space="preserve"> completo e alta-intensidade</w:t>
            </w:r>
          </w:p>
        </w:tc>
        <w:tc>
          <w:tcPr>
            <w:tcW w:w="206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rPr>
                <w:rFonts w:ascii="Times New Roman" w:hAnsi="Times New Roman"/>
                <w:sz w:val="16"/>
                <w:szCs w:val="16"/>
              </w:rPr>
            </w:pPr>
            <w:proofErr w:type="spellStart"/>
            <w:r w:rsidRPr="009802A1">
              <w:rPr>
                <w:rFonts w:ascii="Times New Roman" w:hAnsi="Times New Roman"/>
                <w:i/>
                <w:sz w:val="16"/>
                <w:szCs w:val="16"/>
              </w:rPr>
              <w:t>Dummy</w:t>
            </w:r>
            <w:proofErr w:type="spellEnd"/>
            <w:r w:rsidRPr="00616576">
              <w:rPr>
                <w:rFonts w:ascii="Times New Roman" w:hAnsi="Times New Roman"/>
                <w:sz w:val="16"/>
                <w:szCs w:val="16"/>
              </w:rPr>
              <w:t xml:space="preserve"> de i</w:t>
            </w:r>
            <w:r>
              <w:rPr>
                <w:rFonts w:ascii="Times New Roman" w:hAnsi="Times New Roman"/>
                <w:sz w:val="16"/>
                <w:szCs w:val="16"/>
              </w:rPr>
              <w:t>n</w:t>
            </w:r>
            <w:r w:rsidRPr="00616576">
              <w:rPr>
                <w:rFonts w:ascii="Times New Roman" w:hAnsi="Times New Roman"/>
                <w:sz w:val="16"/>
                <w:szCs w:val="16"/>
              </w:rPr>
              <w:t>teração entre superior completo e alta intensidade tecnológica</w:t>
            </w:r>
          </w:p>
        </w:tc>
        <w:tc>
          <w:tcPr>
            <w:tcW w:w="152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binária</w:t>
            </w:r>
          </w:p>
        </w:tc>
        <w:tc>
          <w:tcPr>
            <w:tcW w:w="114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 xml:space="preserve"> 0,005</w:t>
            </w:r>
          </w:p>
        </w:tc>
        <w:tc>
          <w:tcPr>
            <w:tcW w:w="1080" w:type="dxa"/>
            <w:tcBorders>
              <w:top w:val="nil"/>
              <w:left w:val="nil"/>
              <w:bottom w:val="single" w:sz="4" w:space="0" w:color="auto"/>
              <w:right w:val="nil"/>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0</w:t>
            </w:r>
          </w:p>
        </w:tc>
        <w:tc>
          <w:tcPr>
            <w:tcW w:w="1080" w:type="dxa"/>
            <w:tcBorders>
              <w:top w:val="nil"/>
              <w:left w:val="nil"/>
              <w:bottom w:val="single" w:sz="4" w:space="0" w:color="auto"/>
              <w:right w:val="single" w:sz="4" w:space="0" w:color="auto"/>
            </w:tcBorders>
            <w:shd w:val="clear" w:color="auto" w:fill="auto"/>
            <w:vAlign w:val="center"/>
            <w:hideMark/>
          </w:tcPr>
          <w:p w:rsidR="00515331" w:rsidRPr="00616576" w:rsidRDefault="00515331" w:rsidP="00C40284">
            <w:pPr>
              <w:spacing w:after="0" w:line="240" w:lineRule="auto"/>
              <w:jc w:val="center"/>
              <w:rPr>
                <w:rFonts w:ascii="Times New Roman" w:hAnsi="Times New Roman"/>
                <w:sz w:val="16"/>
                <w:szCs w:val="16"/>
              </w:rPr>
            </w:pPr>
            <w:r w:rsidRPr="00616576">
              <w:rPr>
                <w:rFonts w:ascii="Times New Roman" w:hAnsi="Times New Roman"/>
                <w:sz w:val="16"/>
                <w:szCs w:val="16"/>
              </w:rPr>
              <w:t>1</w:t>
            </w:r>
          </w:p>
        </w:tc>
      </w:tr>
      <w:tr w:rsidR="00515331" w:rsidRPr="00616576" w:rsidTr="00C40284">
        <w:trPr>
          <w:trHeight w:val="255"/>
          <w:jc w:val="center"/>
        </w:trPr>
        <w:tc>
          <w:tcPr>
            <w:tcW w:w="3680" w:type="dxa"/>
            <w:gridSpan w:val="2"/>
            <w:tcBorders>
              <w:top w:val="nil"/>
              <w:left w:val="nil"/>
              <w:bottom w:val="nil"/>
              <w:right w:val="nil"/>
            </w:tcBorders>
            <w:shd w:val="clear" w:color="auto" w:fill="auto"/>
            <w:noWrap/>
            <w:vAlign w:val="bottom"/>
            <w:hideMark/>
          </w:tcPr>
          <w:p w:rsidR="00515331" w:rsidRPr="003C4B53" w:rsidRDefault="00515331" w:rsidP="00C40284">
            <w:pPr>
              <w:spacing w:after="0" w:line="240" w:lineRule="auto"/>
              <w:rPr>
                <w:rFonts w:ascii="Times New Roman" w:hAnsi="Times New Roman"/>
                <w:bCs/>
                <w:sz w:val="16"/>
                <w:szCs w:val="16"/>
              </w:rPr>
            </w:pPr>
            <w:r w:rsidRPr="003C4B53">
              <w:rPr>
                <w:rFonts w:ascii="Times New Roman" w:hAnsi="Times New Roman"/>
                <w:bCs/>
                <w:sz w:val="16"/>
                <w:szCs w:val="16"/>
              </w:rPr>
              <w:t>Fonte: RAIS-MIGRA.</w:t>
            </w:r>
          </w:p>
        </w:tc>
        <w:tc>
          <w:tcPr>
            <w:tcW w:w="1520" w:type="dxa"/>
            <w:tcBorders>
              <w:top w:val="nil"/>
              <w:left w:val="nil"/>
              <w:bottom w:val="nil"/>
              <w:right w:val="nil"/>
            </w:tcBorders>
            <w:shd w:val="clear" w:color="auto" w:fill="auto"/>
            <w:noWrap/>
            <w:vAlign w:val="bottom"/>
            <w:hideMark/>
          </w:tcPr>
          <w:p w:rsidR="00515331" w:rsidRPr="00616576" w:rsidRDefault="00515331" w:rsidP="00C40284">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noWrap/>
            <w:vAlign w:val="bottom"/>
            <w:hideMark/>
          </w:tcPr>
          <w:p w:rsidR="00515331" w:rsidRPr="00616576" w:rsidRDefault="00515331" w:rsidP="00C40284">
            <w:pPr>
              <w:spacing w:after="0" w:line="240" w:lineRule="auto"/>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515331" w:rsidRPr="00616576" w:rsidRDefault="00515331" w:rsidP="00C40284">
            <w:pPr>
              <w:spacing w:after="0" w:line="240" w:lineRule="auto"/>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515331" w:rsidRPr="00616576" w:rsidRDefault="00515331" w:rsidP="00C40284">
            <w:pPr>
              <w:spacing w:after="0" w:line="240" w:lineRule="auto"/>
              <w:rPr>
                <w:rFonts w:ascii="Times New Roman" w:hAnsi="Times New Roman"/>
                <w:sz w:val="20"/>
                <w:szCs w:val="20"/>
              </w:rPr>
            </w:pPr>
          </w:p>
        </w:tc>
      </w:tr>
    </w:tbl>
    <w:p w:rsidR="0073033C" w:rsidRDefault="0073033C" w:rsidP="0073033C">
      <w:pPr>
        <w:pStyle w:val="Quadro"/>
        <w:spacing w:before="0" w:line="360" w:lineRule="auto"/>
        <w:rPr>
          <w:sz w:val="24"/>
          <w:szCs w:val="24"/>
        </w:rPr>
      </w:pPr>
    </w:p>
    <w:p w:rsidR="00515331" w:rsidRDefault="00515331" w:rsidP="0073033C">
      <w:pPr>
        <w:pStyle w:val="Quadro"/>
        <w:spacing w:before="0" w:line="360" w:lineRule="auto"/>
        <w:rPr>
          <w:sz w:val="24"/>
          <w:szCs w:val="24"/>
        </w:rPr>
      </w:pPr>
    </w:p>
    <w:p w:rsidR="00515331" w:rsidRDefault="00515331" w:rsidP="0073033C">
      <w:pPr>
        <w:pStyle w:val="Quadro"/>
        <w:spacing w:before="0" w:line="360" w:lineRule="auto"/>
        <w:rPr>
          <w:sz w:val="24"/>
          <w:szCs w:val="24"/>
        </w:rPr>
      </w:pPr>
    </w:p>
    <w:p w:rsidR="00515331" w:rsidRDefault="00515331" w:rsidP="0073033C">
      <w:pPr>
        <w:pStyle w:val="Quadro"/>
        <w:spacing w:before="0" w:line="360" w:lineRule="auto"/>
        <w:rPr>
          <w:sz w:val="24"/>
          <w:szCs w:val="24"/>
        </w:rPr>
      </w:pPr>
    </w:p>
    <w:p w:rsidR="00515331" w:rsidRDefault="00515331" w:rsidP="0073033C">
      <w:pPr>
        <w:pStyle w:val="Quadro"/>
        <w:spacing w:before="0" w:line="360" w:lineRule="auto"/>
        <w:rPr>
          <w:sz w:val="24"/>
          <w:szCs w:val="24"/>
        </w:rPr>
      </w:pPr>
    </w:p>
    <w:p w:rsidR="0073033C" w:rsidRPr="00BD5489" w:rsidRDefault="0073033C" w:rsidP="0073033C">
      <w:pPr>
        <w:pStyle w:val="Quadro"/>
        <w:spacing w:before="0" w:line="360" w:lineRule="auto"/>
        <w:rPr>
          <w:b w:val="0"/>
          <w:sz w:val="24"/>
          <w:szCs w:val="24"/>
        </w:rPr>
      </w:pPr>
      <w:r w:rsidRPr="00515331">
        <w:rPr>
          <w:b w:val="0"/>
          <w:sz w:val="24"/>
          <w:szCs w:val="24"/>
        </w:rPr>
        <w:lastRenderedPageBreak/>
        <w:t>Quadro 2:</w:t>
      </w:r>
      <w:r w:rsidRPr="00BD5489">
        <w:rPr>
          <w:b w:val="0"/>
          <w:sz w:val="24"/>
          <w:szCs w:val="24"/>
        </w:rPr>
        <w:t xml:space="preserve"> Classificação dos setores industriais brasileiros por intensidade tecnológica</w:t>
      </w:r>
    </w:p>
    <w:p w:rsidR="0073033C" w:rsidRPr="00BD5489" w:rsidRDefault="009802A1" w:rsidP="0073033C">
      <w:pPr>
        <w:autoSpaceDE w:val="0"/>
        <w:autoSpaceDN w:val="0"/>
        <w:adjustRightInd w:val="0"/>
        <w:spacing w:after="0"/>
        <w:jc w:val="center"/>
        <w:rPr>
          <w:rFonts w:ascii="Times New Roman" w:hAnsi="Times New Roman"/>
        </w:rPr>
      </w:pPr>
      <w:r w:rsidRPr="00BD5489">
        <w:rPr>
          <w:rFonts w:ascii="Times New Roman" w:hAnsi="Times New Roman"/>
        </w:rPr>
        <w:object w:dxaOrig="9765" w:dyaOrig="8177">
          <v:shape id="_x0000_i1028" type="#_x0000_t75" style="width:370.35pt;height:381.9pt" o:ole="">
            <v:imagedata r:id="rId14" o:title=""/>
          </v:shape>
          <o:OLEObject Type="Embed" ProgID="Excel.Sheet.8" ShapeID="_x0000_i1028" DrawAspect="Content" ObjectID="_1372512521" r:id="rId15"/>
        </w:object>
      </w:r>
    </w:p>
    <w:p w:rsidR="0073033C" w:rsidRPr="00FF1162" w:rsidRDefault="0073033C" w:rsidP="005D3BD3">
      <w:pPr>
        <w:spacing w:line="240" w:lineRule="auto"/>
        <w:ind w:firstLine="708"/>
        <w:jc w:val="both"/>
        <w:rPr>
          <w:rFonts w:ascii="Times New Roman" w:hAnsi="Times New Roman"/>
        </w:rPr>
      </w:pPr>
      <w:r w:rsidRPr="007C09F0">
        <w:rPr>
          <w:rFonts w:ascii="Times New Roman" w:hAnsi="Times New Roman"/>
        </w:rPr>
        <w:t>Em termos de métodos de regressão,</w:t>
      </w:r>
      <w:r w:rsidR="007C09F0" w:rsidRPr="007C09F0">
        <w:rPr>
          <w:rFonts w:ascii="Times New Roman" w:hAnsi="Times New Roman"/>
        </w:rPr>
        <w:t xml:space="preserve"> como dito anteriormente,</w:t>
      </w:r>
      <w:r w:rsidRPr="007C09F0">
        <w:rPr>
          <w:rFonts w:ascii="Times New Roman" w:hAnsi="Times New Roman"/>
        </w:rPr>
        <w:t xml:space="preserve"> serão utilizados o modelo </w:t>
      </w:r>
      <w:proofErr w:type="spellStart"/>
      <w:r w:rsidRPr="007C09F0">
        <w:rPr>
          <w:rFonts w:ascii="Times New Roman" w:hAnsi="Times New Roman"/>
        </w:rPr>
        <w:t>logit</w:t>
      </w:r>
      <w:proofErr w:type="spellEnd"/>
      <w:r w:rsidRPr="007C09F0">
        <w:rPr>
          <w:rFonts w:ascii="Times New Roman" w:hAnsi="Times New Roman"/>
        </w:rPr>
        <w:t xml:space="preserve"> binário e o modelo </w:t>
      </w:r>
      <w:proofErr w:type="spellStart"/>
      <w:r w:rsidRPr="007C09F0">
        <w:rPr>
          <w:rFonts w:ascii="Times New Roman" w:hAnsi="Times New Roman"/>
        </w:rPr>
        <w:t>logit</w:t>
      </w:r>
      <w:proofErr w:type="spellEnd"/>
      <w:r w:rsidRPr="007C09F0">
        <w:rPr>
          <w:rFonts w:ascii="Times New Roman" w:hAnsi="Times New Roman"/>
        </w:rPr>
        <w:t xml:space="preserve"> de efeitos fixos</w:t>
      </w:r>
      <w:r w:rsidR="007C09F0" w:rsidRPr="007C09F0">
        <w:rPr>
          <w:rFonts w:ascii="Times New Roman" w:hAnsi="Times New Roman"/>
        </w:rPr>
        <w:t xml:space="preserve">, seguindo procedimentos sugeridos por </w:t>
      </w:r>
      <w:r w:rsidRPr="007C09F0">
        <w:rPr>
          <w:rFonts w:ascii="Times New Roman" w:hAnsi="Times New Roman"/>
        </w:rPr>
        <w:t>Greene</w:t>
      </w:r>
      <w:r w:rsidR="007C09F0" w:rsidRPr="007C09F0">
        <w:rPr>
          <w:rFonts w:ascii="Times New Roman" w:hAnsi="Times New Roman"/>
        </w:rPr>
        <w:t xml:space="preserve"> (</w:t>
      </w:r>
      <w:r w:rsidRPr="007C09F0">
        <w:rPr>
          <w:rFonts w:ascii="Times New Roman" w:hAnsi="Times New Roman"/>
        </w:rPr>
        <w:t>2000</w:t>
      </w:r>
      <w:r w:rsidR="007C09F0" w:rsidRPr="007C09F0">
        <w:rPr>
          <w:rFonts w:ascii="Times New Roman" w:hAnsi="Times New Roman"/>
        </w:rPr>
        <w:t>) e</w:t>
      </w:r>
      <w:r w:rsidRPr="007C09F0">
        <w:rPr>
          <w:rFonts w:ascii="Times New Roman" w:hAnsi="Times New Roman"/>
        </w:rPr>
        <w:t xml:space="preserve"> </w:t>
      </w:r>
      <w:proofErr w:type="spellStart"/>
      <w:r w:rsidRPr="007C09F0">
        <w:rPr>
          <w:rFonts w:ascii="Times New Roman" w:hAnsi="Times New Roman"/>
          <w:caps/>
        </w:rPr>
        <w:t>W</w:t>
      </w:r>
      <w:r w:rsidRPr="007C09F0">
        <w:rPr>
          <w:rFonts w:ascii="Times New Roman" w:hAnsi="Times New Roman"/>
        </w:rPr>
        <w:t>ooldridge</w:t>
      </w:r>
      <w:proofErr w:type="spellEnd"/>
      <w:r w:rsidR="007C09F0" w:rsidRPr="007C09F0">
        <w:rPr>
          <w:rFonts w:ascii="Times New Roman" w:hAnsi="Times New Roman"/>
        </w:rPr>
        <w:t xml:space="preserve"> (</w:t>
      </w:r>
      <w:r w:rsidRPr="007C09F0">
        <w:rPr>
          <w:rFonts w:ascii="Times New Roman" w:hAnsi="Times New Roman"/>
        </w:rPr>
        <w:t xml:space="preserve">2002). As análises das regressões estão baseadas no sinal e na significância dos coeficientes, assim como na razão de chance. A razão de chance é definida como probabilidade de determinado evento ocorrer em relação a outro. Logo, se </w:t>
      </w:r>
      <w:proofErr w:type="spellStart"/>
      <w:r w:rsidRPr="007C09F0">
        <w:rPr>
          <w:rFonts w:ascii="Times New Roman" w:hAnsi="Times New Roman"/>
        </w:rPr>
        <w:t>P</w:t>
      </w:r>
      <w:r w:rsidRPr="007C09F0">
        <w:rPr>
          <w:rFonts w:ascii="Times New Roman" w:hAnsi="Times New Roman"/>
          <w:vertAlign w:val="subscript"/>
        </w:rPr>
        <w:t>j</w:t>
      </w:r>
      <w:proofErr w:type="spellEnd"/>
      <w:r w:rsidRPr="007C09F0">
        <w:rPr>
          <w:rFonts w:ascii="Times New Roman" w:hAnsi="Times New Roman"/>
        </w:rPr>
        <w:t xml:space="preserve"> é a probabilidade de sucesso (ou seja, o evento ocorre) e 1-</w:t>
      </w:r>
      <w:proofErr w:type="spellStart"/>
      <w:r w:rsidRPr="007C09F0">
        <w:rPr>
          <w:rFonts w:ascii="Times New Roman" w:hAnsi="Times New Roman"/>
        </w:rPr>
        <w:t>P</w:t>
      </w:r>
      <w:r w:rsidRPr="007C09F0">
        <w:rPr>
          <w:rFonts w:ascii="Times New Roman" w:hAnsi="Times New Roman"/>
          <w:vertAlign w:val="subscript"/>
        </w:rPr>
        <w:t>j</w:t>
      </w:r>
      <w:proofErr w:type="spellEnd"/>
      <w:r w:rsidRPr="007C09F0">
        <w:rPr>
          <w:rFonts w:ascii="Times New Roman" w:hAnsi="Times New Roman"/>
        </w:rPr>
        <w:t xml:space="preserve"> é a probabilidade de insucesso, a razão de chance a favor do evento é dada pela razão </w:t>
      </w:r>
      <w:proofErr w:type="spellStart"/>
      <w:r w:rsidRPr="007C09F0">
        <w:rPr>
          <w:rFonts w:ascii="Times New Roman" w:hAnsi="Times New Roman"/>
        </w:rPr>
        <w:t>P</w:t>
      </w:r>
      <w:r w:rsidRPr="007C09F0">
        <w:rPr>
          <w:rFonts w:ascii="Times New Roman" w:hAnsi="Times New Roman"/>
          <w:vertAlign w:val="subscript"/>
        </w:rPr>
        <w:t>j</w:t>
      </w:r>
      <w:proofErr w:type="spellEnd"/>
      <w:r w:rsidRPr="007C09F0">
        <w:rPr>
          <w:rFonts w:ascii="Times New Roman" w:hAnsi="Times New Roman"/>
        </w:rPr>
        <w:t>/(1-</w:t>
      </w:r>
      <w:proofErr w:type="spellStart"/>
      <w:r w:rsidRPr="007C09F0">
        <w:rPr>
          <w:rFonts w:ascii="Times New Roman" w:hAnsi="Times New Roman"/>
        </w:rPr>
        <w:t>P</w:t>
      </w:r>
      <w:r w:rsidRPr="007C09F0">
        <w:rPr>
          <w:rFonts w:ascii="Times New Roman" w:hAnsi="Times New Roman"/>
          <w:vertAlign w:val="subscript"/>
        </w:rPr>
        <w:t>j</w:t>
      </w:r>
      <w:proofErr w:type="spellEnd"/>
      <w:r w:rsidRPr="007C09F0">
        <w:rPr>
          <w:rFonts w:ascii="Times New Roman" w:hAnsi="Times New Roman"/>
        </w:rPr>
        <w:t>). Para facilitar sua interpretação, a razão de chance foi convertida em incremento percentual, o qual indica a probabilidade de mudança da categoria base em relação à categoria analisada, a partir de variações em características dos trabalhadores. Nesse sentido, muitas interpretações estão baseadas em variações percentuais a partir do seguinte cálculo: (razão de chance – 1) x 100.</w:t>
      </w:r>
    </w:p>
    <w:p w:rsidR="0073033C" w:rsidRPr="0054335A" w:rsidRDefault="0073033C" w:rsidP="005D3BD3">
      <w:pPr>
        <w:pStyle w:val="Ttulo1"/>
        <w:spacing w:before="0" w:after="0"/>
        <w:rPr>
          <w:rFonts w:ascii="Times New Roman" w:hAnsi="Times New Roman" w:cs="Times New Roman"/>
          <w:sz w:val="24"/>
          <w:szCs w:val="24"/>
        </w:rPr>
      </w:pPr>
      <w:r w:rsidRPr="0054335A">
        <w:rPr>
          <w:rFonts w:ascii="Times New Roman" w:hAnsi="Times New Roman" w:cs="Times New Roman"/>
          <w:sz w:val="24"/>
          <w:szCs w:val="24"/>
        </w:rPr>
        <w:t xml:space="preserve">4. </w:t>
      </w:r>
      <w:r>
        <w:rPr>
          <w:rFonts w:ascii="Times New Roman" w:hAnsi="Times New Roman" w:cs="Times New Roman"/>
          <w:sz w:val="24"/>
          <w:szCs w:val="24"/>
        </w:rPr>
        <w:t>Estatísticas descritivas</w:t>
      </w:r>
    </w:p>
    <w:p w:rsidR="0073033C" w:rsidRDefault="0073033C" w:rsidP="005D3BD3">
      <w:pPr>
        <w:spacing w:after="0" w:line="240" w:lineRule="auto"/>
        <w:jc w:val="both"/>
        <w:rPr>
          <w:rFonts w:ascii="Times New Roman" w:hAnsi="Times New Roman"/>
        </w:rPr>
      </w:pPr>
      <w:r w:rsidRPr="0054335A">
        <w:rPr>
          <w:rFonts w:ascii="Times New Roman" w:hAnsi="Times New Roman"/>
        </w:rPr>
        <w:tab/>
        <w:t>Nessa seção, será feita a análise descritiva dos dados, caracterizando a indústria de transformação para todo o Brasil, de acordo com a distribuição por gênero, nível educacional, tamanho da firma e sua intensidade de tecnológica.</w:t>
      </w:r>
    </w:p>
    <w:p w:rsidR="0073033C" w:rsidRPr="0054335A" w:rsidRDefault="0073033C" w:rsidP="005D3BD3">
      <w:pPr>
        <w:spacing w:after="0" w:line="240" w:lineRule="auto"/>
        <w:jc w:val="both"/>
        <w:rPr>
          <w:rFonts w:ascii="Times New Roman" w:hAnsi="Times New Roman"/>
        </w:rPr>
      </w:pPr>
      <w:r w:rsidRPr="0054335A">
        <w:rPr>
          <w:rFonts w:ascii="Times New Roman" w:hAnsi="Times New Roman"/>
        </w:rPr>
        <w:t xml:space="preserve"> </w:t>
      </w:r>
    </w:p>
    <w:p w:rsidR="0073033C" w:rsidRPr="0054335A" w:rsidRDefault="0073033C" w:rsidP="005D3BD3">
      <w:pPr>
        <w:pStyle w:val="Ttulo2"/>
        <w:spacing w:before="0" w:after="0"/>
        <w:rPr>
          <w:rFonts w:ascii="Times New Roman" w:hAnsi="Times New Roman" w:cs="Times New Roman"/>
          <w:i w:val="0"/>
          <w:caps/>
          <w:sz w:val="24"/>
          <w:szCs w:val="24"/>
        </w:rPr>
      </w:pPr>
      <w:r w:rsidRPr="0054335A">
        <w:rPr>
          <w:rFonts w:ascii="Times New Roman" w:hAnsi="Times New Roman" w:cs="Times New Roman"/>
          <w:i w:val="0"/>
          <w:caps/>
          <w:sz w:val="24"/>
          <w:szCs w:val="24"/>
        </w:rPr>
        <w:lastRenderedPageBreak/>
        <w:t>4.</w:t>
      </w:r>
      <w:r w:rsidRPr="0054335A">
        <w:rPr>
          <w:rFonts w:ascii="Times New Roman" w:hAnsi="Times New Roman" w:cs="Times New Roman"/>
          <w:i w:val="0"/>
          <w:sz w:val="24"/>
          <w:szCs w:val="24"/>
        </w:rPr>
        <w:t xml:space="preserve">1 </w:t>
      </w:r>
      <w:r w:rsidRPr="0054335A">
        <w:rPr>
          <w:rFonts w:ascii="Times New Roman" w:hAnsi="Times New Roman" w:cs="Times New Roman"/>
          <w:bCs w:val="0"/>
          <w:i w:val="0"/>
          <w:iCs w:val="0"/>
          <w:sz w:val="24"/>
          <w:szCs w:val="24"/>
        </w:rPr>
        <w:t>Características da mudança vínculo empregatício</w:t>
      </w:r>
      <w:r w:rsidRPr="0054335A" w:rsidDel="009D1739">
        <w:rPr>
          <w:rFonts w:ascii="Times New Roman" w:hAnsi="Times New Roman" w:cs="Times New Roman"/>
          <w:i w:val="0"/>
          <w:caps/>
          <w:sz w:val="24"/>
          <w:szCs w:val="24"/>
        </w:rPr>
        <w:t xml:space="preserve"> </w:t>
      </w:r>
    </w:p>
    <w:p w:rsidR="0073033C" w:rsidRPr="0054335A" w:rsidRDefault="0073033C" w:rsidP="005D3BD3">
      <w:pPr>
        <w:pStyle w:val="CorpoDissertao"/>
        <w:spacing w:after="0" w:line="240" w:lineRule="auto"/>
        <w:ind w:firstLine="709"/>
        <w:rPr>
          <w:rFonts w:ascii="Times New Roman" w:hAnsi="Times New Roman"/>
        </w:rPr>
      </w:pPr>
      <w:r w:rsidRPr="0054335A">
        <w:rPr>
          <w:rFonts w:ascii="Times New Roman" w:hAnsi="Times New Roman"/>
        </w:rPr>
        <w:t>A Tabela 2, que descreve a variável dependente “</w:t>
      </w:r>
      <w:proofErr w:type="spellStart"/>
      <w:r w:rsidRPr="0054335A">
        <w:rPr>
          <w:rFonts w:ascii="Times New Roman" w:hAnsi="Times New Roman"/>
          <w:i/>
        </w:rPr>
        <w:t>job-change</w:t>
      </w:r>
      <w:proofErr w:type="spellEnd"/>
      <w:r w:rsidRPr="0054335A">
        <w:rPr>
          <w:rFonts w:ascii="Times New Roman" w:hAnsi="Times New Roman"/>
          <w:i/>
        </w:rPr>
        <w:t>”</w:t>
      </w:r>
      <w:r w:rsidRPr="0054335A">
        <w:rPr>
          <w:rFonts w:ascii="Times New Roman" w:hAnsi="Times New Roman"/>
        </w:rPr>
        <w:t>, revela a mudança de emprego de acordo com o gênero, para os nove níveis educacionais considerados no estudo</w:t>
      </w:r>
      <w:r>
        <w:rPr>
          <w:rFonts w:ascii="Times New Roman" w:hAnsi="Times New Roman"/>
        </w:rPr>
        <w:t xml:space="preserve">. </w:t>
      </w:r>
      <w:r w:rsidRPr="0054335A">
        <w:rPr>
          <w:rFonts w:ascii="Times New Roman" w:hAnsi="Times New Roman"/>
        </w:rPr>
        <w:t>É importante notar a diferenciação do gênero na determinação da mudança de emprego. A observação da mudança de emprego é maior para homens do que para mulheres,</w:t>
      </w:r>
      <w:r>
        <w:rPr>
          <w:rFonts w:ascii="Times New Roman" w:hAnsi="Times New Roman"/>
        </w:rPr>
        <w:t xml:space="preserve"> o que se mostra</w:t>
      </w:r>
      <w:r w:rsidRPr="0054335A">
        <w:rPr>
          <w:rFonts w:ascii="Times New Roman" w:hAnsi="Times New Roman"/>
        </w:rPr>
        <w:t xml:space="preserve"> de acordo com a literatura sobre mobilidade de trabalhadores (</w:t>
      </w:r>
      <w:r w:rsidRPr="0054335A">
        <w:rPr>
          <w:rFonts w:ascii="Times New Roman" w:hAnsi="Times New Roman"/>
          <w:caps/>
        </w:rPr>
        <w:t>Pekkala</w:t>
      </w:r>
      <w:r w:rsidRPr="0054335A">
        <w:rPr>
          <w:rFonts w:ascii="Times New Roman" w:hAnsi="Times New Roman"/>
        </w:rPr>
        <w:t xml:space="preserve">, 2003; </w:t>
      </w:r>
      <w:r w:rsidRPr="0054335A">
        <w:rPr>
          <w:rFonts w:ascii="Times New Roman" w:hAnsi="Times New Roman"/>
          <w:caps/>
        </w:rPr>
        <w:t>Kulu</w:t>
      </w:r>
      <w:r w:rsidRPr="0054335A">
        <w:rPr>
          <w:rFonts w:ascii="Times New Roman" w:hAnsi="Times New Roman"/>
        </w:rPr>
        <w:t xml:space="preserve"> e </w:t>
      </w:r>
      <w:r w:rsidRPr="0054335A">
        <w:rPr>
          <w:rFonts w:ascii="Times New Roman" w:hAnsi="Times New Roman"/>
          <w:caps/>
        </w:rPr>
        <w:t>Billari</w:t>
      </w:r>
      <w:r w:rsidRPr="0054335A">
        <w:rPr>
          <w:rFonts w:ascii="Times New Roman" w:hAnsi="Times New Roman"/>
        </w:rPr>
        <w:t xml:space="preserve">, 2004). </w:t>
      </w:r>
    </w:p>
    <w:p w:rsidR="0073033C" w:rsidRDefault="0073033C" w:rsidP="005D3BD3">
      <w:pPr>
        <w:pStyle w:val="CorpoDissertao"/>
        <w:spacing w:after="0" w:line="240" w:lineRule="auto"/>
        <w:ind w:firstLine="709"/>
        <w:rPr>
          <w:rFonts w:ascii="Times New Roman" w:hAnsi="Times New Roman"/>
        </w:rPr>
      </w:pPr>
      <w:r w:rsidRPr="0054335A">
        <w:rPr>
          <w:rFonts w:ascii="Times New Roman" w:hAnsi="Times New Roman"/>
        </w:rPr>
        <w:t>Outro ponto que merece destaque é o aumento da manifestação de mudança</w:t>
      </w:r>
      <w:r>
        <w:rPr>
          <w:rFonts w:ascii="Times New Roman" w:hAnsi="Times New Roman"/>
        </w:rPr>
        <w:t xml:space="preserve"> de vínculo à medida que aumenta </w:t>
      </w:r>
      <w:r w:rsidRPr="0054335A">
        <w:rPr>
          <w:rFonts w:ascii="Times New Roman" w:hAnsi="Times New Roman"/>
        </w:rPr>
        <w:t>o nível educacional</w:t>
      </w:r>
      <w:r>
        <w:rPr>
          <w:rFonts w:ascii="Times New Roman" w:hAnsi="Times New Roman"/>
        </w:rPr>
        <w:t xml:space="preserve"> do trabalhador</w:t>
      </w:r>
      <w:r w:rsidRPr="0054335A">
        <w:rPr>
          <w:rFonts w:ascii="Times New Roman" w:hAnsi="Times New Roman"/>
        </w:rPr>
        <w:t xml:space="preserve">, o que também </w:t>
      </w:r>
      <w:r>
        <w:rPr>
          <w:rFonts w:ascii="Times New Roman" w:hAnsi="Times New Roman"/>
        </w:rPr>
        <w:t>está</w:t>
      </w:r>
      <w:r w:rsidRPr="0054335A">
        <w:rPr>
          <w:rFonts w:ascii="Times New Roman" w:hAnsi="Times New Roman"/>
        </w:rPr>
        <w:t xml:space="preserve"> </w:t>
      </w:r>
      <w:r>
        <w:rPr>
          <w:rFonts w:ascii="Times New Roman" w:hAnsi="Times New Roman"/>
        </w:rPr>
        <w:t xml:space="preserve">de acordo com </w:t>
      </w:r>
      <w:r w:rsidRPr="0054335A">
        <w:rPr>
          <w:rFonts w:ascii="Times New Roman" w:hAnsi="Times New Roman"/>
        </w:rPr>
        <w:t xml:space="preserve">a literatura. Baixos níveis educacionais não permitem que os trabalhadores busquem melhores oportunidades, ao contrário dos mais qualificados, que apresentam taxas de mobilidade maiores.  </w:t>
      </w:r>
    </w:p>
    <w:p w:rsidR="009F65BD" w:rsidRDefault="009F65BD" w:rsidP="005D3BD3">
      <w:pPr>
        <w:pStyle w:val="Tabela"/>
        <w:rPr>
          <w:b w:val="0"/>
          <w:sz w:val="24"/>
          <w:szCs w:val="24"/>
        </w:rPr>
      </w:pPr>
    </w:p>
    <w:p w:rsidR="0073033C" w:rsidRPr="005D3BD3" w:rsidRDefault="0073033C" w:rsidP="005D3BD3">
      <w:pPr>
        <w:pStyle w:val="Tabela"/>
        <w:rPr>
          <w:b w:val="0"/>
          <w:sz w:val="24"/>
          <w:szCs w:val="24"/>
        </w:rPr>
      </w:pPr>
      <w:r w:rsidRPr="00515331">
        <w:rPr>
          <w:b w:val="0"/>
          <w:sz w:val="24"/>
          <w:szCs w:val="24"/>
        </w:rPr>
        <w:t>Tabela 2:</w:t>
      </w:r>
      <w:r w:rsidRPr="005D3BD3">
        <w:rPr>
          <w:b w:val="0"/>
          <w:sz w:val="24"/>
          <w:szCs w:val="24"/>
        </w:rPr>
        <w:t xml:space="preserve"> Percentual de mobilidade </w:t>
      </w:r>
      <w:proofErr w:type="spellStart"/>
      <w:r w:rsidRPr="005D3BD3">
        <w:rPr>
          <w:b w:val="0"/>
          <w:sz w:val="24"/>
          <w:szCs w:val="24"/>
        </w:rPr>
        <w:t>interfirma</w:t>
      </w:r>
      <w:proofErr w:type="spellEnd"/>
      <w:r w:rsidRPr="005D3BD3">
        <w:rPr>
          <w:b w:val="0"/>
          <w:sz w:val="24"/>
          <w:szCs w:val="24"/>
        </w:rPr>
        <w:t xml:space="preserve"> por grau de instrução e gênero (em %).</w:t>
      </w:r>
    </w:p>
    <w:p w:rsidR="0073033C" w:rsidRPr="005D3BD3" w:rsidRDefault="001C49E3" w:rsidP="0073033C">
      <w:pPr>
        <w:pStyle w:val="Tabela"/>
        <w:spacing w:line="360" w:lineRule="auto"/>
        <w:rPr>
          <w:b w:val="0"/>
          <w:sz w:val="24"/>
          <w:szCs w:val="24"/>
        </w:rPr>
      </w:pPr>
      <w:r w:rsidRPr="005D3BD3">
        <w:rPr>
          <w:b w:val="0"/>
          <w:sz w:val="24"/>
          <w:szCs w:val="24"/>
        </w:rPr>
        <w:object w:dxaOrig="10215" w:dyaOrig="4425">
          <v:shape id="_x0000_i1043" type="#_x0000_t75" style="width:485pt;height:210.25pt" o:ole="">
            <v:imagedata r:id="rId16" o:title=""/>
          </v:shape>
          <o:OLEObject Type="Embed" ProgID="Excel.Sheet.12" ShapeID="_x0000_i1043" DrawAspect="Content" ObjectID="_1372512522" r:id="rId17"/>
        </w:object>
      </w:r>
    </w:p>
    <w:p w:rsidR="0073033C" w:rsidRPr="0054335A" w:rsidRDefault="0073033C" w:rsidP="00C40284">
      <w:pPr>
        <w:pStyle w:val="CorpoDissertao"/>
        <w:spacing w:after="0" w:line="240" w:lineRule="auto"/>
        <w:ind w:firstLine="709"/>
        <w:rPr>
          <w:rFonts w:ascii="Times New Roman" w:hAnsi="Times New Roman"/>
        </w:rPr>
      </w:pPr>
      <w:r w:rsidRPr="0054335A">
        <w:rPr>
          <w:rFonts w:ascii="Times New Roman" w:hAnsi="Times New Roman"/>
        </w:rPr>
        <w:t xml:space="preserve">Outra importante </w:t>
      </w:r>
      <w:r>
        <w:rPr>
          <w:rFonts w:ascii="Times New Roman" w:hAnsi="Times New Roman"/>
        </w:rPr>
        <w:t xml:space="preserve">informação </w:t>
      </w:r>
      <w:r w:rsidRPr="0054335A">
        <w:rPr>
          <w:rFonts w:ascii="Times New Roman" w:hAnsi="Times New Roman"/>
        </w:rPr>
        <w:t>está relacionada à distribuição da variável “</w:t>
      </w:r>
      <w:proofErr w:type="spellStart"/>
      <w:r w:rsidRPr="0054335A">
        <w:rPr>
          <w:rFonts w:ascii="Times New Roman" w:hAnsi="Times New Roman"/>
          <w:i/>
        </w:rPr>
        <w:t>job-change</w:t>
      </w:r>
      <w:proofErr w:type="spellEnd"/>
      <w:r w:rsidRPr="0054335A">
        <w:rPr>
          <w:rFonts w:ascii="Times New Roman" w:hAnsi="Times New Roman"/>
          <w:i/>
        </w:rPr>
        <w:t>”</w:t>
      </w:r>
      <w:r w:rsidRPr="0054335A">
        <w:rPr>
          <w:rFonts w:ascii="Times New Roman" w:hAnsi="Times New Roman"/>
        </w:rPr>
        <w:t xml:space="preserve"> dentro da indústria de transformação, com a distinção </w:t>
      </w:r>
      <w:r>
        <w:rPr>
          <w:rFonts w:ascii="Times New Roman" w:hAnsi="Times New Roman"/>
        </w:rPr>
        <w:t xml:space="preserve">por </w:t>
      </w:r>
      <w:r w:rsidRPr="0054335A">
        <w:rPr>
          <w:rFonts w:ascii="Times New Roman" w:hAnsi="Times New Roman"/>
        </w:rPr>
        <w:t>tamanho da empresa e nível de intensidade tecnológica, como se pode observar na Tabela</w:t>
      </w:r>
      <w:r>
        <w:rPr>
          <w:rFonts w:ascii="Times New Roman" w:hAnsi="Times New Roman"/>
        </w:rPr>
        <w:t xml:space="preserve"> 3</w:t>
      </w:r>
      <w:r w:rsidRPr="0054335A">
        <w:rPr>
          <w:rFonts w:ascii="Times New Roman" w:hAnsi="Times New Roman"/>
        </w:rPr>
        <w:t>.</w:t>
      </w:r>
    </w:p>
    <w:p w:rsidR="0073033C" w:rsidRDefault="0073033C" w:rsidP="00C40284">
      <w:pPr>
        <w:pStyle w:val="CorpoDissertao"/>
        <w:spacing w:after="0" w:line="240" w:lineRule="auto"/>
        <w:ind w:firstLine="709"/>
        <w:rPr>
          <w:rFonts w:ascii="Times New Roman" w:hAnsi="Times New Roman"/>
        </w:rPr>
      </w:pPr>
      <w:r w:rsidRPr="0054335A">
        <w:rPr>
          <w:rFonts w:ascii="Times New Roman" w:hAnsi="Times New Roman"/>
        </w:rPr>
        <w:t xml:space="preserve">Nota-se que o índice de mudança de emprego é maior para firmas consideradas </w:t>
      </w:r>
      <w:r>
        <w:rPr>
          <w:rFonts w:ascii="Times New Roman" w:hAnsi="Times New Roman"/>
        </w:rPr>
        <w:t>médias</w:t>
      </w:r>
      <w:r w:rsidRPr="0054335A">
        <w:rPr>
          <w:rFonts w:ascii="Times New Roman" w:hAnsi="Times New Roman"/>
        </w:rPr>
        <w:t>,</w:t>
      </w:r>
      <w:r>
        <w:rPr>
          <w:rFonts w:ascii="Times New Roman" w:hAnsi="Times New Roman"/>
        </w:rPr>
        <w:t xml:space="preserve"> seguido pelas grandes empresas, com as pequenas tendo a menor taxa de mobilidade.</w:t>
      </w:r>
      <w:r w:rsidRPr="0054335A">
        <w:rPr>
          <w:rFonts w:ascii="Times New Roman" w:hAnsi="Times New Roman"/>
        </w:rPr>
        <w:t xml:space="preserve"> Como a construção da base de dados foi feita com a variável “</w:t>
      </w:r>
      <w:proofErr w:type="spellStart"/>
      <w:r w:rsidRPr="0054335A">
        <w:rPr>
          <w:rFonts w:ascii="Times New Roman" w:hAnsi="Times New Roman"/>
          <w:i/>
        </w:rPr>
        <w:t>job-change</w:t>
      </w:r>
      <w:proofErr w:type="spellEnd"/>
      <w:r w:rsidRPr="0054335A">
        <w:rPr>
          <w:rFonts w:ascii="Times New Roman" w:hAnsi="Times New Roman"/>
          <w:i/>
        </w:rPr>
        <w:t>”</w:t>
      </w:r>
      <w:r w:rsidRPr="0054335A">
        <w:rPr>
          <w:rFonts w:ascii="Times New Roman" w:hAnsi="Times New Roman"/>
        </w:rPr>
        <w:t xml:space="preserve"> assumindo valores no destino, e não na origem, isso demonstra que os </w:t>
      </w:r>
      <w:r w:rsidRPr="00262395">
        <w:rPr>
          <w:rFonts w:ascii="Times New Roman" w:hAnsi="Times New Roman"/>
        </w:rPr>
        <w:t xml:space="preserve">movimentos tendem a ser maiores quando no destino estão empresas maiores (acima de 100 empregados). De uma forma geral, a mobilidade também tende a ser maior quando o trabalhador do gênero masculino se destina a uma firma de setores considerados de </w:t>
      </w:r>
      <w:proofErr w:type="spellStart"/>
      <w:r w:rsidRPr="00262395">
        <w:rPr>
          <w:rFonts w:ascii="Times New Roman" w:hAnsi="Times New Roman"/>
        </w:rPr>
        <w:t>média-alta</w:t>
      </w:r>
      <w:proofErr w:type="spellEnd"/>
      <w:r w:rsidRPr="00262395">
        <w:rPr>
          <w:rFonts w:ascii="Times New Roman" w:hAnsi="Times New Roman"/>
        </w:rPr>
        <w:t xml:space="preserve"> intensidade tecnológica no caso de firmas pequenas e médias. Tendência diferente se constata para os trabalhadores do gênero feminino, pois há predominância de destinos para firmas de setores de baixa e </w:t>
      </w:r>
      <w:proofErr w:type="spellStart"/>
      <w:r w:rsidRPr="00262395">
        <w:rPr>
          <w:rFonts w:ascii="Times New Roman" w:hAnsi="Times New Roman"/>
        </w:rPr>
        <w:t>média-baixa</w:t>
      </w:r>
      <w:proofErr w:type="spellEnd"/>
      <w:r w:rsidRPr="00262395">
        <w:rPr>
          <w:rFonts w:ascii="Times New Roman" w:hAnsi="Times New Roman"/>
        </w:rPr>
        <w:t xml:space="preserve"> tecnologia. No caso das firmas grandes, não há diferença</w:t>
      </w:r>
      <w:r>
        <w:rPr>
          <w:rFonts w:ascii="Times New Roman" w:hAnsi="Times New Roman"/>
        </w:rPr>
        <w:t xml:space="preserve"> de gênero, pois os trabalhadores tendem a se destinar em sua maioria para firmas de setores de alta intensidade tecnológica. </w:t>
      </w:r>
      <w:r w:rsidRPr="0054335A">
        <w:rPr>
          <w:rFonts w:ascii="Times New Roman" w:hAnsi="Times New Roman"/>
        </w:rPr>
        <w:t xml:space="preserve"> </w:t>
      </w:r>
    </w:p>
    <w:p w:rsidR="00892271" w:rsidRDefault="00892271" w:rsidP="0073033C">
      <w:pPr>
        <w:pStyle w:val="Tabela"/>
        <w:spacing w:line="360" w:lineRule="auto"/>
        <w:rPr>
          <w:b w:val="0"/>
          <w:sz w:val="24"/>
          <w:szCs w:val="24"/>
        </w:rPr>
      </w:pPr>
    </w:p>
    <w:p w:rsidR="00892271" w:rsidRDefault="00892271" w:rsidP="0073033C">
      <w:pPr>
        <w:pStyle w:val="Tabela"/>
        <w:spacing w:line="360" w:lineRule="auto"/>
        <w:rPr>
          <w:b w:val="0"/>
          <w:sz w:val="24"/>
          <w:szCs w:val="24"/>
        </w:rPr>
      </w:pPr>
    </w:p>
    <w:p w:rsidR="00892271" w:rsidRDefault="00892271" w:rsidP="0073033C">
      <w:pPr>
        <w:pStyle w:val="Tabela"/>
        <w:spacing w:line="360" w:lineRule="auto"/>
        <w:rPr>
          <w:b w:val="0"/>
          <w:sz w:val="24"/>
          <w:szCs w:val="24"/>
        </w:rPr>
      </w:pPr>
    </w:p>
    <w:p w:rsidR="00892271" w:rsidRDefault="00892271" w:rsidP="0073033C">
      <w:pPr>
        <w:pStyle w:val="Tabela"/>
        <w:spacing w:line="360" w:lineRule="auto"/>
        <w:rPr>
          <w:b w:val="0"/>
          <w:sz w:val="24"/>
          <w:szCs w:val="24"/>
        </w:rPr>
      </w:pPr>
    </w:p>
    <w:p w:rsidR="00892271" w:rsidRDefault="00892271" w:rsidP="0073033C">
      <w:pPr>
        <w:pStyle w:val="Tabela"/>
        <w:spacing w:line="360" w:lineRule="auto"/>
        <w:rPr>
          <w:b w:val="0"/>
          <w:sz w:val="24"/>
          <w:szCs w:val="24"/>
        </w:rPr>
      </w:pPr>
    </w:p>
    <w:p w:rsidR="0073033C" w:rsidRPr="009F65BD" w:rsidRDefault="0073033C" w:rsidP="0073033C">
      <w:pPr>
        <w:pStyle w:val="Tabela"/>
        <w:spacing w:line="360" w:lineRule="auto"/>
        <w:rPr>
          <w:b w:val="0"/>
          <w:sz w:val="24"/>
          <w:szCs w:val="24"/>
        </w:rPr>
      </w:pPr>
      <w:r w:rsidRPr="009F65BD">
        <w:rPr>
          <w:b w:val="0"/>
          <w:sz w:val="24"/>
          <w:szCs w:val="24"/>
        </w:rPr>
        <w:lastRenderedPageBreak/>
        <w:t>Tabela 3: Distribuição de “</w:t>
      </w:r>
      <w:proofErr w:type="spellStart"/>
      <w:r w:rsidRPr="009F65BD">
        <w:rPr>
          <w:b w:val="0"/>
          <w:i/>
          <w:iCs/>
          <w:sz w:val="24"/>
          <w:szCs w:val="24"/>
        </w:rPr>
        <w:t>job-change</w:t>
      </w:r>
      <w:proofErr w:type="spellEnd"/>
      <w:r w:rsidRPr="009F65BD">
        <w:rPr>
          <w:b w:val="0"/>
          <w:i/>
          <w:iCs/>
          <w:sz w:val="24"/>
          <w:szCs w:val="24"/>
        </w:rPr>
        <w:t>”</w:t>
      </w:r>
      <w:r w:rsidRPr="009F65BD">
        <w:rPr>
          <w:b w:val="0"/>
          <w:sz w:val="24"/>
          <w:szCs w:val="24"/>
        </w:rPr>
        <w:t xml:space="preserve"> por tamanho da firma e intensidade tecnológica (em %).</w:t>
      </w:r>
    </w:p>
    <w:p w:rsidR="0073033C" w:rsidRPr="009F65BD" w:rsidRDefault="001C49E3" w:rsidP="009F65BD">
      <w:pPr>
        <w:pStyle w:val="Tabela"/>
        <w:spacing w:line="360" w:lineRule="auto"/>
        <w:rPr>
          <w:b w:val="0"/>
        </w:rPr>
      </w:pPr>
      <w:r w:rsidRPr="00963EC3">
        <w:rPr>
          <w:b w:val="0"/>
        </w:rPr>
        <w:object w:dxaOrig="13183" w:dyaOrig="3976">
          <v:shape id="_x0000_i1047" type="#_x0000_t75" style="width:455.05pt;height:137.1pt" o:ole="">
            <v:imagedata r:id="rId18" o:title=""/>
          </v:shape>
          <o:OLEObject Type="Embed" ProgID="Excel.Sheet.12" ShapeID="_x0000_i1047" DrawAspect="Content" ObjectID="_1372512523" r:id="rId19"/>
        </w:object>
      </w:r>
    </w:p>
    <w:p w:rsidR="00EA019C" w:rsidRDefault="00EA019C" w:rsidP="005D3BD3">
      <w:pPr>
        <w:pStyle w:val="Ttulo1"/>
        <w:spacing w:before="0" w:after="0"/>
        <w:rPr>
          <w:rFonts w:ascii="Times New Roman" w:hAnsi="Times New Roman" w:cs="Times New Roman"/>
          <w:sz w:val="24"/>
        </w:rPr>
      </w:pPr>
    </w:p>
    <w:p w:rsidR="0073033C" w:rsidRPr="00E71FC6" w:rsidRDefault="0073033C" w:rsidP="005D3BD3">
      <w:pPr>
        <w:pStyle w:val="Ttulo1"/>
        <w:spacing w:before="0" w:after="0"/>
        <w:rPr>
          <w:rFonts w:ascii="Times New Roman" w:hAnsi="Times New Roman" w:cs="Times New Roman"/>
          <w:sz w:val="24"/>
        </w:rPr>
      </w:pPr>
      <w:r w:rsidRPr="00E71FC6">
        <w:rPr>
          <w:rFonts w:ascii="Times New Roman" w:hAnsi="Times New Roman" w:cs="Times New Roman"/>
          <w:sz w:val="24"/>
        </w:rPr>
        <w:t>5. A</w:t>
      </w:r>
      <w:r>
        <w:rPr>
          <w:rFonts w:ascii="Times New Roman" w:hAnsi="Times New Roman" w:cs="Times New Roman"/>
          <w:sz w:val="24"/>
        </w:rPr>
        <w:t>nálise dos resultados</w:t>
      </w:r>
      <w:r w:rsidRPr="00E71FC6">
        <w:rPr>
          <w:rFonts w:ascii="Times New Roman" w:hAnsi="Times New Roman" w:cs="Times New Roman"/>
          <w:sz w:val="24"/>
        </w:rPr>
        <w:t xml:space="preserve"> </w:t>
      </w:r>
    </w:p>
    <w:p w:rsidR="00893812" w:rsidRPr="00893812" w:rsidRDefault="00893812" w:rsidP="00893812">
      <w:pPr>
        <w:pStyle w:val="SemEspaamento"/>
        <w:jc w:val="both"/>
        <w:rPr>
          <w:rFonts w:ascii="Times New Roman" w:hAnsi="Times New Roman"/>
        </w:rPr>
      </w:pPr>
      <w:r>
        <w:rPr>
          <w:rFonts w:ascii="Times New Roman" w:hAnsi="Times New Roman"/>
        </w:rPr>
        <w:tab/>
      </w:r>
      <w:r w:rsidR="0073033C" w:rsidRPr="00893812">
        <w:rPr>
          <w:rFonts w:ascii="Times New Roman" w:hAnsi="Times New Roman"/>
        </w:rPr>
        <w:t xml:space="preserve">A Tabela 4 apresenta as estimativas dos determinantes da mobilidade dos trabalhadores, a partir do modelo de regressão </w:t>
      </w:r>
      <w:proofErr w:type="spellStart"/>
      <w:r w:rsidR="0073033C" w:rsidRPr="00893812">
        <w:rPr>
          <w:rFonts w:ascii="Times New Roman" w:hAnsi="Times New Roman"/>
        </w:rPr>
        <w:t>logit</w:t>
      </w:r>
      <w:proofErr w:type="spellEnd"/>
      <w:r w:rsidR="0073033C" w:rsidRPr="00893812">
        <w:rPr>
          <w:rFonts w:ascii="Times New Roman" w:hAnsi="Times New Roman"/>
        </w:rPr>
        <w:t xml:space="preserve">. A variável dependente binária tem como categoria de referência os trabalhadores que se mantiveram no mesmo emprego, ou seja, a variável </w:t>
      </w:r>
      <w:r w:rsidR="0073033C" w:rsidRPr="00893812">
        <w:rPr>
          <w:rFonts w:ascii="Times New Roman" w:hAnsi="Times New Roman"/>
          <w:i/>
        </w:rPr>
        <w:t>“</w:t>
      </w:r>
      <w:proofErr w:type="spellStart"/>
      <w:r w:rsidR="0073033C" w:rsidRPr="00893812">
        <w:rPr>
          <w:rFonts w:ascii="Times New Roman" w:hAnsi="Times New Roman"/>
          <w:i/>
        </w:rPr>
        <w:t>job-change</w:t>
      </w:r>
      <w:proofErr w:type="spellEnd"/>
      <w:r w:rsidR="0073033C" w:rsidRPr="00893812">
        <w:rPr>
          <w:rFonts w:ascii="Times New Roman" w:hAnsi="Times New Roman"/>
          <w:i/>
        </w:rPr>
        <w:t>”</w:t>
      </w:r>
      <w:r w:rsidR="0073033C" w:rsidRPr="00893812">
        <w:rPr>
          <w:rFonts w:ascii="Times New Roman" w:hAnsi="Times New Roman"/>
        </w:rPr>
        <w:t xml:space="preserve"> assume o valor “0”, nesse caso, e assume valor “1” quando o trabalhador muda de vínculo empregatício ao longo do período 1996-2002. A primeira coluna de resultados contém os coeficientes do modelo de regressão </w:t>
      </w:r>
      <w:proofErr w:type="spellStart"/>
      <w:r w:rsidR="0073033C" w:rsidRPr="00893812">
        <w:rPr>
          <w:rFonts w:ascii="Times New Roman" w:hAnsi="Times New Roman"/>
        </w:rPr>
        <w:t>logit</w:t>
      </w:r>
      <w:proofErr w:type="spellEnd"/>
      <w:r w:rsidR="0073033C" w:rsidRPr="00893812">
        <w:rPr>
          <w:rFonts w:ascii="Times New Roman" w:hAnsi="Times New Roman"/>
        </w:rPr>
        <w:t>, enquanto que a segunda coluna contém a razão de chance.</w:t>
      </w:r>
      <w:r w:rsidR="00C93ADC" w:rsidRPr="00893812">
        <w:rPr>
          <w:rStyle w:val="Refdenotaderodap"/>
          <w:rFonts w:ascii="Times New Roman" w:hAnsi="Times New Roman"/>
        </w:rPr>
        <w:footnoteReference w:id="6"/>
      </w:r>
    </w:p>
    <w:p w:rsidR="00893812" w:rsidRPr="00893812" w:rsidRDefault="00893812" w:rsidP="00893812">
      <w:pPr>
        <w:pStyle w:val="SemEspaamento"/>
        <w:jc w:val="both"/>
        <w:rPr>
          <w:rFonts w:ascii="Times New Roman" w:hAnsi="Times New Roman"/>
        </w:rPr>
      </w:pPr>
      <w:r>
        <w:rPr>
          <w:rFonts w:ascii="Times New Roman" w:hAnsi="Times New Roman"/>
        </w:rPr>
        <w:tab/>
      </w:r>
      <w:r w:rsidRPr="00893812">
        <w:rPr>
          <w:rFonts w:ascii="Times New Roman" w:hAnsi="Times New Roman"/>
        </w:rPr>
        <w:t>Em linhas gerais, os principais resultados obtidos na Tabela 4 evidenciam a importância da experiência no emprego anterior e do tempo de permanência no emprego após a mudança de firma. Por outro lado, esperava-se um sinal positivo da variável salarial, uma vez que a teoria econômica considera a expectativa de ganho futuro como um fator determinante da mobilidade. Entretanto, o sinal encontrado na variável acima indica que a propensão à mobilidade é negativamente afetada pela expectativa salarial. Esta inconsistência pode estar relacionada à omissão de variáveis explicativas que estariam associadas à motivação do indivíduo, como características pessoais não observáveis.</w:t>
      </w:r>
    </w:p>
    <w:p w:rsidR="00893812" w:rsidRPr="00893812" w:rsidRDefault="00893812" w:rsidP="00893812">
      <w:pPr>
        <w:pStyle w:val="SemEspaamento"/>
        <w:jc w:val="both"/>
        <w:rPr>
          <w:rFonts w:ascii="Times New Roman" w:hAnsi="Times New Roman"/>
        </w:rPr>
      </w:pPr>
      <w:r>
        <w:rPr>
          <w:rFonts w:ascii="Times New Roman" w:hAnsi="Times New Roman"/>
        </w:rPr>
        <w:tab/>
      </w:r>
      <w:r w:rsidRPr="00893812">
        <w:rPr>
          <w:rFonts w:ascii="Times New Roman" w:hAnsi="Times New Roman"/>
        </w:rPr>
        <w:t xml:space="preserve">Um importante fator adicional a ser considerado na mobilidade </w:t>
      </w:r>
      <w:proofErr w:type="spellStart"/>
      <w:r w:rsidRPr="00893812">
        <w:rPr>
          <w:rFonts w:ascii="Times New Roman" w:hAnsi="Times New Roman"/>
        </w:rPr>
        <w:t>interfirma</w:t>
      </w:r>
      <w:proofErr w:type="spellEnd"/>
      <w:r w:rsidRPr="00893812">
        <w:rPr>
          <w:rFonts w:ascii="Times New Roman" w:hAnsi="Times New Roman"/>
        </w:rPr>
        <w:t xml:space="preserve"> é o tempo de permanência do trabalhador no emprego após a mudança de empresa. O número de anos na mesma firma após a mudança de vínculo eleva em 20% a propensão à mobilidade. Como o esperado seria uma relação negativa entre indivíduos com maior estabilidade no novo emprego e probabilidade de mudança, este último resultado pode estar refletindo o mesmo viés apresentado para a variável salarial. </w:t>
      </w:r>
    </w:p>
    <w:p w:rsidR="00893812" w:rsidRDefault="00893812" w:rsidP="00893812">
      <w:pPr>
        <w:pStyle w:val="CorpoDissertao"/>
        <w:spacing w:after="0" w:line="240" w:lineRule="auto"/>
        <w:ind w:firstLine="709"/>
        <w:rPr>
          <w:rFonts w:ascii="Times New Roman" w:hAnsi="Times New Roman"/>
        </w:rPr>
      </w:pPr>
      <w:r>
        <w:rPr>
          <w:rFonts w:ascii="Times New Roman" w:hAnsi="Times New Roman"/>
        </w:rPr>
        <w:t xml:space="preserve">Por outro lado, a </w:t>
      </w:r>
      <w:r w:rsidRPr="00024FFF">
        <w:rPr>
          <w:rFonts w:ascii="Times New Roman" w:hAnsi="Times New Roman"/>
        </w:rPr>
        <w:t>experiência</w:t>
      </w:r>
      <w:r>
        <w:rPr>
          <w:rFonts w:ascii="Times New Roman" w:hAnsi="Times New Roman"/>
        </w:rPr>
        <w:t xml:space="preserve"> do trabalhador, medida como número de meses no vínculo anterior, </w:t>
      </w:r>
      <w:r w:rsidRPr="00024FFF">
        <w:rPr>
          <w:rFonts w:ascii="Times New Roman" w:hAnsi="Times New Roman"/>
        </w:rPr>
        <w:t xml:space="preserve">tende a </w:t>
      </w:r>
      <w:r>
        <w:rPr>
          <w:rFonts w:ascii="Times New Roman" w:hAnsi="Times New Roman"/>
        </w:rPr>
        <w:t>diminuir</w:t>
      </w:r>
      <w:r w:rsidRPr="00024FFF">
        <w:rPr>
          <w:rFonts w:ascii="Times New Roman" w:hAnsi="Times New Roman"/>
        </w:rPr>
        <w:t xml:space="preserve"> a probabilidade da mobilidade do trabalhador</w:t>
      </w:r>
      <w:r>
        <w:rPr>
          <w:rFonts w:ascii="Times New Roman" w:hAnsi="Times New Roman"/>
        </w:rPr>
        <w:t xml:space="preserve">. No entanto, o coeficiente estimado é muito próximo de zero e a razão de chance é de apenas 0,6%. </w:t>
      </w:r>
    </w:p>
    <w:p w:rsidR="00EA019C" w:rsidRDefault="00EA019C" w:rsidP="00893812">
      <w:pPr>
        <w:spacing w:after="0" w:line="240" w:lineRule="auto"/>
        <w:ind w:firstLine="708"/>
        <w:jc w:val="both"/>
        <w:rPr>
          <w:rFonts w:ascii="Times New Roman" w:hAnsi="Times New Roman"/>
        </w:rPr>
      </w:pPr>
    </w:p>
    <w:p w:rsidR="00EA019C" w:rsidRDefault="00EA019C" w:rsidP="00893812">
      <w:pPr>
        <w:spacing w:after="0" w:line="240" w:lineRule="auto"/>
        <w:ind w:firstLine="708"/>
        <w:jc w:val="both"/>
        <w:rPr>
          <w:rFonts w:ascii="Times New Roman" w:hAnsi="Times New Roman"/>
        </w:rPr>
      </w:pPr>
    </w:p>
    <w:p w:rsidR="00EA019C" w:rsidRDefault="00EA019C" w:rsidP="00893812">
      <w:pPr>
        <w:spacing w:after="0" w:line="240" w:lineRule="auto"/>
        <w:ind w:firstLine="708"/>
        <w:jc w:val="both"/>
        <w:rPr>
          <w:rFonts w:ascii="Times New Roman" w:hAnsi="Times New Roman"/>
        </w:rPr>
      </w:pPr>
    </w:p>
    <w:p w:rsidR="00EA019C" w:rsidRDefault="00EA019C" w:rsidP="00893812">
      <w:pPr>
        <w:spacing w:after="0" w:line="240" w:lineRule="auto"/>
        <w:ind w:firstLine="708"/>
        <w:jc w:val="both"/>
        <w:rPr>
          <w:rFonts w:ascii="Times New Roman" w:hAnsi="Times New Roman"/>
        </w:rPr>
      </w:pPr>
    </w:p>
    <w:p w:rsidR="00893812" w:rsidRDefault="00893812" w:rsidP="00893812">
      <w:pPr>
        <w:spacing w:after="0" w:line="240" w:lineRule="auto"/>
        <w:ind w:firstLine="708"/>
        <w:jc w:val="both"/>
        <w:rPr>
          <w:rFonts w:ascii="Times New Roman" w:hAnsi="Times New Roman"/>
        </w:rPr>
      </w:pPr>
      <w:r>
        <w:rPr>
          <w:rFonts w:ascii="Times New Roman" w:hAnsi="Times New Roman"/>
        </w:rPr>
        <w:t xml:space="preserve"> </w:t>
      </w:r>
    </w:p>
    <w:p w:rsidR="00893812" w:rsidRDefault="00893812" w:rsidP="00893812">
      <w:pPr>
        <w:spacing w:after="0" w:line="240" w:lineRule="auto"/>
        <w:jc w:val="center"/>
        <w:rPr>
          <w:rFonts w:ascii="Times New Roman" w:hAnsi="Times New Roman"/>
        </w:rPr>
      </w:pPr>
      <w:r>
        <w:rPr>
          <w:rFonts w:ascii="Times New Roman" w:hAnsi="Times New Roman"/>
        </w:rPr>
        <w:lastRenderedPageBreak/>
        <w:t xml:space="preserve">Tabela 4: Condicionantes da mobilidade </w:t>
      </w:r>
      <w:proofErr w:type="spellStart"/>
      <w:r>
        <w:rPr>
          <w:rFonts w:ascii="Times New Roman" w:hAnsi="Times New Roman"/>
        </w:rPr>
        <w:t>interfirma</w:t>
      </w:r>
      <w:proofErr w:type="spellEnd"/>
      <w:r>
        <w:rPr>
          <w:rFonts w:ascii="Times New Roman" w:hAnsi="Times New Roman"/>
        </w:rPr>
        <w:t xml:space="preserve"> no Brasil – </w:t>
      </w:r>
    </w:p>
    <w:p w:rsidR="00893812" w:rsidRDefault="00893812" w:rsidP="00893812">
      <w:pPr>
        <w:spacing w:after="0" w:line="240" w:lineRule="auto"/>
        <w:jc w:val="center"/>
        <w:rPr>
          <w:rFonts w:ascii="Times New Roman" w:hAnsi="Times New Roman"/>
        </w:rPr>
      </w:pPr>
      <w:r>
        <w:rPr>
          <w:rFonts w:ascii="Times New Roman" w:hAnsi="Times New Roman"/>
        </w:rPr>
        <w:t xml:space="preserve">regressão </w:t>
      </w:r>
      <w:proofErr w:type="spellStart"/>
      <w:r>
        <w:rPr>
          <w:rFonts w:ascii="Times New Roman" w:hAnsi="Times New Roman"/>
        </w:rPr>
        <w:t>logit</w:t>
      </w:r>
      <w:proofErr w:type="spellEnd"/>
      <w:r>
        <w:rPr>
          <w:rFonts w:ascii="Times New Roman" w:hAnsi="Times New Roman"/>
        </w:rPr>
        <w:t xml:space="preserve"> (1996-2002)</w:t>
      </w:r>
    </w:p>
    <w:tbl>
      <w:tblPr>
        <w:tblW w:w="8862" w:type="dxa"/>
        <w:jc w:val="center"/>
        <w:tblInd w:w="58" w:type="dxa"/>
        <w:tblCellMar>
          <w:left w:w="70" w:type="dxa"/>
          <w:right w:w="70" w:type="dxa"/>
        </w:tblCellMar>
        <w:tblLook w:val="04A0"/>
      </w:tblPr>
      <w:tblGrid>
        <w:gridCol w:w="8862"/>
      </w:tblGrid>
      <w:tr w:rsidR="0073033C" w:rsidRPr="00DB14BD" w:rsidTr="00784327">
        <w:trPr>
          <w:trHeight w:val="315"/>
          <w:jc w:val="center"/>
        </w:trPr>
        <w:tc>
          <w:tcPr>
            <w:tcW w:w="8862" w:type="dxa"/>
            <w:tcBorders>
              <w:top w:val="nil"/>
              <w:left w:val="nil"/>
              <w:bottom w:val="nil"/>
              <w:right w:val="nil"/>
            </w:tcBorders>
            <w:shd w:val="clear" w:color="auto" w:fill="auto"/>
            <w:noWrap/>
            <w:vAlign w:val="bottom"/>
            <w:hideMark/>
          </w:tcPr>
          <w:p w:rsidR="0073033C" w:rsidRPr="00DB14BD" w:rsidRDefault="00A90DCD" w:rsidP="00A90DCD">
            <w:pPr>
              <w:spacing w:after="0" w:line="240" w:lineRule="auto"/>
              <w:jc w:val="center"/>
              <w:rPr>
                <w:rFonts w:ascii="Times New Roman" w:hAnsi="Times New Roman"/>
                <w:sz w:val="20"/>
                <w:szCs w:val="20"/>
              </w:rPr>
            </w:pPr>
            <w:r>
              <w:rPr>
                <w:rFonts w:ascii="Times New Roman" w:hAnsi="Times New Roman"/>
                <w:noProof/>
                <w:sz w:val="20"/>
                <w:szCs w:val="20"/>
                <w:lang w:val="en-US" w:eastAsia="en-US"/>
              </w:rPr>
              <w:drawing>
                <wp:inline distT="0" distB="0" distL="0" distR="0">
                  <wp:extent cx="4623435" cy="7417435"/>
                  <wp:effectExtent l="19050" t="0" r="571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4623435" cy="7417435"/>
                          </a:xfrm>
                          <a:prstGeom prst="rect">
                            <a:avLst/>
                          </a:prstGeom>
                          <a:noFill/>
                          <a:ln w="9525">
                            <a:noFill/>
                            <a:miter lim="800000"/>
                            <a:headEnd/>
                            <a:tailEnd/>
                          </a:ln>
                        </pic:spPr>
                      </pic:pic>
                    </a:graphicData>
                  </a:graphic>
                </wp:inline>
              </w:drawing>
            </w:r>
          </w:p>
        </w:tc>
      </w:tr>
      <w:tr w:rsidR="0073033C" w:rsidRPr="00DB14BD" w:rsidTr="00784327">
        <w:trPr>
          <w:trHeight w:val="315"/>
          <w:jc w:val="center"/>
        </w:trPr>
        <w:tc>
          <w:tcPr>
            <w:tcW w:w="8862" w:type="dxa"/>
            <w:tcBorders>
              <w:top w:val="nil"/>
              <w:left w:val="nil"/>
              <w:bottom w:val="nil"/>
              <w:right w:val="nil"/>
            </w:tcBorders>
            <w:shd w:val="clear" w:color="auto" w:fill="auto"/>
            <w:noWrap/>
            <w:vAlign w:val="bottom"/>
            <w:hideMark/>
          </w:tcPr>
          <w:p w:rsidR="0073033C" w:rsidRPr="00DB14BD" w:rsidRDefault="0073033C" w:rsidP="005D3BD3">
            <w:pPr>
              <w:spacing w:after="0" w:line="240" w:lineRule="auto"/>
              <w:ind w:left="935"/>
              <w:rPr>
                <w:rFonts w:ascii="Times New Roman" w:hAnsi="Times New Roman"/>
                <w:color w:val="000000"/>
                <w:sz w:val="20"/>
                <w:szCs w:val="20"/>
              </w:rPr>
            </w:pPr>
          </w:p>
        </w:tc>
      </w:tr>
      <w:tr w:rsidR="0073033C" w:rsidRPr="00DB14BD" w:rsidTr="00784327">
        <w:trPr>
          <w:trHeight w:val="315"/>
          <w:jc w:val="center"/>
        </w:trPr>
        <w:tc>
          <w:tcPr>
            <w:tcW w:w="8862" w:type="dxa"/>
            <w:tcBorders>
              <w:top w:val="nil"/>
              <w:left w:val="nil"/>
              <w:bottom w:val="nil"/>
              <w:right w:val="nil"/>
            </w:tcBorders>
            <w:shd w:val="clear" w:color="auto" w:fill="auto"/>
            <w:noWrap/>
            <w:vAlign w:val="bottom"/>
            <w:hideMark/>
          </w:tcPr>
          <w:p w:rsidR="0073033C" w:rsidRPr="00DB14BD" w:rsidRDefault="0073033C" w:rsidP="005D3BD3">
            <w:pPr>
              <w:spacing w:after="0" w:line="240" w:lineRule="auto"/>
              <w:ind w:left="935"/>
              <w:rPr>
                <w:rFonts w:ascii="Times New Roman" w:hAnsi="Times New Roman"/>
                <w:color w:val="000000"/>
                <w:sz w:val="20"/>
                <w:szCs w:val="20"/>
              </w:rPr>
            </w:pPr>
          </w:p>
        </w:tc>
      </w:tr>
      <w:tr w:rsidR="0073033C" w:rsidRPr="00DB14BD" w:rsidTr="00784327">
        <w:trPr>
          <w:trHeight w:val="315"/>
          <w:jc w:val="center"/>
        </w:trPr>
        <w:tc>
          <w:tcPr>
            <w:tcW w:w="8862" w:type="dxa"/>
            <w:tcBorders>
              <w:top w:val="nil"/>
              <w:left w:val="nil"/>
              <w:bottom w:val="nil"/>
              <w:right w:val="nil"/>
            </w:tcBorders>
            <w:shd w:val="clear" w:color="auto" w:fill="auto"/>
            <w:noWrap/>
            <w:vAlign w:val="bottom"/>
            <w:hideMark/>
          </w:tcPr>
          <w:p w:rsidR="0073033C" w:rsidRPr="00DB14BD" w:rsidRDefault="0073033C" w:rsidP="005D3BD3">
            <w:pPr>
              <w:spacing w:after="0" w:line="240" w:lineRule="auto"/>
              <w:ind w:left="935"/>
              <w:rPr>
                <w:rFonts w:ascii="Times New Roman" w:hAnsi="Times New Roman"/>
                <w:sz w:val="20"/>
                <w:szCs w:val="20"/>
              </w:rPr>
            </w:pPr>
          </w:p>
        </w:tc>
      </w:tr>
      <w:tr w:rsidR="0073033C" w:rsidRPr="00DB14BD" w:rsidTr="00784327">
        <w:trPr>
          <w:trHeight w:val="315"/>
          <w:jc w:val="center"/>
        </w:trPr>
        <w:tc>
          <w:tcPr>
            <w:tcW w:w="8862" w:type="dxa"/>
            <w:tcBorders>
              <w:top w:val="nil"/>
              <w:left w:val="nil"/>
              <w:bottom w:val="nil"/>
              <w:right w:val="nil"/>
            </w:tcBorders>
            <w:shd w:val="clear" w:color="auto" w:fill="auto"/>
            <w:noWrap/>
            <w:vAlign w:val="bottom"/>
            <w:hideMark/>
          </w:tcPr>
          <w:p w:rsidR="00893812" w:rsidRDefault="00893812" w:rsidP="00893812">
            <w:pPr>
              <w:spacing w:after="0" w:line="240" w:lineRule="auto"/>
              <w:jc w:val="center"/>
              <w:rPr>
                <w:rFonts w:ascii="Times New Roman" w:hAnsi="Times New Roman"/>
                <w:sz w:val="20"/>
                <w:szCs w:val="20"/>
              </w:rPr>
            </w:pPr>
            <w:r>
              <w:rPr>
                <w:rFonts w:ascii="Times New Roman" w:hAnsi="Times New Roman"/>
                <w:noProof/>
                <w:sz w:val="20"/>
                <w:szCs w:val="20"/>
                <w:lang w:val="en-US" w:eastAsia="en-US"/>
              </w:rPr>
              <w:lastRenderedPageBreak/>
              <w:drawing>
                <wp:inline distT="0" distB="0" distL="0" distR="0">
                  <wp:extent cx="4623435" cy="6386195"/>
                  <wp:effectExtent l="1905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4623435" cy="6386195"/>
                          </a:xfrm>
                          <a:prstGeom prst="rect">
                            <a:avLst/>
                          </a:prstGeom>
                          <a:noFill/>
                          <a:ln w="9525">
                            <a:noFill/>
                            <a:miter lim="800000"/>
                            <a:headEnd/>
                            <a:tailEnd/>
                          </a:ln>
                        </pic:spPr>
                      </pic:pic>
                    </a:graphicData>
                  </a:graphic>
                </wp:inline>
              </w:drawing>
            </w:r>
          </w:p>
          <w:p w:rsidR="00893812" w:rsidRDefault="00893812" w:rsidP="00893812">
            <w:pPr>
              <w:spacing w:after="0" w:line="240" w:lineRule="auto"/>
              <w:ind w:left="652"/>
              <w:jc w:val="both"/>
              <w:rPr>
                <w:rFonts w:ascii="Times New Roman" w:hAnsi="Times New Roman"/>
                <w:sz w:val="20"/>
                <w:szCs w:val="20"/>
              </w:rPr>
            </w:pPr>
            <w:r>
              <w:rPr>
                <w:rFonts w:ascii="Times New Roman" w:hAnsi="Times New Roman"/>
                <w:sz w:val="20"/>
                <w:szCs w:val="20"/>
              </w:rPr>
              <w:t>N</w:t>
            </w:r>
            <w:r w:rsidRPr="00DB14BD">
              <w:rPr>
                <w:rFonts w:ascii="Times New Roman" w:hAnsi="Times New Roman"/>
                <w:sz w:val="20"/>
                <w:szCs w:val="20"/>
              </w:rPr>
              <w:t xml:space="preserve">otas: 1) ***, ** e * representam coeficientes estatisticamente significativos a 1%, 5% </w:t>
            </w:r>
            <w:r>
              <w:rPr>
                <w:rFonts w:ascii="Times New Roman" w:hAnsi="Times New Roman"/>
                <w:sz w:val="20"/>
                <w:szCs w:val="20"/>
              </w:rPr>
              <w:t>e</w:t>
            </w:r>
          </w:p>
          <w:p w:rsidR="00893812" w:rsidRDefault="00893812" w:rsidP="00893812">
            <w:pPr>
              <w:spacing w:after="0" w:line="240" w:lineRule="auto"/>
              <w:ind w:left="652"/>
              <w:jc w:val="both"/>
              <w:rPr>
                <w:rFonts w:ascii="Times New Roman" w:hAnsi="Times New Roman"/>
                <w:sz w:val="20"/>
                <w:szCs w:val="20"/>
              </w:rPr>
            </w:pPr>
            <w:r w:rsidRPr="00DB14BD">
              <w:rPr>
                <w:rFonts w:ascii="Times New Roman" w:hAnsi="Times New Roman"/>
                <w:sz w:val="20"/>
                <w:szCs w:val="20"/>
              </w:rPr>
              <w:t>10%, respectivamente</w:t>
            </w:r>
            <w:r>
              <w:rPr>
                <w:rFonts w:ascii="Times New Roman" w:hAnsi="Times New Roman"/>
                <w:sz w:val="20"/>
                <w:szCs w:val="20"/>
              </w:rPr>
              <w:t>.</w:t>
            </w:r>
          </w:p>
          <w:p w:rsidR="00893812" w:rsidRPr="00893812" w:rsidRDefault="00893812" w:rsidP="00893812">
            <w:pPr>
              <w:spacing w:after="0" w:line="240" w:lineRule="auto"/>
              <w:ind w:left="652"/>
              <w:jc w:val="both"/>
              <w:rPr>
                <w:rFonts w:ascii="Times New Roman" w:hAnsi="Times New Roman"/>
                <w:sz w:val="20"/>
                <w:szCs w:val="20"/>
              </w:rPr>
            </w:pPr>
            <w:r w:rsidRPr="00893812">
              <w:rPr>
                <w:rFonts w:ascii="Times New Roman" w:hAnsi="Times New Roman"/>
                <w:sz w:val="20"/>
                <w:szCs w:val="20"/>
              </w:rPr>
              <w:t>2) Desvio padrão robusto entre parênteses.</w:t>
            </w:r>
          </w:p>
          <w:p w:rsidR="00893812" w:rsidRPr="00893812" w:rsidRDefault="00893812" w:rsidP="00893812">
            <w:pPr>
              <w:spacing w:after="0" w:line="240" w:lineRule="auto"/>
              <w:ind w:left="652"/>
              <w:jc w:val="both"/>
              <w:rPr>
                <w:rFonts w:ascii="Times New Roman" w:hAnsi="Times New Roman"/>
                <w:sz w:val="20"/>
                <w:szCs w:val="20"/>
              </w:rPr>
            </w:pPr>
            <w:r w:rsidRPr="00893812">
              <w:rPr>
                <w:rFonts w:ascii="Times New Roman" w:hAnsi="Times New Roman"/>
                <w:sz w:val="20"/>
                <w:szCs w:val="20"/>
              </w:rPr>
              <w:t>3) A variável dependente é binária e assume valor “1” quando o trabalhador muda</w:t>
            </w:r>
          </w:p>
          <w:p w:rsidR="00893812" w:rsidRPr="00893812" w:rsidRDefault="00893812" w:rsidP="00893812">
            <w:pPr>
              <w:spacing w:after="0" w:line="240" w:lineRule="auto"/>
              <w:ind w:left="652"/>
              <w:jc w:val="both"/>
              <w:rPr>
                <w:rFonts w:ascii="Times New Roman" w:hAnsi="Times New Roman"/>
                <w:sz w:val="20"/>
                <w:szCs w:val="20"/>
              </w:rPr>
            </w:pPr>
            <w:r w:rsidRPr="00893812">
              <w:rPr>
                <w:rFonts w:ascii="Times New Roman" w:hAnsi="Times New Roman"/>
                <w:sz w:val="20"/>
                <w:szCs w:val="20"/>
              </w:rPr>
              <w:t xml:space="preserve"> de vínculo empregatício, e “0” quando o trabalhador permanece no mesmo emprego.</w:t>
            </w:r>
          </w:p>
          <w:p w:rsidR="00893812" w:rsidRDefault="00893812" w:rsidP="00893812">
            <w:pPr>
              <w:spacing w:after="0" w:line="240" w:lineRule="auto"/>
              <w:ind w:left="652"/>
              <w:jc w:val="both"/>
              <w:rPr>
                <w:rFonts w:ascii="Times New Roman" w:hAnsi="Times New Roman"/>
                <w:sz w:val="20"/>
                <w:szCs w:val="20"/>
              </w:rPr>
            </w:pPr>
            <w:r w:rsidRPr="00893812">
              <w:rPr>
                <w:rFonts w:ascii="Times New Roman" w:hAnsi="Times New Roman"/>
                <w:sz w:val="20"/>
                <w:szCs w:val="20"/>
              </w:rPr>
              <w:t>Fonte: Elaboração própria com base em dados da RAIS-MIGRA.</w:t>
            </w:r>
          </w:p>
          <w:p w:rsidR="00893812" w:rsidRPr="00DB14BD" w:rsidRDefault="00893812" w:rsidP="00893812">
            <w:pPr>
              <w:spacing w:after="0" w:line="240" w:lineRule="auto"/>
              <w:jc w:val="center"/>
              <w:rPr>
                <w:rFonts w:ascii="Times New Roman" w:hAnsi="Times New Roman"/>
                <w:sz w:val="20"/>
                <w:szCs w:val="20"/>
              </w:rPr>
            </w:pPr>
          </w:p>
        </w:tc>
      </w:tr>
    </w:tbl>
    <w:p w:rsidR="00EA019C" w:rsidRDefault="00EA019C" w:rsidP="00EA019C">
      <w:pPr>
        <w:pStyle w:val="CorpoDissertao"/>
        <w:spacing w:after="0" w:line="240" w:lineRule="auto"/>
        <w:ind w:firstLine="709"/>
        <w:rPr>
          <w:rFonts w:ascii="Times New Roman" w:hAnsi="Times New Roman"/>
        </w:rPr>
      </w:pPr>
      <w:r>
        <w:rPr>
          <w:rFonts w:ascii="Times New Roman" w:hAnsi="Times New Roman"/>
        </w:rPr>
        <w:t xml:space="preserve">Os outros resultados corroboram, de modo geral, alguns fatos estilizados da literatura (Schwartz, 1976; </w:t>
      </w:r>
      <w:proofErr w:type="spellStart"/>
      <w:r>
        <w:rPr>
          <w:rFonts w:ascii="Times New Roman" w:hAnsi="Times New Roman"/>
        </w:rPr>
        <w:t>Borjas</w:t>
      </w:r>
      <w:proofErr w:type="spellEnd"/>
      <w:r>
        <w:rPr>
          <w:rFonts w:ascii="Times New Roman" w:hAnsi="Times New Roman"/>
        </w:rPr>
        <w:t xml:space="preserve">, 1996). </w:t>
      </w:r>
      <w:r w:rsidRPr="001D4CCC">
        <w:rPr>
          <w:rFonts w:ascii="Times New Roman" w:hAnsi="Times New Roman"/>
        </w:rPr>
        <w:t xml:space="preserve">O aumento </w:t>
      </w:r>
      <w:r>
        <w:rPr>
          <w:rFonts w:ascii="Times New Roman" w:hAnsi="Times New Roman"/>
        </w:rPr>
        <w:t xml:space="preserve">gradual </w:t>
      </w:r>
      <w:r w:rsidRPr="001D4CCC">
        <w:rPr>
          <w:rFonts w:ascii="Times New Roman" w:hAnsi="Times New Roman"/>
        </w:rPr>
        <w:t xml:space="preserve">da probabilidade de mudar de emprego com </w:t>
      </w:r>
      <w:r>
        <w:rPr>
          <w:rFonts w:ascii="Times New Roman" w:hAnsi="Times New Roman"/>
        </w:rPr>
        <w:t xml:space="preserve">a </w:t>
      </w:r>
      <w:r w:rsidRPr="001D4CCC">
        <w:rPr>
          <w:rFonts w:ascii="Times New Roman" w:hAnsi="Times New Roman"/>
        </w:rPr>
        <w:t xml:space="preserve">elevação do nível educacional </w:t>
      </w:r>
      <w:r>
        <w:rPr>
          <w:rFonts w:ascii="Times New Roman" w:hAnsi="Times New Roman"/>
        </w:rPr>
        <w:t xml:space="preserve">reforça o argumento de que pessoas mais qualificadas possuem melhores chances de encontrar melhores oportunidades de emprego, sendo mais móveis. Nesse sentido, tais indivíduos podem conduzir conhecimento tácito para outras firmas, corroborando a ocorrência de </w:t>
      </w:r>
      <w:r w:rsidRPr="009076C2">
        <w:rPr>
          <w:rFonts w:ascii="Times New Roman" w:hAnsi="Times New Roman"/>
        </w:rPr>
        <w:t>transbordamento</w:t>
      </w:r>
      <w:r>
        <w:rPr>
          <w:rFonts w:ascii="Times New Roman" w:hAnsi="Times New Roman"/>
        </w:rPr>
        <w:t>s</w:t>
      </w:r>
      <w:r w:rsidRPr="009076C2">
        <w:rPr>
          <w:rFonts w:ascii="Times New Roman" w:hAnsi="Times New Roman"/>
        </w:rPr>
        <w:t xml:space="preserve"> de conhecimento via </w:t>
      </w:r>
      <w:r>
        <w:rPr>
          <w:rFonts w:ascii="Times New Roman" w:hAnsi="Times New Roman"/>
        </w:rPr>
        <w:t>mobilidade de pessoal qualificado. Com base nos resultados da Tabela 4, i</w:t>
      </w:r>
      <w:r w:rsidRPr="00C3123E">
        <w:rPr>
          <w:rFonts w:ascii="Times New Roman" w:hAnsi="Times New Roman"/>
        </w:rPr>
        <w:t xml:space="preserve">ndivíduos com menores níveis de </w:t>
      </w:r>
      <w:r w:rsidRPr="00C3123E">
        <w:rPr>
          <w:rFonts w:ascii="Times New Roman" w:hAnsi="Times New Roman"/>
        </w:rPr>
        <w:lastRenderedPageBreak/>
        <w:t xml:space="preserve">instrução se movem menos e indivíduos com ensino superior completo são os que apresentam maior probabilidade de se locomoverem entre </w:t>
      </w:r>
      <w:r>
        <w:rPr>
          <w:rFonts w:ascii="Times New Roman" w:hAnsi="Times New Roman"/>
        </w:rPr>
        <w:t>firmas. Em termos de razão de chance, trabalhadores analfabetos apresentam propensão 21,2% menor em relação aos indivíduos com ensino fundamental completo. Por outro lado, trabalhadores com curso superior completo apresentam maiores chances de mobilidade em relação aos últimos mencionados (48,7%).</w:t>
      </w:r>
    </w:p>
    <w:p w:rsidR="00EA019C" w:rsidRDefault="00EA019C" w:rsidP="00EA019C">
      <w:pPr>
        <w:spacing w:after="0" w:line="240" w:lineRule="auto"/>
        <w:ind w:firstLine="708"/>
        <w:jc w:val="both"/>
        <w:rPr>
          <w:rFonts w:ascii="Times New Roman" w:hAnsi="Times New Roman"/>
        </w:rPr>
      </w:pPr>
      <w:r>
        <w:rPr>
          <w:rFonts w:ascii="Times New Roman" w:hAnsi="Times New Roman"/>
        </w:rPr>
        <w:t xml:space="preserve">Adicionalmente, observa-se que a mobilidade tende a diminuir com o aumento da idade. </w:t>
      </w:r>
      <w:r w:rsidRPr="007B4308">
        <w:rPr>
          <w:rFonts w:ascii="Times New Roman" w:hAnsi="Times New Roman"/>
        </w:rPr>
        <w:t>Indivíduos que possuem mais de 25 anos e menos de 3</w:t>
      </w:r>
      <w:r>
        <w:rPr>
          <w:rFonts w:ascii="Times New Roman" w:hAnsi="Times New Roman"/>
        </w:rPr>
        <w:t>6</w:t>
      </w:r>
      <w:r w:rsidRPr="007B4308">
        <w:rPr>
          <w:rFonts w:ascii="Times New Roman" w:hAnsi="Times New Roman"/>
        </w:rPr>
        <w:t xml:space="preserve"> anos </w:t>
      </w:r>
      <w:r>
        <w:rPr>
          <w:rFonts w:ascii="Times New Roman" w:hAnsi="Times New Roman"/>
        </w:rPr>
        <w:t>(</w:t>
      </w:r>
      <w:proofErr w:type="spellStart"/>
      <w:r w:rsidRPr="00077ECE">
        <w:rPr>
          <w:rFonts w:ascii="Times New Roman" w:hAnsi="Times New Roman"/>
          <w:i/>
        </w:rPr>
        <w:t>dummy</w:t>
      </w:r>
      <w:proofErr w:type="spellEnd"/>
      <w:r>
        <w:rPr>
          <w:rFonts w:ascii="Times New Roman" w:hAnsi="Times New Roman"/>
        </w:rPr>
        <w:t xml:space="preserve"> de referência, omitida) </w:t>
      </w:r>
      <w:r w:rsidRPr="007B4308">
        <w:rPr>
          <w:rFonts w:ascii="Times New Roman" w:hAnsi="Times New Roman"/>
        </w:rPr>
        <w:t xml:space="preserve">apresentam maior probabilidade de mobilidade, em relação a outras faixas etárias. </w:t>
      </w:r>
      <w:r>
        <w:rPr>
          <w:rFonts w:ascii="Times New Roman" w:hAnsi="Times New Roman"/>
        </w:rPr>
        <w:t xml:space="preserve">Mulheres tendem a se mover menos do que os homens, com chances 16,2% menores. Portanto, o comportamento da mobilidade empregatícia dos trabalhadores da indústria de transformação brasileira entre 1996 e 2002 apresenta um comportamento semelhante ao verificado em outros trabalhos que lidam com mobilidade espacial, como em </w:t>
      </w:r>
      <w:proofErr w:type="spellStart"/>
      <w:r w:rsidRPr="00C846E0">
        <w:rPr>
          <w:rFonts w:ascii="Times New Roman" w:hAnsi="Times New Roman"/>
        </w:rPr>
        <w:t>P</w:t>
      </w:r>
      <w:r>
        <w:rPr>
          <w:rFonts w:ascii="Times New Roman" w:hAnsi="Times New Roman"/>
        </w:rPr>
        <w:t>ekkala</w:t>
      </w:r>
      <w:proofErr w:type="spellEnd"/>
      <w:r>
        <w:rPr>
          <w:rFonts w:ascii="Times New Roman" w:hAnsi="Times New Roman"/>
        </w:rPr>
        <w:t xml:space="preserve"> (2003), </w:t>
      </w:r>
      <w:proofErr w:type="spellStart"/>
      <w:r>
        <w:rPr>
          <w:rFonts w:ascii="Times New Roman" w:hAnsi="Times New Roman"/>
        </w:rPr>
        <w:t>Kulu</w:t>
      </w:r>
      <w:proofErr w:type="spellEnd"/>
      <w:r>
        <w:rPr>
          <w:rFonts w:ascii="Times New Roman" w:hAnsi="Times New Roman"/>
        </w:rPr>
        <w:t xml:space="preserve"> e </w:t>
      </w:r>
      <w:proofErr w:type="spellStart"/>
      <w:r>
        <w:rPr>
          <w:rFonts w:ascii="Times New Roman" w:hAnsi="Times New Roman"/>
        </w:rPr>
        <w:t>Billari</w:t>
      </w:r>
      <w:proofErr w:type="spellEnd"/>
      <w:r>
        <w:rPr>
          <w:rFonts w:ascii="Times New Roman" w:hAnsi="Times New Roman"/>
        </w:rPr>
        <w:t xml:space="preserve"> (2004) e </w:t>
      </w:r>
      <w:proofErr w:type="spellStart"/>
      <w:r>
        <w:rPr>
          <w:rFonts w:ascii="Times New Roman" w:hAnsi="Times New Roman"/>
        </w:rPr>
        <w:t>Mukkala</w:t>
      </w:r>
      <w:proofErr w:type="spellEnd"/>
      <w:r>
        <w:rPr>
          <w:rFonts w:ascii="Times New Roman" w:hAnsi="Times New Roman"/>
        </w:rPr>
        <w:t xml:space="preserve"> (2005).</w:t>
      </w:r>
    </w:p>
    <w:p w:rsidR="00893812" w:rsidRDefault="00893812" w:rsidP="00893812">
      <w:pPr>
        <w:spacing w:after="0" w:line="240" w:lineRule="auto"/>
        <w:ind w:firstLine="708"/>
        <w:jc w:val="both"/>
        <w:rPr>
          <w:rFonts w:ascii="Times New Roman" w:hAnsi="Times New Roman"/>
        </w:rPr>
      </w:pPr>
      <w:r>
        <w:rPr>
          <w:rFonts w:ascii="Times New Roman" w:hAnsi="Times New Roman"/>
        </w:rPr>
        <w:t xml:space="preserve">A mobilidade </w:t>
      </w:r>
      <w:proofErr w:type="spellStart"/>
      <w:r>
        <w:rPr>
          <w:rFonts w:ascii="Times New Roman" w:hAnsi="Times New Roman"/>
        </w:rPr>
        <w:t>interfirma</w:t>
      </w:r>
      <w:proofErr w:type="spellEnd"/>
      <w:r>
        <w:rPr>
          <w:rFonts w:ascii="Times New Roman" w:hAnsi="Times New Roman"/>
        </w:rPr>
        <w:t xml:space="preserve"> também aparenta ser maior quando trabalhadores se destinam a firmas de setores de alta tecnologia em relação às firmas de baixa intensidade tecnológica. O mesmo resultado não se observa para as </w:t>
      </w:r>
      <w:proofErr w:type="spellStart"/>
      <w:r w:rsidRPr="009C2F8D">
        <w:rPr>
          <w:rFonts w:ascii="Times New Roman" w:hAnsi="Times New Roman"/>
          <w:i/>
        </w:rPr>
        <w:t>dummies</w:t>
      </w:r>
      <w:proofErr w:type="spellEnd"/>
      <w:r>
        <w:rPr>
          <w:rFonts w:ascii="Times New Roman" w:hAnsi="Times New Roman"/>
        </w:rPr>
        <w:t xml:space="preserve"> de médio-baixa e médio-alta intensidade tecnológica, que apresentam coeficientes negativos. Quando o destino é uma firma do setor de alta intensidade tecnológica, os trabalhadores apresentam propensão 3,1% maiores, comparados a setores de baixa intensidade tecnológica.</w:t>
      </w:r>
    </w:p>
    <w:p w:rsidR="00893812" w:rsidRPr="00C3123E" w:rsidRDefault="00893812" w:rsidP="00893812">
      <w:pPr>
        <w:pStyle w:val="CorpoDissertao"/>
        <w:spacing w:after="0" w:line="240" w:lineRule="auto"/>
        <w:ind w:firstLine="709"/>
        <w:rPr>
          <w:rFonts w:ascii="Times New Roman" w:hAnsi="Times New Roman"/>
          <w:color w:val="FF0000"/>
        </w:rPr>
      </w:pPr>
      <w:r w:rsidRPr="00C3123E">
        <w:rPr>
          <w:rFonts w:ascii="Times New Roman" w:hAnsi="Times New Roman"/>
        </w:rPr>
        <w:t xml:space="preserve">Para investigar a possibilidade de transferência de conhecimento tecnológico entre pessoas com superior completo que </w:t>
      </w:r>
      <w:r>
        <w:rPr>
          <w:rFonts w:ascii="Times New Roman" w:hAnsi="Times New Roman"/>
        </w:rPr>
        <w:t xml:space="preserve">também </w:t>
      </w:r>
      <w:r w:rsidRPr="00C3123E">
        <w:rPr>
          <w:rFonts w:ascii="Times New Roman" w:hAnsi="Times New Roman"/>
        </w:rPr>
        <w:t>trabalham em setores considerados de alta intensidade tecnológica, criou-se uma variável de interação. Os resultados demonstram que</w:t>
      </w:r>
      <w:r>
        <w:rPr>
          <w:rFonts w:ascii="Times New Roman" w:hAnsi="Times New Roman"/>
        </w:rPr>
        <w:t xml:space="preserve">, embora tal variável tenha coeficiente positivo, não possui significância estatística. </w:t>
      </w:r>
      <w:r w:rsidRPr="00C3123E">
        <w:rPr>
          <w:rFonts w:ascii="Times New Roman" w:hAnsi="Times New Roman"/>
        </w:rPr>
        <w:t xml:space="preserve"> </w:t>
      </w:r>
    </w:p>
    <w:p w:rsidR="00893812" w:rsidRDefault="00893812" w:rsidP="00893812">
      <w:pPr>
        <w:spacing w:after="0" w:line="240" w:lineRule="auto"/>
        <w:ind w:firstLine="708"/>
        <w:jc w:val="both"/>
        <w:rPr>
          <w:rFonts w:ascii="Times New Roman" w:hAnsi="Times New Roman"/>
        </w:rPr>
      </w:pPr>
      <w:r w:rsidRPr="00D7495E">
        <w:rPr>
          <w:rFonts w:ascii="Times New Roman" w:hAnsi="Times New Roman"/>
        </w:rPr>
        <w:t xml:space="preserve">A variável de tamanho da firma demonstra </w:t>
      </w:r>
      <w:r>
        <w:rPr>
          <w:rFonts w:ascii="Times New Roman" w:hAnsi="Times New Roman"/>
        </w:rPr>
        <w:t xml:space="preserve">que </w:t>
      </w:r>
      <w:r w:rsidRPr="00D7495E">
        <w:rPr>
          <w:rFonts w:ascii="Times New Roman" w:hAnsi="Times New Roman"/>
        </w:rPr>
        <w:t>firmas maiores tendem a exercer maior atração sobre os trabalhadores. Com as firmas de pequeno porte (até 100 empregados) como variável omitida, observa-se que a probabilidade de indivíduos se moverem para empresas médias (100 a 499 empregados) e grandes (acima de 500 empregados) é, respectivamente, 23,</w:t>
      </w:r>
      <w:r>
        <w:rPr>
          <w:rFonts w:ascii="Times New Roman" w:hAnsi="Times New Roman"/>
        </w:rPr>
        <w:t>5</w:t>
      </w:r>
      <w:r w:rsidRPr="00D7495E">
        <w:rPr>
          <w:rFonts w:ascii="Times New Roman" w:hAnsi="Times New Roman"/>
        </w:rPr>
        <w:t xml:space="preserve">% e </w:t>
      </w:r>
      <w:r>
        <w:rPr>
          <w:rFonts w:ascii="Times New Roman" w:hAnsi="Times New Roman"/>
        </w:rPr>
        <w:t>16,8</w:t>
      </w:r>
      <w:r w:rsidRPr="00D7495E">
        <w:rPr>
          <w:rFonts w:ascii="Times New Roman" w:hAnsi="Times New Roman"/>
        </w:rPr>
        <w:t>% maior.</w:t>
      </w:r>
    </w:p>
    <w:p w:rsidR="00893812" w:rsidRDefault="00893812" w:rsidP="00893812">
      <w:pPr>
        <w:pStyle w:val="CorpoDissertao"/>
        <w:spacing w:after="0" w:line="240" w:lineRule="auto"/>
        <w:ind w:firstLine="709"/>
        <w:rPr>
          <w:rFonts w:ascii="Times New Roman" w:hAnsi="Times New Roman"/>
        </w:rPr>
      </w:pPr>
      <w:r>
        <w:rPr>
          <w:rFonts w:ascii="Times New Roman" w:hAnsi="Times New Roman"/>
        </w:rPr>
        <w:t xml:space="preserve">Dada a possibilidade de </w:t>
      </w:r>
      <w:proofErr w:type="spellStart"/>
      <w:r>
        <w:rPr>
          <w:rFonts w:ascii="Times New Roman" w:hAnsi="Times New Roman"/>
        </w:rPr>
        <w:t>endogeneidade</w:t>
      </w:r>
      <w:proofErr w:type="spellEnd"/>
      <w:r>
        <w:rPr>
          <w:rFonts w:ascii="Times New Roman" w:hAnsi="Times New Roman"/>
        </w:rPr>
        <w:t xml:space="preserve"> dos resultados estimados por meio de uma estimação do tipo </w:t>
      </w:r>
      <w:proofErr w:type="spellStart"/>
      <w:r>
        <w:rPr>
          <w:rFonts w:ascii="Times New Roman" w:hAnsi="Times New Roman"/>
        </w:rPr>
        <w:t>probit</w:t>
      </w:r>
      <w:proofErr w:type="spellEnd"/>
      <w:r w:rsidRPr="00DB4514">
        <w:rPr>
          <w:rStyle w:val="Refdenotaderodap"/>
          <w:rFonts w:ascii="Times New Roman" w:hAnsi="Times New Roman"/>
        </w:rPr>
        <w:footnoteReference w:id="7"/>
      </w:r>
      <w:r>
        <w:rPr>
          <w:rFonts w:ascii="Times New Roman" w:hAnsi="Times New Roman"/>
        </w:rPr>
        <w:t xml:space="preserve">, os resultados das estimações </w:t>
      </w:r>
      <w:proofErr w:type="spellStart"/>
      <w:r>
        <w:rPr>
          <w:rFonts w:ascii="Times New Roman" w:hAnsi="Times New Roman"/>
        </w:rPr>
        <w:t>logit</w:t>
      </w:r>
      <w:proofErr w:type="spellEnd"/>
      <w:r>
        <w:rPr>
          <w:rFonts w:ascii="Times New Roman" w:hAnsi="Times New Roman"/>
        </w:rPr>
        <w:t xml:space="preserve"> de efeitos fixos serão apresentados na Tabela 5. Nesta, consideram-se as variáveis contínuas que variam no período considerado e incluem-se outras </w:t>
      </w:r>
      <w:proofErr w:type="spellStart"/>
      <w:r w:rsidRPr="00077ECE">
        <w:rPr>
          <w:rFonts w:ascii="Times New Roman" w:hAnsi="Times New Roman"/>
          <w:i/>
        </w:rPr>
        <w:t>dummies</w:t>
      </w:r>
      <w:proofErr w:type="spellEnd"/>
      <w:r>
        <w:rPr>
          <w:rFonts w:ascii="Times New Roman" w:hAnsi="Times New Roman"/>
        </w:rPr>
        <w:t xml:space="preserve"> que também podem sofrer mudanças no período 1996-2002 (tamanho da empresa, mudança de unidade de federação e mudança de setor de atividade). Outras variáveis que medem características fixas dos trabalhadores são excluídas do exercício </w:t>
      </w:r>
      <w:proofErr w:type="spellStart"/>
      <w:r>
        <w:rPr>
          <w:rFonts w:ascii="Times New Roman" w:hAnsi="Times New Roman"/>
        </w:rPr>
        <w:t>econométrico</w:t>
      </w:r>
      <w:proofErr w:type="spellEnd"/>
      <w:r>
        <w:rPr>
          <w:rFonts w:ascii="Times New Roman" w:hAnsi="Times New Roman"/>
        </w:rPr>
        <w:t>.</w:t>
      </w:r>
    </w:p>
    <w:p w:rsidR="00EA019C" w:rsidRDefault="00EA019C" w:rsidP="00EA019C">
      <w:pPr>
        <w:pStyle w:val="CorpoDissertao"/>
        <w:spacing w:after="0" w:line="240" w:lineRule="auto"/>
        <w:ind w:firstLine="709"/>
        <w:rPr>
          <w:rFonts w:ascii="Times New Roman" w:hAnsi="Times New Roman"/>
        </w:rPr>
      </w:pPr>
      <w:r>
        <w:rPr>
          <w:rFonts w:ascii="Times New Roman" w:hAnsi="Times New Roman"/>
        </w:rPr>
        <w:t>Os resultados mostram que a heterogeneidade do trabalhador parece ser importante fator capaz de determinar os padrões de mobilidade quando a abordagem utiliza dados longitudinais. Uma vez controlada esta heterogeneidade não observada, os coeficientes estimados se reduzem consideravelmente ou mesmo mudam de sinal. Por exemplo, na Tabela 5 observa-se que a</w:t>
      </w:r>
      <w:r w:rsidRPr="009076C2">
        <w:rPr>
          <w:rFonts w:ascii="Times New Roman" w:hAnsi="Times New Roman"/>
        </w:rPr>
        <w:t xml:space="preserve"> </w:t>
      </w:r>
      <w:r>
        <w:rPr>
          <w:rFonts w:ascii="Times New Roman" w:hAnsi="Times New Roman"/>
        </w:rPr>
        <w:t>expectativa de retorno salarial com a mobilidade passa a</w:t>
      </w:r>
      <w:r w:rsidRPr="009076C2">
        <w:rPr>
          <w:rFonts w:ascii="Times New Roman" w:hAnsi="Times New Roman"/>
        </w:rPr>
        <w:t xml:space="preserve"> eleva</w:t>
      </w:r>
      <w:r>
        <w:rPr>
          <w:rFonts w:ascii="Times New Roman" w:hAnsi="Times New Roman"/>
        </w:rPr>
        <w:t>r</w:t>
      </w:r>
      <w:r w:rsidRPr="009076C2">
        <w:rPr>
          <w:rFonts w:ascii="Times New Roman" w:hAnsi="Times New Roman"/>
        </w:rPr>
        <w:t xml:space="preserve"> as chances de </w:t>
      </w:r>
      <w:r>
        <w:rPr>
          <w:rFonts w:ascii="Times New Roman" w:hAnsi="Times New Roman"/>
        </w:rPr>
        <w:t>ocorrência de</w:t>
      </w:r>
      <w:r w:rsidRPr="009076C2">
        <w:rPr>
          <w:rFonts w:ascii="Times New Roman" w:hAnsi="Times New Roman"/>
        </w:rPr>
        <w:t xml:space="preserve"> mobilidade em </w:t>
      </w:r>
      <w:r>
        <w:rPr>
          <w:rFonts w:ascii="Times New Roman" w:hAnsi="Times New Roman"/>
        </w:rPr>
        <w:t>37,6%, como defendido pela teoria econômica. Esse resultado não pôde ser observado na Tabela 4, que apresentava diminuição nas chances de ocorrência de mobilidade em 13,4%. Tal resultado se deveu à ausência de controle de características não observáveis dos indivíduos.</w:t>
      </w:r>
    </w:p>
    <w:p w:rsidR="00EA019C" w:rsidRDefault="00EA019C" w:rsidP="00EA019C">
      <w:pPr>
        <w:pStyle w:val="CorpoDissertao"/>
        <w:spacing w:after="0" w:line="240" w:lineRule="auto"/>
        <w:ind w:firstLine="709"/>
        <w:rPr>
          <w:rFonts w:ascii="Times New Roman" w:hAnsi="Times New Roman"/>
        </w:rPr>
      </w:pPr>
      <w:r w:rsidRPr="00024FFF">
        <w:rPr>
          <w:rFonts w:ascii="Times New Roman" w:hAnsi="Times New Roman"/>
        </w:rPr>
        <w:t xml:space="preserve">A experiência </w:t>
      </w:r>
      <w:r>
        <w:rPr>
          <w:rFonts w:ascii="Times New Roman" w:hAnsi="Times New Roman"/>
        </w:rPr>
        <w:t>no emprego no ano anterior, por sua vez,</w:t>
      </w:r>
      <w:r w:rsidRPr="00024FFF">
        <w:rPr>
          <w:rFonts w:ascii="Times New Roman" w:hAnsi="Times New Roman"/>
        </w:rPr>
        <w:t xml:space="preserve"> tende a </w:t>
      </w:r>
      <w:r>
        <w:rPr>
          <w:rFonts w:ascii="Times New Roman" w:hAnsi="Times New Roman"/>
        </w:rPr>
        <w:t>aumentar, ao invés de diminuir,</w:t>
      </w:r>
      <w:r w:rsidRPr="00024FFF">
        <w:rPr>
          <w:rFonts w:ascii="Times New Roman" w:hAnsi="Times New Roman"/>
        </w:rPr>
        <w:t xml:space="preserve"> a probabilidade d</w:t>
      </w:r>
      <w:r>
        <w:rPr>
          <w:rFonts w:ascii="Times New Roman" w:hAnsi="Times New Roman"/>
        </w:rPr>
        <w:t>e</w:t>
      </w:r>
      <w:r w:rsidRPr="00024FFF">
        <w:rPr>
          <w:rFonts w:ascii="Times New Roman" w:hAnsi="Times New Roman"/>
        </w:rPr>
        <w:t xml:space="preserve"> mobilidade do trabalhador</w:t>
      </w:r>
      <w:r>
        <w:rPr>
          <w:rFonts w:ascii="Times New Roman" w:hAnsi="Times New Roman"/>
        </w:rPr>
        <w:t xml:space="preserve">, ainda que isso ocorra a taxas decrescentes, tendo em vista o sinal negativo dessa variável ao quadrado. Isso significa que a mobilidade ocorre com trabalhadores mais experientes, considerando o tempo de permanência no vínculo anterior, estando de acordo com os argumentos de Schwartz (1976). De certa forma, há transporte de conhecimento tácito </w:t>
      </w:r>
      <w:proofErr w:type="spellStart"/>
      <w:r>
        <w:rPr>
          <w:rFonts w:ascii="Times New Roman" w:hAnsi="Times New Roman"/>
        </w:rPr>
        <w:t>interfirmas</w:t>
      </w:r>
      <w:proofErr w:type="spellEnd"/>
      <w:r>
        <w:rPr>
          <w:rFonts w:ascii="Times New Roman" w:hAnsi="Times New Roman"/>
        </w:rPr>
        <w:t xml:space="preserve">, o que </w:t>
      </w:r>
      <w:r>
        <w:rPr>
          <w:rFonts w:ascii="Times New Roman" w:hAnsi="Times New Roman"/>
        </w:rPr>
        <w:lastRenderedPageBreak/>
        <w:t xml:space="preserve">indica a existência de uma via de ocorrência do transbordamento de conhecimento na indústria brasileira, conforme preconizado por Feldman (1999). </w:t>
      </w:r>
    </w:p>
    <w:p w:rsidR="000A5B04" w:rsidRDefault="000A5B04" w:rsidP="005D3BD3">
      <w:pPr>
        <w:pStyle w:val="CorpoDissertao"/>
        <w:spacing w:after="0" w:line="240" w:lineRule="auto"/>
        <w:ind w:firstLine="709"/>
        <w:rPr>
          <w:rFonts w:ascii="Times New Roman" w:hAnsi="Times New Roman"/>
        </w:rPr>
      </w:pPr>
    </w:p>
    <w:p w:rsidR="0073033C" w:rsidRDefault="0073033C" w:rsidP="00701B4F">
      <w:pPr>
        <w:pStyle w:val="CorpoDissertao"/>
        <w:spacing w:after="0" w:line="240" w:lineRule="auto"/>
        <w:jc w:val="center"/>
        <w:rPr>
          <w:rFonts w:ascii="Times New Roman" w:hAnsi="Times New Roman"/>
        </w:rPr>
      </w:pPr>
      <w:r>
        <w:rPr>
          <w:rFonts w:ascii="Times New Roman" w:hAnsi="Times New Roman"/>
        </w:rPr>
        <w:t xml:space="preserve">Tabela 5: Condicionantes da mobilidade </w:t>
      </w:r>
      <w:proofErr w:type="spellStart"/>
      <w:r>
        <w:rPr>
          <w:rFonts w:ascii="Times New Roman" w:hAnsi="Times New Roman"/>
        </w:rPr>
        <w:t>interfirma</w:t>
      </w:r>
      <w:proofErr w:type="spellEnd"/>
      <w:r>
        <w:rPr>
          <w:rFonts w:ascii="Times New Roman" w:hAnsi="Times New Roman"/>
        </w:rPr>
        <w:t xml:space="preserve"> no Brasil –</w:t>
      </w:r>
    </w:p>
    <w:p w:rsidR="0073033C" w:rsidRDefault="0073033C" w:rsidP="00701B4F">
      <w:pPr>
        <w:pStyle w:val="CorpoDissertao"/>
        <w:spacing w:after="0" w:line="240" w:lineRule="auto"/>
        <w:jc w:val="center"/>
        <w:rPr>
          <w:rFonts w:ascii="Times New Roman" w:hAnsi="Times New Roman"/>
        </w:rPr>
      </w:pPr>
      <w:r>
        <w:rPr>
          <w:rFonts w:ascii="Times New Roman" w:hAnsi="Times New Roman"/>
        </w:rPr>
        <w:t xml:space="preserve">regressão </w:t>
      </w:r>
      <w:proofErr w:type="spellStart"/>
      <w:r>
        <w:rPr>
          <w:rFonts w:ascii="Times New Roman" w:hAnsi="Times New Roman"/>
        </w:rPr>
        <w:t>logit</w:t>
      </w:r>
      <w:proofErr w:type="spellEnd"/>
      <w:r>
        <w:rPr>
          <w:rFonts w:ascii="Times New Roman" w:hAnsi="Times New Roman"/>
        </w:rPr>
        <w:t xml:space="preserve"> de efeitos fixos (1996-2002)</w:t>
      </w:r>
    </w:p>
    <w:tbl>
      <w:tblPr>
        <w:tblW w:w="6740" w:type="dxa"/>
        <w:tblInd w:w="1911" w:type="dxa"/>
        <w:tblCellMar>
          <w:left w:w="70" w:type="dxa"/>
          <w:right w:w="70" w:type="dxa"/>
        </w:tblCellMar>
        <w:tblLook w:val="04A0"/>
      </w:tblPr>
      <w:tblGrid>
        <w:gridCol w:w="3560"/>
        <w:gridCol w:w="1540"/>
        <w:gridCol w:w="1640"/>
      </w:tblGrid>
      <w:tr w:rsidR="0073033C" w:rsidRPr="002211BD" w:rsidTr="00701B4F">
        <w:trPr>
          <w:trHeight w:val="255"/>
        </w:trPr>
        <w:tc>
          <w:tcPr>
            <w:tcW w:w="3560" w:type="dxa"/>
            <w:tcBorders>
              <w:top w:val="single" w:sz="4" w:space="0" w:color="auto"/>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Variáveis</w:t>
            </w:r>
          </w:p>
        </w:tc>
        <w:tc>
          <w:tcPr>
            <w:tcW w:w="1540" w:type="dxa"/>
            <w:tcBorders>
              <w:top w:val="single" w:sz="4" w:space="0" w:color="auto"/>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Coeficientes</w:t>
            </w:r>
          </w:p>
        </w:tc>
        <w:tc>
          <w:tcPr>
            <w:tcW w:w="1640" w:type="dxa"/>
            <w:tcBorders>
              <w:top w:val="single" w:sz="4" w:space="0" w:color="auto"/>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Razão de chance</w:t>
            </w:r>
          </w:p>
        </w:tc>
      </w:tr>
      <w:tr w:rsidR="0073033C" w:rsidRPr="002211BD" w:rsidTr="00701B4F">
        <w:trPr>
          <w:trHeight w:val="255"/>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Diferença salarial do setor</w:t>
            </w: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0,319***</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1,376***</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(0,007)</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(0,00907)</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Experiência anterior (em meses)</w:t>
            </w: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0,026***</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1,027***</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(0,000)</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(0,000201)</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Experiência anterior ao quadrado</w:t>
            </w: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-0,000***</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1,000***</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(0,000)</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(9,67e-07)</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Permanência no novo emprego (anos)</w:t>
            </w: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-1,576***</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0,207***</w:t>
            </w:r>
          </w:p>
        </w:tc>
      </w:tr>
      <w:tr w:rsidR="0073033C" w:rsidRPr="002211BD" w:rsidTr="00701B4F">
        <w:trPr>
          <w:trHeight w:val="300"/>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(0,004)</w:t>
            </w:r>
          </w:p>
        </w:tc>
        <w:tc>
          <w:tcPr>
            <w:tcW w:w="164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color w:val="000000"/>
                <w:sz w:val="20"/>
                <w:szCs w:val="20"/>
              </w:rPr>
            </w:pPr>
            <w:r w:rsidRPr="002211BD">
              <w:rPr>
                <w:rFonts w:ascii="Times New Roman" w:hAnsi="Times New Roman"/>
                <w:color w:val="000000"/>
                <w:sz w:val="20"/>
                <w:szCs w:val="20"/>
              </w:rPr>
              <w:t>(0,000886)</w:t>
            </w:r>
          </w:p>
        </w:tc>
      </w:tr>
      <w:tr w:rsidR="0073033C" w:rsidRPr="002211BD" w:rsidTr="00701B4F">
        <w:trPr>
          <w:trHeight w:val="255"/>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roofErr w:type="spellStart"/>
            <w:r w:rsidRPr="002211BD">
              <w:rPr>
                <w:rFonts w:ascii="Times New Roman" w:hAnsi="Times New Roman"/>
                <w:i/>
                <w:iCs/>
                <w:sz w:val="20"/>
                <w:szCs w:val="20"/>
              </w:rPr>
              <w:t>Dummies</w:t>
            </w:r>
            <w:proofErr w:type="spellEnd"/>
            <w:r w:rsidRPr="002211BD">
              <w:rPr>
                <w:rFonts w:ascii="Times New Roman" w:hAnsi="Times New Roman"/>
                <w:sz w:val="20"/>
                <w:szCs w:val="20"/>
              </w:rPr>
              <w:t xml:space="preserve"> de Unidades da Federação</w:t>
            </w:r>
          </w:p>
        </w:tc>
        <w:tc>
          <w:tcPr>
            <w:tcW w:w="3180" w:type="dxa"/>
            <w:gridSpan w:val="2"/>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Sim</w:t>
            </w:r>
          </w:p>
        </w:tc>
      </w:tr>
      <w:tr w:rsidR="0073033C" w:rsidRPr="002211BD" w:rsidTr="00701B4F">
        <w:trPr>
          <w:trHeight w:val="255"/>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roofErr w:type="spellStart"/>
            <w:r w:rsidRPr="002211BD">
              <w:rPr>
                <w:rFonts w:ascii="Times New Roman" w:hAnsi="Times New Roman"/>
                <w:sz w:val="20"/>
                <w:szCs w:val="20"/>
              </w:rPr>
              <w:t>Dummies</w:t>
            </w:r>
            <w:proofErr w:type="spellEnd"/>
            <w:r w:rsidRPr="002211BD">
              <w:rPr>
                <w:rFonts w:ascii="Times New Roman" w:hAnsi="Times New Roman"/>
                <w:sz w:val="20"/>
                <w:szCs w:val="20"/>
              </w:rPr>
              <w:t xml:space="preserve"> de Tamanho de empresa</w:t>
            </w:r>
          </w:p>
        </w:tc>
        <w:tc>
          <w:tcPr>
            <w:tcW w:w="3180" w:type="dxa"/>
            <w:gridSpan w:val="2"/>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Sim</w:t>
            </w:r>
          </w:p>
        </w:tc>
      </w:tr>
      <w:tr w:rsidR="0073033C" w:rsidRPr="002211BD" w:rsidTr="00701B4F">
        <w:trPr>
          <w:trHeight w:val="255"/>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roofErr w:type="spellStart"/>
            <w:r w:rsidRPr="002211BD">
              <w:rPr>
                <w:rFonts w:ascii="Times New Roman" w:hAnsi="Times New Roman"/>
                <w:sz w:val="20"/>
                <w:szCs w:val="20"/>
              </w:rPr>
              <w:t>Dummies</w:t>
            </w:r>
            <w:proofErr w:type="spellEnd"/>
            <w:r w:rsidRPr="002211BD">
              <w:rPr>
                <w:rFonts w:ascii="Times New Roman" w:hAnsi="Times New Roman"/>
                <w:sz w:val="20"/>
                <w:szCs w:val="20"/>
              </w:rPr>
              <w:t xml:space="preserve"> de Intensidade tecnológica</w:t>
            </w:r>
          </w:p>
        </w:tc>
        <w:tc>
          <w:tcPr>
            <w:tcW w:w="3180" w:type="dxa"/>
            <w:gridSpan w:val="2"/>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Sim</w:t>
            </w:r>
          </w:p>
        </w:tc>
      </w:tr>
      <w:tr w:rsidR="0073033C" w:rsidRPr="002211BD" w:rsidTr="00701B4F">
        <w:trPr>
          <w:trHeight w:val="255"/>
        </w:trPr>
        <w:tc>
          <w:tcPr>
            <w:tcW w:w="3560" w:type="dxa"/>
            <w:tcBorders>
              <w:top w:val="nil"/>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proofErr w:type="spellStart"/>
            <w:r w:rsidRPr="002211BD">
              <w:rPr>
                <w:rFonts w:ascii="Times New Roman" w:hAnsi="Times New Roman"/>
                <w:i/>
                <w:iCs/>
                <w:sz w:val="20"/>
                <w:szCs w:val="20"/>
              </w:rPr>
              <w:t>Dummies</w:t>
            </w:r>
            <w:proofErr w:type="spellEnd"/>
            <w:r w:rsidRPr="002211BD">
              <w:rPr>
                <w:rFonts w:ascii="Times New Roman" w:hAnsi="Times New Roman"/>
                <w:sz w:val="20"/>
                <w:szCs w:val="20"/>
              </w:rPr>
              <w:t xml:space="preserve"> de Ano</w:t>
            </w:r>
          </w:p>
        </w:tc>
        <w:tc>
          <w:tcPr>
            <w:tcW w:w="3180" w:type="dxa"/>
            <w:gridSpan w:val="2"/>
            <w:tcBorders>
              <w:top w:val="nil"/>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Sim</w:t>
            </w:r>
          </w:p>
        </w:tc>
      </w:tr>
      <w:tr w:rsidR="0073033C" w:rsidRPr="002211BD" w:rsidTr="00701B4F">
        <w:trPr>
          <w:trHeight w:val="255"/>
        </w:trPr>
        <w:tc>
          <w:tcPr>
            <w:tcW w:w="3560" w:type="dxa"/>
            <w:tcBorders>
              <w:top w:val="single" w:sz="4" w:space="0" w:color="auto"/>
              <w:left w:val="nil"/>
              <w:bottom w:val="nil"/>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Observações</w:t>
            </w:r>
          </w:p>
        </w:tc>
        <w:tc>
          <w:tcPr>
            <w:tcW w:w="3180" w:type="dxa"/>
            <w:gridSpan w:val="2"/>
            <w:tcBorders>
              <w:top w:val="nil"/>
              <w:left w:val="nil"/>
              <w:bottom w:val="nil"/>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1.306.865</w:t>
            </w:r>
          </w:p>
        </w:tc>
      </w:tr>
      <w:tr w:rsidR="0073033C" w:rsidRPr="002211BD" w:rsidTr="00701B4F">
        <w:trPr>
          <w:trHeight w:val="255"/>
        </w:trPr>
        <w:tc>
          <w:tcPr>
            <w:tcW w:w="3560" w:type="dxa"/>
            <w:tcBorders>
              <w:top w:val="nil"/>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rPr>
                <w:rFonts w:ascii="Times New Roman" w:hAnsi="Times New Roman"/>
                <w:sz w:val="20"/>
                <w:szCs w:val="20"/>
              </w:rPr>
            </w:pPr>
            <w:r w:rsidRPr="002211BD">
              <w:rPr>
                <w:rFonts w:ascii="Times New Roman" w:hAnsi="Times New Roman"/>
                <w:sz w:val="20"/>
                <w:szCs w:val="20"/>
              </w:rPr>
              <w:t>Números de PIS</w:t>
            </w:r>
          </w:p>
        </w:tc>
        <w:tc>
          <w:tcPr>
            <w:tcW w:w="3180" w:type="dxa"/>
            <w:gridSpan w:val="2"/>
            <w:tcBorders>
              <w:top w:val="nil"/>
              <w:left w:val="nil"/>
              <w:bottom w:val="single" w:sz="4" w:space="0" w:color="auto"/>
              <w:right w:val="nil"/>
            </w:tcBorders>
            <w:shd w:val="clear" w:color="auto" w:fill="auto"/>
            <w:noWrap/>
            <w:vAlign w:val="bottom"/>
            <w:hideMark/>
          </w:tcPr>
          <w:p w:rsidR="0073033C" w:rsidRPr="002211BD" w:rsidRDefault="0073033C" w:rsidP="005D3BD3">
            <w:pPr>
              <w:spacing w:after="0" w:line="240" w:lineRule="auto"/>
              <w:jc w:val="center"/>
              <w:rPr>
                <w:rFonts w:ascii="Times New Roman" w:hAnsi="Times New Roman"/>
                <w:sz w:val="20"/>
                <w:szCs w:val="20"/>
              </w:rPr>
            </w:pPr>
            <w:r w:rsidRPr="002211BD">
              <w:rPr>
                <w:rFonts w:ascii="Times New Roman" w:hAnsi="Times New Roman"/>
                <w:sz w:val="20"/>
                <w:szCs w:val="20"/>
              </w:rPr>
              <w:t>186.695</w:t>
            </w:r>
          </w:p>
        </w:tc>
      </w:tr>
    </w:tbl>
    <w:p w:rsidR="0073033C" w:rsidRDefault="0073033C" w:rsidP="00701B4F">
      <w:pPr>
        <w:pStyle w:val="CorpoDissertao"/>
        <w:spacing w:after="0" w:line="240" w:lineRule="auto"/>
        <w:ind w:left="1843"/>
        <w:rPr>
          <w:rFonts w:ascii="Times New Roman" w:hAnsi="Times New Roman"/>
          <w:sz w:val="20"/>
          <w:szCs w:val="20"/>
        </w:rPr>
      </w:pPr>
      <w:r w:rsidRPr="00A17274">
        <w:rPr>
          <w:rFonts w:ascii="Times New Roman" w:hAnsi="Times New Roman"/>
          <w:sz w:val="20"/>
          <w:szCs w:val="20"/>
        </w:rPr>
        <w:t>Nota: 1) ***, ** e * representam coeficientes estatisticamente significativos a 1%,</w:t>
      </w:r>
    </w:p>
    <w:p w:rsidR="0073033C" w:rsidRPr="00A17274" w:rsidRDefault="0073033C" w:rsidP="00701B4F">
      <w:pPr>
        <w:pStyle w:val="CorpoDissertao"/>
        <w:spacing w:after="0" w:line="240" w:lineRule="auto"/>
        <w:ind w:left="1843"/>
        <w:rPr>
          <w:rFonts w:ascii="Times New Roman" w:hAnsi="Times New Roman"/>
          <w:sz w:val="20"/>
          <w:szCs w:val="20"/>
        </w:rPr>
      </w:pPr>
      <w:r w:rsidRPr="00A17274">
        <w:rPr>
          <w:rFonts w:ascii="Times New Roman" w:hAnsi="Times New Roman"/>
          <w:sz w:val="20"/>
          <w:szCs w:val="20"/>
        </w:rPr>
        <w:t xml:space="preserve"> 5% e 10%, respectivamente</w:t>
      </w:r>
      <w:r>
        <w:rPr>
          <w:rFonts w:ascii="Times New Roman" w:hAnsi="Times New Roman"/>
          <w:sz w:val="20"/>
          <w:szCs w:val="20"/>
        </w:rPr>
        <w:t xml:space="preserve">. </w:t>
      </w:r>
    </w:p>
    <w:p w:rsidR="0073033C" w:rsidRPr="00A17274" w:rsidRDefault="0073033C" w:rsidP="00701B4F">
      <w:pPr>
        <w:pStyle w:val="CorpoDissertao"/>
        <w:spacing w:after="0" w:line="240" w:lineRule="auto"/>
        <w:ind w:left="1843"/>
        <w:rPr>
          <w:rFonts w:ascii="Times New Roman" w:hAnsi="Times New Roman"/>
          <w:sz w:val="20"/>
          <w:szCs w:val="20"/>
        </w:rPr>
      </w:pPr>
      <w:r w:rsidRPr="00A17274">
        <w:rPr>
          <w:rFonts w:ascii="Times New Roman" w:hAnsi="Times New Roman"/>
          <w:sz w:val="20"/>
          <w:szCs w:val="20"/>
        </w:rPr>
        <w:t>2) Desvio padrão robusto entre parênteses</w:t>
      </w:r>
      <w:r>
        <w:rPr>
          <w:rFonts w:ascii="Times New Roman" w:hAnsi="Times New Roman"/>
          <w:sz w:val="20"/>
          <w:szCs w:val="20"/>
        </w:rPr>
        <w:t>.</w:t>
      </w:r>
    </w:p>
    <w:p w:rsidR="0073033C" w:rsidRDefault="0073033C" w:rsidP="00701B4F">
      <w:pPr>
        <w:pStyle w:val="CorpoDissertao"/>
        <w:spacing w:after="0" w:line="240" w:lineRule="auto"/>
        <w:ind w:left="1843"/>
        <w:rPr>
          <w:rFonts w:ascii="Times New Roman" w:hAnsi="Times New Roman"/>
          <w:sz w:val="20"/>
          <w:szCs w:val="20"/>
        </w:rPr>
      </w:pPr>
      <w:r w:rsidRPr="00A17274">
        <w:rPr>
          <w:rFonts w:ascii="Times New Roman" w:hAnsi="Times New Roman"/>
          <w:sz w:val="20"/>
          <w:szCs w:val="20"/>
        </w:rPr>
        <w:t>3) A variável dependente é binária e assume valor “1” quando o trabalhador</w:t>
      </w:r>
    </w:p>
    <w:p w:rsidR="0073033C" w:rsidRPr="00A17274" w:rsidRDefault="0073033C" w:rsidP="00701B4F">
      <w:pPr>
        <w:pStyle w:val="CorpoDissertao"/>
        <w:spacing w:after="0" w:line="240" w:lineRule="auto"/>
        <w:ind w:left="1843"/>
        <w:rPr>
          <w:rFonts w:ascii="Times New Roman" w:hAnsi="Times New Roman"/>
          <w:sz w:val="20"/>
          <w:szCs w:val="20"/>
        </w:rPr>
      </w:pPr>
      <w:r w:rsidRPr="00A17274">
        <w:rPr>
          <w:rFonts w:ascii="Times New Roman" w:hAnsi="Times New Roman"/>
          <w:sz w:val="20"/>
          <w:szCs w:val="20"/>
        </w:rPr>
        <w:t>muda de vínculo empregatício,</w:t>
      </w:r>
      <w:r>
        <w:rPr>
          <w:rFonts w:ascii="Times New Roman" w:hAnsi="Times New Roman"/>
          <w:sz w:val="20"/>
          <w:szCs w:val="20"/>
        </w:rPr>
        <w:t xml:space="preserve"> </w:t>
      </w:r>
      <w:r w:rsidRPr="00A17274">
        <w:rPr>
          <w:rFonts w:ascii="Times New Roman" w:hAnsi="Times New Roman"/>
          <w:sz w:val="20"/>
          <w:szCs w:val="20"/>
        </w:rPr>
        <w:t>e “0” quando o trabalhador permanece no mesmo emprego.</w:t>
      </w:r>
    </w:p>
    <w:p w:rsidR="0073033C" w:rsidRDefault="0073033C" w:rsidP="00701B4F">
      <w:pPr>
        <w:pStyle w:val="CorpoDissertao"/>
        <w:spacing w:after="0" w:line="240" w:lineRule="auto"/>
        <w:ind w:left="1843"/>
        <w:rPr>
          <w:rFonts w:ascii="Times New Roman" w:hAnsi="Times New Roman"/>
        </w:rPr>
      </w:pPr>
      <w:r w:rsidRPr="00A17274">
        <w:rPr>
          <w:rFonts w:ascii="Times New Roman" w:hAnsi="Times New Roman"/>
          <w:sz w:val="20"/>
          <w:szCs w:val="20"/>
        </w:rPr>
        <w:t>Fonte: Elaboração própria com base em dados da RAIS-MIGRA</w:t>
      </w:r>
      <w:r w:rsidR="003C4B53">
        <w:rPr>
          <w:rFonts w:ascii="Times New Roman" w:hAnsi="Times New Roman"/>
          <w:sz w:val="20"/>
          <w:szCs w:val="20"/>
        </w:rPr>
        <w:t>.</w:t>
      </w:r>
    </w:p>
    <w:p w:rsidR="0073033C" w:rsidRDefault="0073033C" w:rsidP="005D3BD3">
      <w:pPr>
        <w:pStyle w:val="CorpoDissertao"/>
        <w:spacing w:after="0" w:line="240" w:lineRule="auto"/>
        <w:jc w:val="center"/>
        <w:rPr>
          <w:rFonts w:ascii="Times New Roman" w:hAnsi="Times New Roman"/>
        </w:rPr>
      </w:pPr>
    </w:p>
    <w:p w:rsidR="0073033C" w:rsidRDefault="0073033C" w:rsidP="005D3BD3">
      <w:pPr>
        <w:pStyle w:val="CorpoDissertao"/>
        <w:spacing w:after="0" w:line="240" w:lineRule="auto"/>
        <w:ind w:firstLine="709"/>
        <w:rPr>
          <w:rFonts w:ascii="Times New Roman" w:hAnsi="Times New Roman"/>
        </w:rPr>
      </w:pPr>
      <w:r>
        <w:rPr>
          <w:rFonts w:ascii="Times New Roman" w:hAnsi="Times New Roman"/>
        </w:rPr>
        <w:t xml:space="preserve">No que se refere ao tempo de permanência no emprego após a mudança </w:t>
      </w:r>
      <w:proofErr w:type="spellStart"/>
      <w:r>
        <w:rPr>
          <w:rFonts w:ascii="Times New Roman" w:hAnsi="Times New Roman"/>
        </w:rPr>
        <w:t>interfirma</w:t>
      </w:r>
      <w:proofErr w:type="spellEnd"/>
      <w:r>
        <w:rPr>
          <w:rFonts w:ascii="Times New Roman" w:hAnsi="Times New Roman"/>
        </w:rPr>
        <w:t>, o sinal do coeficiente estimado se torna negativo</w:t>
      </w:r>
      <w:r w:rsidR="000A5B04">
        <w:rPr>
          <w:rFonts w:ascii="Times New Roman" w:hAnsi="Times New Roman"/>
        </w:rPr>
        <w:t>, conforme esperado</w:t>
      </w:r>
      <w:r>
        <w:rPr>
          <w:rFonts w:ascii="Times New Roman" w:hAnsi="Times New Roman"/>
        </w:rPr>
        <w:t>. Uma vez controlados os efeitos fixos dos trabalhadores, esse resultado indica que indivíduos com maior estabilidade no novo emprego possuem uma menor probabilidade de mudança, caracterizando-se como fator retentor, isto é, fator de fixação do indivíduo no vínculo empregatício da firma. Em particular, esse resultado revela que há incentivos à construção de uma relação de longo prazo entre trabalhador e firma, propiciando acumulação de capital humano específico à firma.</w:t>
      </w:r>
    </w:p>
    <w:p w:rsidR="0073033C" w:rsidRPr="00626003" w:rsidRDefault="0073033C" w:rsidP="005D3BD3">
      <w:pPr>
        <w:pStyle w:val="CorpoDissertao"/>
        <w:spacing w:after="0" w:line="240" w:lineRule="auto"/>
        <w:ind w:firstLine="709"/>
        <w:rPr>
          <w:rFonts w:ascii="Times New Roman" w:hAnsi="Times New Roman"/>
          <w:color w:val="FF0000"/>
        </w:rPr>
      </w:pPr>
      <w:r w:rsidRPr="00626003">
        <w:rPr>
          <w:rFonts w:ascii="Times New Roman" w:hAnsi="Times New Roman"/>
          <w:color w:val="FF0000"/>
        </w:rPr>
        <w:t xml:space="preserve"> </w:t>
      </w:r>
    </w:p>
    <w:p w:rsidR="0073033C" w:rsidRPr="00626003" w:rsidRDefault="0073033C" w:rsidP="005D3BD3">
      <w:pPr>
        <w:pStyle w:val="Ttulo1"/>
        <w:spacing w:before="0" w:after="0"/>
        <w:rPr>
          <w:rFonts w:ascii="Times New Roman" w:hAnsi="Times New Roman" w:cs="Times New Roman"/>
          <w:caps/>
          <w:sz w:val="24"/>
          <w:szCs w:val="24"/>
        </w:rPr>
      </w:pPr>
      <w:r w:rsidRPr="00626003">
        <w:rPr>
          <w:rFonts w:ascii="Times New Roman" w:hAnsi="Times New Roman" w:cs="Times New Roman"/>
          <w:caps/>
          <w:sz w:val="24"/>
          <w:szCs w:val="24"/>
        </w:rPr>
        <w:t>6</w:t>
      </w:r>
      <w:r w:rsidRPr="00626003">
        <w:rPr>
          <w:rFonts w:ascii="Times New Roman" w:hAnsi="Times New Roman" w:cs="Times New Roman"/>
          <w:sz w:val="24"/>
          <w:szCs w:val="24"/>
        </w:rPr>
        <w:t>. Conclusões</w:t>
      </w:r>
      <w:r>
        <w:rPr>
          <w:rFonts w:ascii="Times New Roman" w:hAnsi="Times New Roman" w:cs="Times New Roman"/>
          <w:sz w:val="24"/>
          <w:szCs w:val="24"/>
        </w:rPr>
        <w:t xml:space="preserve"> </w:t>
      </w:r>
    </w:p>
    <w:p w:rsidR="0073033C" w:rsidRPr="00626003" w:rsidRDefault="0073033C" w:rsidP="005D3BD3">
      <w:pPr>
        <w:spacing w:after="0" w:line="240" w:lineRule="auto"/>
        <w:ind w:firstLine="709"/>
        <w:jc w:val="both"/>
        <w:rPr>
          <w:rFonts w:ascii="Times New Roman" w:hAnsi="Times New Roman"/>
        </w:rPr>
      </w:pPr>
      <w:r w:rsidRPr="00626003">
        <w:rPr>
          <w:rFonts w:ascii="Times New Roman" w:hAnsi="Times New Roman"/>
        </w:rPr>
        <w:t xml:space="preserve">O objetivo central deste artigo foi a análise dos determinantes da mobilidade </w:t>
      </w:r>
      <w:proofErr w:type="spellStart"/>
      <w:r w:rsidRPr="00626003">
        <w:rPr>
          <w:rFonts w:ascii="Times New Roman" w:hAnsi="Times New Roman"/>
        </w:rPr>
        <w:t>interfirmas</w:t>
      </w:r>
      <w:proofErr w:type="spellEnd"/>
      <w:r w:rsidRPr="00626003">
        <w:rPr>
          <w:rFonts w:ascii="Times New Roman" w:hAnsi="Times New Roman"/>
        </w:rPr>
        <w:t xml:space="preserve"> dos trabalhadores da indústria de transformação brasileira. Adicionalmente, buscou-se identificar a composição da mão-de-obra na indústria de transformação do país.  </w:t>
      </w:r>
      <w:r>
        <w:rPr>
          <w:rFonts w:ascii="Times New Roman" w:hAnsi="Times New Roman"/>
        </w:rPr>
        <w:t xml:space="preserve">Em termos de </w:t>
      </w:r>
      <w:r w:rsidRPr="00626003">
        <w:rPr>
          <w:rFonts w:ascii="Times New Roman" w:hAnsi="Times New Roman"/>
        </w:rPr>
        <w:t>mobilidade laboral</w:t>
      </w:r>
      <w:r>
        <w:rPr>
          <w:rFonts w:ascii="Times New Roman" w:hAnsi="Times New Roman"/>
        </w:rPr>
        <w:t xml:space="preserve"> </w:t>
      </w:r>
      <w:proofErr w:type="spellStart"/>
      <w:r>
        <w:rPr>
          <w:rFonts w:ascii="Times New Roman" w:hAnsi="Times New Roman"/>
        </w:rPr>
        <w:t>interfirmas</w:t>
      </w:r>
      <w:proofErr w:type="spellEnd"/>
      <w:r>
        <w:rPr>
          <w:rFonts w:ascii="Times New Roman" w:hAnsi="Times New Roman"/>
        </w:rPr>
        <w:t xml:space="preserve"> no Brasil, os principais resultados desse trabalho sugerem</w:t>
      </w:r>
      <w:r w:rsidRPr="00626003">
        <w:rPr>
          <w:rFonts w:ascii="Times New Roman" w:hAnsi="Times New Roman"/>
        </w:rPr>
        <w:t xml:space="preserve"> que:</w:t>
      </w:r>
    </w:p>
    <w:p w:rsidR="0073033C" w:rsidRDefault="0073033C" w:rsidP="005D3BD3">
      <w:pPr>
        <w:numPr>
          <w:ilvl w:val="0"/>
          <w:numId w:val="3"/>
        </w:numPr>
        <w:tabs>
          <w:tab w:val="clear" w:pos="720"/>
          <w:tab w:val="num" w:pos="0"/>
        </w:tabs>
        <w:spacing w:after="0" w:line="240" w:lineRule="auto"/>
        <w:ind w:left="0" w:firstLine="709"/>
        <w:jc w:val="both"/>
        <w:rPr>
          <w:rFonts w:ascii="Times New Roman" w:hAnsi="Times New Roman"/>
        </w:rPr>
      </w:pPr>
      <w:r w:rsidRPr="00626003">
        <w:rPr>
          <w:rFonts w:ascii="Times New Roman" w:hAnsi="Times New Roman"/>
        </w:rPr>
        <w:t xml:space="preserve">Quanto maior </w:t>
      </w:r>
      <w:r>
        <w:rPr>
          <w:rFonts w:ascii="Times New Roman" w:hAnsi="Times New Roman"/>
        </w:rPr>
        <w:t>a expectativa de retorno salarial com a possibilidade de mudança</w:t>
      </w:r>
      <w:r w:rsidRPr="00626003">
        <w:rPr>
          <w:rFonts w:ascii="Times New Roman" w:hAnsi="Times New Roman"/>
        </w:rPr>
        <w:t xml:space="preserve">, maior é a propensão à mobilidade laboral. Ou seja, o trabalhador está mais disposto a se mover, quanto maior for o incentivo financeiro </w:t>
      </w:r>
      <w:r>
        <w:rPr>
          <w:rFonts w:ascii="Times New Roman" w:hAnsi="Times New Roman"/>
        </w:rPr>
        <w:t>dess</w:t>
      </w:r>
      <w:r w:rsidRPr="00626003">
        <w:rPr>
          <w:rFonts w:ascii="Times New Roman" w:hAnsi="Times New Roman"/>
        </w:rPr>
        <w:t>e movimento. Isso condiz com os resultados da literatura de mercado de trabalho e migração, que tende a aceitar o salário como um dos principais determinantes d</w:t>
      </w:r>
      <w:r>
        <w:rPr>
          <w:rFonts w:ascii="Times New Roman" w:hAnsi="Times New Roman"/>
        </w:rPr>
        <w:t>o</w:t>
      </w:r>
      <w:r w:rsidRPr="00626003">
        <w:rPr>
          <w:rFonts w:ascii="Times New Roman" w:hAnsi="Times New Roman"/>
        </w:rPr>
        <w:t xml:space="preserve"> </w:t>
      </w:r>
      <w:r w:rsidRPr="00626003">
        <w:rPr>
          <w:rFonts w:ascii="Times New Roman" w:hAnsi="Times New Roman"/>
          <w:i/>
        </w:rPr>
        <w:t>“</w:t>
      </w:r>
      <w:proofErr w:type="spellStart"/>
      <w:r w:rsidRPr="00626003">
        <w:rPr>
          <w:rFonts w:ascii="Times New Roman" w:hAnsi="Times New Roman"/>
          <w:i/>
        </w:rPr>
        <w:t>job-change</w:t>
      </w:r>
      <w:proofErr w:type="spellEnd"/>
      <w:r w:rsidRPr="00626003">
        <w:rPr>
          <w:rFonts w:ascii="Times New Roman" w:hAnsi="Times New Roman"/>
          <w:i/>
        </w:rPr>
        <w:t>”</w:t>
      </w:r>
      <w:r w:rsidRPr="00626003">
        <w:rPr>
          <w:rFonts w:ascii="Times New Roman" w:hAnsi="Times New Roman"/>
        </w:rPr>
        <w:t>;</w:t>
      </w:r>
    </w:p>
    <w:p w:rsidR="0073033C" w:rsidRDefault="0073033C" w:rsidP="005D3BD3">
      <w:pPr>
        <w:numPr>
          <w:ilvl w:val="0"/>
          <w:numId w:val="3"/>
        </w:numPr>
        <w:tabs>
          <w:tab w:val="clear" w:pos="720"/>
          <w:tab w:val="num" w:pos="0"/>
        </w:tabs>
        <w:spacing w:after="0" w:line="240" w:lineRule="auto"/>
        <w:ind w:left="0" w:firstLine="709"/>
        <w:jc w:val="both"/>
        <w:rPr>
          <w:rFonts w:ascii="Times New Roman" w:hAnsi="Times New Roman"/>
        </w:rPr>
      </w:pPr>
      <w:r w:rsidRPr="00B33AE9">
        <w:rPr>
          <w:rFonts w:ascii="Times New Roman" w:hAnsi="Times New Roman"/>
        </w:rPr>
        <w:t xml:space="preserve">A experiência, medida em </w:t>
      </w:r>
      <w:r>
        <w:rPr>
          <w:rFonts w:ascii="Times New Roman" w:hAnsi="Times New Roman"/>
        </w:rPr>
        <w:t xml:space="preserve">meses </w:t>
      </w:r>
      <w:r w:rsidRPr="00B33AE9">
        <w:rPr>
          <w:rFonts w:ascii="Times New Roman" w:hAnsi="Times New Roman"/>
        </w:rPr>
        <w:t xml:space="preserve">no </w:t>
      </w:r>
      <w:r>
        <w:rPr>
          <w:rFonts w:ascii="Times New Roman" w:hAnsi="Times New Roman"/>
        </w:rPr>
        <w:t>vínculo anterior</w:t>
      </w:r>
      <w:r w:rsidRPr="00B33AE9">
        <w:rPr>
          <w:rFonts w:ascii="Times New Roman" w:hAnsi="Times New Roman"/>
        </w:rPr>
        <w:t xml:space="preserve">, tende a aumentar a probabilidade de mudança de emprego. </w:t>
      </w:r>
      <w:r>
        <w:rPr>
          <w:rFonts w:ascii="Times New Roman" w:hAnsi="Times New Roman"/>
        </w:rPr>
        <w:t>Esse resultado também indica que o conhecimento tácito, contido em profissionais mais experientes, também se transporta entre diferentes firmas. A e</w:t>
      </w:r>
      <w:r w:rsidRPr="00B33AE9">
        <w:rPr>
          <w:rFonts w:ascii="Times New Roman" w:hAnsi="Times New Roman"/>
        </w:rPr>
        <w:t xml:space="preserve">xperiência ao quadrado diminui esta </w:t>
      </w:r>
      <w:r w:rsidRPr="00B33AE9">
        <w:rPr>
          <w:rFonts w:ascii="Times New Roman" w:hAnsi="Times New Roman"/>
        </w:rPr>
        <w:lastRenderedPageBreak/>
        <w:t>probabilidade, o que reflete uma diferenciação entre níveis intermediários de experiência e seus dois extremos</w:t>
      </w:r>
      <w:r>
        <w:rPr>
          <w:rFonts w:ascii="Times New Roman" w:hAnsi="Times New Roman"/>
        </w:rPr>
        <w:t>.</w:t>
      </w:r>
    </w:p>
    <w:p w:rsidR="0073033C" w:rsidRDefault="0073033C" w:rsidP="005D3BD3">
      <w:pPr>
        <w:numPr>
          <w:ilvl w:val="0"/>
          <w:numId w:val="3"/>
        </w:numPr>
        <w:tabs>
          <w:tab w:val="clear" w:pos="720"/>
          <w:tab w:val="num" w:pos="0"/>
        </w:tabs>
        <w:spacing w:after="0" w:line="240" w:lineRule="auto"/>
        <w:ind w:left="0" w:firstLine="709"/>
        <w:jc w:val="both"/>
        <w:rPr>
          <w:rFonts w:ascii="Times New Roman" w:hAnsi="Times New Roman"/>
        </w:rPr>
      </w:pPr>
      <w:r w:rsidRPr="004C1584">
        <w:rPr>
          <w:rFonts w:ascii="Times New Roman" w:hAnsi="Times New Roman"/>
        </w:rPr>
        <w:t>O tempo de permanência do trabalhador no emprego após a mudança de empresa é um fator que reduz a propensão à mobilidade</w:t>
      </w:r>
      <w:r>
        <w:rPr>
          <w:rFonts w:ascii="Times New Roman" w:hAnsi="Times New Roman"/>
        </w:rPr>
        <w:t>. Ou seja, há uma relação negativa e esperada entre estabilidade no novo emprego e probabilidade de mobilidade.</w:t>
      </w:r>
    </w:p>
    <w:p w:rsidR="0073033C" w:rsidRDefault="0073033C" w:rsidP="005D3BD3">
      <w:pPr>
        <w:spacing w:after="0" w:line="240" w:lineRule="auto"/>
        <w:ind w:firstLine="708"/>
        <w:jc w:val="both"/>
        <w:rPr>
          <w:rFonts w:ascii="Times New Roman" w:hAnsi="Times New Roman"/>
        </w:rPr>
      </w:pPr>
      <w:r>
        <w:rPr>
          <w:rFonts w:ascii="Times New Roman" w:hAnsi="Times New Roman"/>
        </w:rPr>
        <w:t xml:space="preserve">Todos esses resultados são obtidos após o controle de características individuais não observadas, que também parecem exercer forte influência sobre a mobilidade </w:t>
      </w:r>
      <w:proofErr w:type="spellStart"/>
      <w:r>
        <w:rPr>
          <w:rFonts w:ascii="Times New Roman" w:hAnsi="Times New Roman"/>
        </w:rPr>
        <w:t>interfirmas</w:t>
      </w:r>
      <w:proofErr w:type="spellEnd"/>
      <w:r>
        <w:rPr>
          <w:rFonts w:ascii="Times New Roman" w:hAnsi="Times New Roman"/>
        </w:rPr>
        <w:t xml:space="preserve"> no Brasil.</w:t>
      </w:r>
    </w:p>
    <w:p w:rsidR="0073033C" w:rsidRPr="004C1584" w:rsidRDefault="0073033C" w:rsidP="005D3BD3">
      <w:pPr>
        <w:spacing w:after="0" w:line="240" w:lineRule="auto"/>
        <w:ind w:firstLine="708"/>
        <w:jc w:val="both"/>
        <w:rPr>
          <w:rFonts w:ascii="Times New Roman" w:hAnsi="Times New Roman"/>
        </w:rPr>
      </w:pPr>
      <w:r>
        <w:rPr>
          <w:rFonts w:ascii="Times New Roman" w:hAnsi="Times New Roman"/>
        </w:rPr>
        <w:t>Adicionalmente, outros resultados foram obtidos e apontam que a propensão à mobilidade varia positivamente com o nível educacional, o gênero masculino e com o tamanho da empresa de destino do trabalhador, e é maior para empresas em setor de alta intensidade tecnológica. Por outro lado, a relação da mobilidade com a idade do trabalhador é negativa.</w:t>
      </w:r>
    </w:p>
    <w:p w:rsidR="0073033C" w:rsidRDefault="0073033C" w:rsidP="005D3BD3">
      <w:pPr>
        <w:autoSpaceDE w:val="0"/>
        <w:autoSpaceDN w:val="0"/>
        <w:adjustRightInd w:val="0"/>
        <w:spacing w:after="0" w:line="240" w:lineRule="auto"/>
        <w:ind w:firstLine="709"/>
        <w:jc w:val="both"/>
        <w:rPr>
          <w:rFonts w:ascii="Times New Roman" w:hAnsi="Times New Roman"/>
        </w:rPr>
      </w:pPr>
      <w:r>
        <w:rPr>
          <w:rFonts w:ascii="Times New Roman" w:hAnsi="Times New Roman"/>
        </w:rPr>
        <w:t>O</w:t>
      </w:r>
      <w:r w:rsidRPr="009B2C55">
        <w:rPr>
          <w:rFonts w:ascii="Times New Roman" w:hAnsi="Times New Roman"/>
        </w:rPr>
        <w:t xml:space="preserve">s resultados </w:t>
      </w:r>
      <w:proofErr w:type="spellStart"/>
      <w:r w:rsidRPr="009B2C55">
        <w:rPr>
          <w:rFonts w:ascii="Times New Roman" w:hAnsi="Times New Roman"/>
        </w:rPr>
        <w:t>econométricos</w:t>
      </w:r>
      <w:proofErr w:type="spellEnd"/>
      <w:r w:rsidRPr="009B2C55">
        <w:rPr>
          <w:rFonts w:ascii="Times New Roman" w:hAnsi="Times New Roman"/>
        </w:rPr>
        <w:t xml:space="preserve"> sugerem a existência de um regime favorável à mobilidade de trabalhadores qualificados</w:t>
      </w:r>
      <w:r>
        <w:rPr>
          <w:rFonts w:ascii="Times New Roman" w:hAnsi="Times New Roman"/>
        </w:rPr>
        <w:t xml:space="preserve"> e com experiência, o que permite a p</w:t>
      </w:r>
      <w:r w:rsidRPr="009B2C55">
        <w:rPr>
          <w:rFonts w:ascii="Times New Roman" w:hAnsi="Times New Roman"/>
        </w:rPr>
        <w:t xml:space="preserve">ossibilidade de intercâmbio de conhecimentos </w:t>
      </w:r>
      <w:r>
        <w:rPr>
          <w:rFonts w:ascii="Times New Roman" w:hAnsi="Times New Roman"/>
        </w:rPr>
        <w:t xml:space="preserve">tácitos </w:t>
      </w:r>
      <w:r w:rsidRPr="009B2C55">
        <w:rPr>
          <w:rFonts w:ascii="Times New Roman" w:hAnsi="Times New Roman"/>
        </w:rPr>
        <w:t>(transbordamentos)</w:t>
      </w:r>
      <w:r>
        <w:rPr>
          <w:rFonts w:ascii="Times New Roman" w:hAnsi="Times New Roman"/>
        </w:rPr>
        <w:t xml:space="preserve">. </w:t>
      </w:r>
    </w:p>
    <w:p w:rsidR="0073033C" w:rsidRPr="00E72CA3" w:rsidRDefault="0073033C" w:rsidP="005D3BD3">
      <w:pPr>
        <w:spacing w:after="0" w:line="240" w:lineRule="auto"/>
        <w:rPr>
          <w:rFonts w:ascii="Times New Roman" w:hAnsi="Times New Roman"/>
          <w:b/>
        </w:rPr>
      </w:pPr>
    </w:p>
    <w:p w:rsidR="0073033C" w:rsidRPr="007339C0" w:rsidRDefault="000560A4" w:rsidP="005D3BD3">
      <w:pPr>
        <w:spacing w:after="0" w:line="240" w:lineRule="auto"/>
        <w:rPr>
          <w:rFonts w:ascii="Times New Roman" w:hAnsi="Times New Roman"/>
          <w:b/>
          <w:lang w:val="en-US"/>
        </w:rPr>
      </w:pPr>
      <w:r>
        <w:rPr>
          <w:rFonts w:ascii="Times New Roman" w:hAnsi="Times New Roman"/>
          <w:b/>
          <w:lang w:val="en-US"/>
        </w:rPr>
        <w:t>7</w:t>
      </w:r>
      <w:r w:rsidR="0073033C" w:rsidRPr="007339C0">
        <w:rPr>
          <w:rFonts w:ascii="Times New Roman" w:hAnsi="Times New Roman"/>
          <w:b/>
          <w:lang w:val="en-US"/>
        </w:rPr>
        <w:t xml:space="preserve">. </w:t>
      </w:r>
      <w:proofErr w:type="spellStart"/>
      <w:r w:rsidR="0073033C">
        <w:rPr>
          <w:rFonts w:ascii="Times New Roman" w:hAnsi="Times New Roman"/>
          <w:b/>
          <w:lang w:val="en-US"/>
        </w:rPr>
        <w:t>Referências</w:t>
      </w:r>
      <w:proofErr w:type="spellEnd"/>
      <w:r w:rsidR="0073033C">
        <w:rPr>
          <w:rFonts w:ascii="Times New Roman" w:hAnsi="Times New Roman"/>
          <w:b/>
          <w:lang w:val="en-US"/>
        </w:rPr>
        <w:t xml:space="preserve"> </w:t>
      </w:r>
      <w:proofErr w:type="spellStart"/>
      <w:r w:rsidR="0073033C">
        <w:rPr>
          <w:rFonts w:ascii="Times New Roman" w:hAnsi="Times New Roman"/>
          <w:b/>
          <w:lang w:val="en-US"/>
        </w:rPr>
        <w:t>bibliográficas</w:t>
      </w:r>
      <w:proofErr w:type="spellEnd"/>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Arrow</w:t>
      </w:r>
      <w:r w:rsidRPr="00952732">
        <w:rPr>
          <w:rFonts w:ascii="Times New Roman" w:hAnsi="Times New Roman"/>
          <w:lang w:val="en-US"/>
        </w:rPr>
        <w:t xml:space="preserve">, K. Economic welfare and the allocation of resources for invention, in R.R. Nelson, ed., </w:t>
      </w:r>
      <w:r w:rsidRPr="00952732">
        <w:rPr>
          <w:rFonts w:ascii="Times New Roman" w:hAnsi="Times New Roman"/>
          <w:b/>
          <w:iCs/>
          <w:lang w:val="en-US"/>
        </w:rPr>
        <w:t>The Rate and Direction of Inventive Activity</w:t>
      </w:r>
      <w:r w:rsidRPr="00952732">
        <w:rPr>
          <w:rFonts w:ascii="Times New Roman" w:hAnsi="Times New Roman"/>
          <w:i/>
          <w:iCs/>
          <w:lang w:val="en-US"/>
        </w:rPr>
        <w:t xml:space="preserve"> </w:t>
      </w:r>
      <w:r w:rsidRPr="00952732">
        <w:rPr>
          <w:rFonts w:ascii="Times New Roman" w:hAnsi="Times New Roman"/>
          <w:lang w:val="en-US"/>
        </w:rPr>
        <w:t>(Princeton: Princeton University Press), 609-626, 1962.</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Audretsch</w:t>
      </w:r>
      <w:r w:rsidRPr="00952732">
        <w:rPr>
          <w:rFonts w:ascii="Times New Roman" w:hAnsi="Times New Roman"/>
          <w:lang w:val="en-US"/>
        </w:rPr>
        <w:t xml:space="preserve">, D. B. </w:t>
      </w:r>
      <w:r w:rsidRPr="00952732">
        <w:rPr>
          <w:rFonts w:ascii="Times New Roman" w:hAnsi="Times New Roman"/>
          <w:b/>
          <w:iCs/>
          <w:lang w:val="en-US"/>
        </w:rPr>
        <w:t>Innovation and industry evolution</w:t>
      </w:r>
      <w:r w:rsidRPr="00952732">
        <w:rPr>
          <w:rFonts w:ascii="Times New Roman" w:hAnsi="Times New Roman"/>
          <w:iCs/>
          <w:lang w:val="en-US"/>
        </w:rPr>
        <w:t>.</w:t>
      </w:r>
      <w:r w:rsidRPr="00952732">
        <w:rPr>
          <w:rFonts w:ascii="Times New Roman" w:hAnsi="Times New Roman"/>
          <w:i/>
          <w:iCs/>
          <w:lang w:val="en-US"/>
        </w:rPr>
        <w:t xml:space="preserve"> </w:t>
      </w:r>
      <w:r w:rsidRPr="00952732">
        <w:rPr>
          <w:rFonts w:ascii="Times New Roman" w:hAnsi="Times New Roman"/>
          <w:lang w:val="en-US"/>
        </w:rPr>
        <w:t>MIT Press, Cambridge, 1995.</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Audretsch</w:t>
      </w:r>
      <w:r w:rsidRPr="00952732">
        <w:rPr>
          <w:rFonts w:ascii="Times New Roman" w:hAnsi="Times New Roman"/>
          <w:lang w:val="en-US"/>
        </w:rPr>
        <w:t xml:space="preserve">, D. B.; </w:t>
      </w:r>
      <w:r w:rsidRPr="00952732">
        <w:rPr>
          <w:rFonts w:ascii="Times New Roman" w:hAnsi="Times New Roman"/>
          <w:caps/>
          <w:lang w:val="en-US"/>
        </w:rPr>
        <w:t>Keilbach</w:t>
      </w:r>
      <w:r w:rsidRPr="00952732">
        <w:rPr>
          <w:rFonts w:ascii="Times New Roman" w:hAnsi="Times New Roman"/>
          <w:lang w:val="en-US"/>
        </w:rPr>
        <w:t xml:space="preserve">, M. The Mobility of economic agents as conduits of knowledge spillovers. In: </w:t>
      </w:r>
      <w:proofErr w:type="spellStart"/>
      <w:r w:rsidRPr="00952732">
        <w:rPr>
          <w:rFonts w:ascii="Times New Roman" w:hAnsi="Times New Roman"/>
          <w:lang w:val="en-US"/>
        </w:rPr>
        <w:t>Fornahl</w:t>
      </w:r>
      <w:proofErr w:type="spellEnd"/>
      <w:r w:rsidRPr="00952732">
        <w:rPr>
          <w:rFonts w:ascii="Times New Roman" w:hAnsi="Times New Roman"/>
          <w:lang w:val="en-US"/>
        </w:rPr>
        <w:t xml:space="preserve">, D.; </w:t>
      </w:r>
      <w:proofErr w:type="spellStart"/>
      <w:r w:rsidRPr="00952732">
        <w:rPr>
          <w:rFonts w:ascii="Times New Roman" w:hAnsi="Times New Roman"/>
          <w:lang w:val="en-US"/>
        </w:rPr>
        <w:t>Zellner</w:t>
      </w:r>
      <w:proofErr w:type="spellEnd"/>
      <w:r w:rsidRPr="00952732">
        <w:rPr>
          <w:rFonts w:ascii="Times New Roman" w:hAnsi="Times New Roman"/>
          <w:lang w:val="en-US"/>
        </w:rPr>
        <w:t xml:space="preserve">, C; </w:t>
      </w:r>
      <w:proofErr w:type="spellStart"/>
      <w:r w:rsidRPr="00952732">
        <w:rPr>
          <w:rFonts w:ascii="Times New Roman" w:hAnsi="Times New Roman"/>
          <w:lang w:val="en-US"/>
        </w:rPr>
        <w:t>Audretsch</w:t>
      </w:r>
      <w:proofErr w:type="spellEnd"/>
      <w:r w:rsidRPr="00952732">
        <w:rPr>
          <w:rFonts w:ascii="Times New Roman" w:hAnsi="Times New Roman"/>
          <w:lang w:val="en-US"/>
        </w:rPr>
        <w:t xml:space="preserve"> D. B.(eds.) </w:t>
      </w:r>
      <w:r w:rsidRPr="00952732">
        <w:rPr>
          <w:rFonts w:ascii="Times New Roman" w:hAnsi="Times New Roman"/>
          <w:b/>
          <w:lang w:val="en-US"/>
        </w:rPr>
        <w:t xml:space="preserve">The Role of </w:t>
      </w:r>
      <w:proofErr w:type="spellStart"/>
      <w:r w:rsidRPr="00952732">
        <w:rPr>
          <w:rFonts w:ascii="Times New Roman" w:hAnsi="Times New Roman"/>
          <w:b/>
          <w:lang w:val="en-US"/>
        </w:rPr>
        <w:t>Labour</w:t>
      </w:r>
      <w:proofErr w:type="spellEnd"/>
      <w:r w:rsidRPr="00952732">
        <w:rPr>
          <w:rFonts w:ascii="Times New Roman" w:hAnsi="Times New Roman"/>
          <w:b/>
          <w:lang w:val="en-US"/>
        </w:rPr>
        <w:t xml:space="preserve"> Mobility and Informal Networks for Knowledge Transfer</w:t>
      </w:r>
      <w:r w:rsidRPr="00952732">
        <w:rPr>
          <w:rFonts w:ascii="Times New Roman" w:hAnsi="Times New Roman"/>
          <w:lang w:val="en-US"/>
        </w:rPr>
        <w:t>, New York, 2005.</w:t>
      </w:r>
    </w:p>
    <w:p w:rsidR="0073033C" w:rsidRPr="00952732" w:rsidRDefault="0073033C" w:rsidP="005D3BD3">
      <w:pPr>
        <w:pStyle w:val="SemEspaamento"/>
        <w:jc w:val="both"/>
        <w:rPr>
          <w:rFonts w:ascii="Times New Roman" w:hAnsi="Times New Roman"/>
        </w:rPr>
      </w:pPr>
      <w:r w:rsidRPr="00952732">
        <w:rPr>
          <w:rFonts w:ascii="Times New Roman" w:hAnsi="Times New Roman"/>
          <w:bCs/>
        </w:rPr>
        <w:t xml:space="preserve">BAENINGER, R. São Paulo e suas migrações no final do século 20. </w:t>
      </w:r>
      <w:r w:rsidRPr="00952732">
        <w:rPr>
          <w:rFonts w:ascii="Times New Roman" w:hAnsi="Times New Roman"/>
          <w:b/>
          <w:bCs/>
        </w:rPr>
        <w:t xml:space="preserve">São Paulo em perspectiva, </w:t>
      </w:r>
      <w:r w:rsidRPr="00952732">
        <w:rPr>
          <w:rFonts w:ascii="Times New Roman" w:hAnsi="Times New Roman"/>
        </w:rPr>
        <w:t>v. 19, n. 3, p. 84-96, set. 2005.</w:t>
      </w:r>
    </w:p>
    <w:p w:rsidR="007255D0" w:rsidRPr="00952732" w:rsidRDefault="007255D0" w:rsidP="005D3BD3">
      <w:pPr>
        <w:pStyle w:val="SemEspaamento"/>
        <w:jc w:val="both"/>
        <w:rPr>
          <w:rFonts w:ascii="Times New Roman" w:hAnsi="Times New Roman"/>
          <w:lang w:val="en-US"/>
        </w:rPr>
      </w:pPr>
      <w:r w:rsidRPr="00952732">
        <w:rPr>
          <w:rFonts w:ascii="Times New Roman" w:hAnsi="Times New Roman"/>
          <w:lang w:val="en-US"/>
        </w:rPr>
        <w:t xml:space="preserve">BORJAS, G. J. </w:t>
      </w:r>
      <w:r w:rsidRPr="00952732">
        <w:rPr>
          <w:rFonts w:ascii="Times New Roman" w:hAnsi="Times New Roman"/>
          <w:b/>
          <w:lang w:val="en-US"/>
        </w:rPr>
        <w:t>Labor economics.</w:t>
      </w:r>
      <w:r w:rsidRPr="00952732">
        <w:rPr>
          <w:rFonts w:ascii="Times New Roman" w:hAnsi="Times New Roman"/>
          <w:lang w:val="en-US"/>
        </w:rPr>
        <w:t xml:space="preserve"> </w:t>
      </w:r>
      <w:proofErr w:type="spellStart"/>
      <w:r w:rsidRPr="00952732">
        <w:rPr>
          <w:rFonts w:ascii="Times New Roman" w:hAnsi="Times New Roman"/>
          <w:lang w:val="en-US"/>
        </w:rPr>
        <w:t>Singapura</w:t>
      </w:r>
      <w:proofErr w:type="spellEnd"/>
      <w:r w:rsidRPr="00952732">
        <w:rPr>
          <w:rFonts w:ascii="Times New Roman" w:hAnsi="Times New Roman"/>
          <w:lang w:val="en-US"/>
        </w:rPr>
        <w:t xml:space="preserve">: McGraw-Hill Book Co, 1996. </w:t>
      </w:r>
    </w:p>
    <w:p w:rsidR="0073033C" w:rsidRPr="00952732" w:rsidRDefault="0073033C" w:rsidP="005D3BD3">
      <w:pPr>
        <w:pStyle w:val="SemEspaamento"/>
        <w:jc w:val="both"/>
        <w:rPr>
          <w:rFonts w:ascii="Times New Roman" w:hAnsi="Times New Roman"/>
        </w:rPr>
      </w:pPr>
      <w:r w:rsidRPr="00952732">
        <w:rPr>
          <w:rFonts w:ascii="Times New Roman" w:hAnsi="Times New Roman"/>
        </w:rPr>
        <w:t xml:space="preserve">BRAGA, F. G. Migração Interna e Urbanização no Brasil Contemporâneo: Um estudo da Rede de Localidades Centrais do Brasil (1980/2000). In: Encontro Nacional de estudos populacionais, 15. </w:t>
      </w:r>
      <w:r w:rsidRPr="00952732">
        <w:rPr>
          <w:rFonts w:ascii="Times New Roman" w:hAnsi="Times New Roman"/>
          <w:b/>
        </w:rPr>
        <w:t>Anais</w:t>
      </w:r>
      <w:r w:rsidR="00B3081E" w:rsidRPr="00952732">
        <w:rPr>
          <w:rFonts w:ascii="Times New Roman" w:hAnsi="Times New Roman"/>
        </w:rPr>
        <w:t>.</w:t>
      </w:r>
      <w:r w:rsidRPr="00952732">
        <w:rPr>
          <w:rFonts w:ascii="Times New Roman" w:hAnsi="Times New Roman"/>
        </w:rPr>
        <w:t xml:space="preserve"> Caxambu, set. 2006.</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rPr>
        <w:t>Breschi</w:t>
      </w:r>
      <w:r w:rsidRPr="00952732">
        <w:rPr>
          <w:rFonts w:ascii="Times New Roman" w:hAnsi="Times New Roman"/>
        </w:rPr>
        <w:t xml:space="preserve">, S.; </w:t>
      </w:r>
      <w:r w:rsidRPr="00952732">
        <w:rPr>
          <w:rFonts w:ascii="Times New Roman" w:hAnsi="Times New Roman"/>
          <w:caps/>
        </w:rPr>
        <w:t>Lissoni,</w:t>
      </w:r>
      <w:r w:rsidRPr="00952732">
        <w:rPr>
          <w:rFonts w:ascii="Times New Roman" w:hAnsi="Times New Roman"/>
        </w:rPr>
        <w:t xml:space="preserve"> F. </w:t>
      </w:r>
      <w:proofErr w:type="spellStart"/>
      <w:r w:rsidRPr="00952732">
        <w:rPr>
          <w:rFonts w:ascii="Times New Roman" w:hAnsi="Times New Roman"/>
          <w:b/>
        </w:rPr>
        <w:t>Mobility</w:t>
      </w:r>
      <w:proofErr w:type="spellEnd"/>
      <w:r w:rsidRPr="00952732">
        <w:rPr>
          <w:rFonts w:ascii="Times New Roman" w:hAnsi="Times New Roman"/>
          <w:b/>
        </w:rPr>
        <w:t xml:space="preserve"> </w:t>
      </w:r>
      <w:proofErr w:type="spellStart"/>
      <w:r w:rsidRPr="00952732">
        <w:rPr>
          <w:rFonts w:ascii="Times New Roman" w:hAnsi="Times New Roman"/>
          <w:b/>
        </w:rPr>
        <w:t>and</w:t>
      </w:r>
      <w:proofErr w:type="spellEnd"/>
      <w:r w:rsidRPr="00952732">
        <w:rPr>
          <w:rFonts w:ascii="Times New Roman" w:hAnsi="Times New Roman"/>
          <w:b/>
        </w:rPr>
        <w:t xml:space="preserve"> social networks. </w:t>
      </w:r>
      <w:proofErr w:type="spellStart"/>
      <w:r w:rsidRPr="00952732">
        <w:rPr>
          <w:rFonts w:ascii="Times New Roman" w:hAnsi="Times New Roman"/>
          <w:b/>
          <w:lang w:val="en-US"/>
        </w:rPr>
        <w:t>Localised</w:t>
      </w:r>
      <w:proofErr w:type="spellEnd"/>
      <w:r w:rsidRPr="00952732">
        <w:rPr>
          <w:rFonts w:ascii="Times New Roman" w:hAnsi="Times New Roman"/>
          <w:b/>
          <w:lang w:val="en-US"/>
        </w:rPr>
        <w:t xml:space="preserve"> knowledge spillovers revisited</w:t>
      </w:r>
      <w:r w:rsidRPr="00952732">
        <w:rPr>
          <w:rFonts w:ascii="Times New Roman" w:hAnsi="Times New Roman"/>
          <w:lang w:val="en-US"/>
        </w:rPr>
        <w:t>. CESPRI Working Paper No. 142, 2003.</w:t>
      </w:r>
    </w:p>
    <w:p w:rsidR="0073033C" w:rsidRPr="00952732" w:rsidRDefault="0073033C" w:rsidP="005D3BD3">
      <w:pPr>
        <w:pStyle w:val="SemEspaamento"/>
        <w:jc w:val="both"/>
        <w:rPr>
          <w:rFonts w:ascii="Times New Roman" w:hAnsi="Times New Roman"/>
          <w:caps/>
          <w:lang w:val="en-US"/>
        </w:rPr>
      </w:pPr>
      <w:r w:rsidRPr="00952732">
        <w:rPr>
          <w:rFonts w:ascii="Times New Roman" w:hAnsi="Times New Roman"/>
          <w:caps/>
          <w:lang w:val="en-US"/>
        </w:rPr>
        <w:t xml:space="preserve">COHEN, W. M. e LEVINTHAL, D. A.: </w:t>
      </w:r>
      <w:r w:rsidRPr="00952732">
        <w:rPr>
          <w:rFonts w:ascii="Times New Roman" w:hAnsi="Times New Roman"/>
          <w:lang w:val="en-US"/>
        </w:rPr>
        <w:t>Innovation and Learning: the two faces of R&amp;D</w:t>
      </w:r>
      <w:r w:rsidRPr="00952732">
        <w:rPr>
          <w:rFonts w:ascii="Times New Roman" w:hAnsi="Times New Roman"/>
          <w:caps/>
          <w:lang w:val="en-US"/>
        </w:rPr>
        <w:t xml:space="preserve">. </w:t>
      </w:r>
      <w:r w:rsidRPr="00952732">
        <w:rPr>
          <w:rFonts w:ascii="Times New Roman" w:hAnsi="Times New Roman"/>
          <w:b/>
          <w:lang w:val="en-US"/>
        </w:rPr>
        <w:t>Economic Journal</w:t>
      </w:r>
      <w:r w:rsidRPr="00952732">
        <w:rPr>
          <w:rFonts w:ascii="Times New Roman" w:hAnsi="Times New Roman"/>
          <w:caps/>
          <w:lang w:val="en-US"/>
        </w:rPr>
        <w:t>, v</w:t>
      </w:r>
      <w:r w:rsidRPr="00952732">
        <w:rPr>
          <w:rFonts w:ascii="Times New Roman" w:hAnsi="Times New Roman"/>
          <w:lang w:val="en-US"/>
        </w:rPr>
        <w:t>ol</w:t>
      </w:r>
      <w:r w:rsidRPr="00952732">
        <w:rPr>
          <w:rFonts w:ascii="Times New Roman" w:hAnsi="Times New Roman"/>
          <w:caps/>
          <w:lang w:val="en-US"/>
        </w:rPr>
        <w:t>.99, 569-596, 1989.</w:t>
      </w:r>
    </w:p>
    <w:p w:rsidR="0073033C" w:rsidRPr="00952732" w:rsidRDefault="0073033C" w:rsidP="005D3BD3">
      <w:pPr>
        <w:pStyle w:val="SemEspaamento"/>
        <w:jc w:val="both"/>
        <w:rPr>
          <w:rFonts w:ascii="Times New Roman" w:hAnsi="Times New Roman"/>
        </w:rPr>
      </w:pPr>
      <w:r w:rsidRPr="00952732">
        <w:rPr>
          <w:rFonts w:ascii="Times New Roman" w:hAnsi="Times New Roman"/>
        </w:rPr>
        <w:t xml:space="preserve">DA MATA, D., OLIVEIRA, C. W. A., PIN, C., RESENDE, G. </w:t>
      </w:r>
      <w:r w:rsidRPr="00952732">
        <w:rPr>
          <w:rFonts w:ascii="Times New Roman" w:hAnsi="Times New Roman"/>
          <w:b/>
        </w:rPr>
        <w:t>Quais características das cidades determinam a atração de migrantes qualificados?</w:t>
      </w:r>
      <w:r w:rsidRPr="00952732">
        <w:rPr>
          <w:rFonts w:ascii="Times New Roman" w:hAnsi="Times New Roman"/>
        </w:rPr>
        <w:t xml:space="preserve"> IPEA: Brasília, 2007 (Texto para Discussão, 1305).</w:t>
      </w:r>
    </w:p>
    <w:p w:rsidR="0073033C" w:rsidRPr="00952732" w:rsidRDefault="0073033C" w:rsidP="005D3BD3">
      <w:pPr>
        <w:pStyle w:val="SemEspaamento"/>
        <w:jc w:val="both"/>
        <w:rPr>
          <w:rFonts w:ascii="Times New Roman" w:hAnsi="Times New Roman"/>
        </w:rPr>
      </w:pPr>
      <w:r w:rsidRPr="00952732">
        <w:rPr>
          <w:rFonts w:ascii="Times New Roman" w:hAnsi="Times New Roman"/>
        </w:rPr>
        <w:t xml:space="preserve">DE NEGRI, J. A. </w:t>
      </w:r>
      <w:proofErr w:type="spellStart"/>
      <w:r w:rsidRPr="00952732">
        <w:rPr>
          <w:rFonts w:ascii="Times New Roman" w:hAnsi="Times New Roman"/>
          <w:i/>
        </w:rPr>
        <w:t>et</w:t>
      </w:r>
      <w:proofErr w:type="spellEnd"/>
      <w:r w:rsidRPr="00952732">
        <w:rPr>
          <w:rFonts w:ascii="Times New Roman" w:hAnsi="Times New Roman"/>
          <w:i/>
        </w:rPr>
        <w:t xml:space="preserve"> al.</w:t>
      </w:r>
      <w:r w:rsidRPr="00952732">
        <w:rPr>
          <w:rFonts w:ascii="Times New Roman" w:hAnsi="Times New Roman"/>
        </w:rPr>
        <w:t xml:space="preserve"> (2001). </w:t>
      </w:r>
      <w:r w:rsidRPr="00952732">
        <w:rPr>
          <w:rFonts w:ascii="Times New Roman" w:hAnsi="Times New Roman"/>
          <w:b/>
        </w:rPr>
        <w:t xml:space="preserve">Mercado Formal de Trabalho: comparação entre os </w:t>
      </w:r>
      <w:proofErr w:type="spellStart"/>
      <w:r w:rsidRPr="00952732">
        <w:rPr>
          <w:rFonts w:ascii="Times New Roman" w:hAnsi="Times New Roman"/>
          <w:b/>
        </w:rPr>
        <w:t>Microdados</w:t>
      </w:r>
      <w:proofErr w:type="spellEnd"/>
      <w:r w:rsidRPr="00952732">
        <w:rPr>
          <w:rFonts w:ascii="Times New Roman" w:hAnsi="Times New Roman"/>
          <w:b/>
        </w:rPr>
        <w:t xml:space="preserve"> da RAIS e da PNAD</w:t>
      </w:r>
      <w:r w:rsidRPr="00952732">
        <w:rPr>
          <w:rFonts w:ascii="Times New Roman" w:hAnsi="Times New Roman"/>
        </w:rPr>
        <w:t xml:space="preserve">. Brasília: IPEA, 2001. Texto para discussão nº 840. Disponível em &lt; </w:t>
      </w:r>
      <w:hyperlink r:id="rId22" w:history="1">
        <w:r w:rsidRPr="00952732">
          <w:rPr>
            <w:rStyle w:val="Hyperlink"/>
          </w:rPr>
          <w:t>http://www.ipea.gov.br/pub/td/td_2001/td_840.pdf</w:t>
        </w:r>
      </w:hyperlink>
      <w:r w:rsidRPr="00952732">
        <w:rPr>
          <w:rFonts w:ascii="Times New Roman" w:hAnsi="Times New Roman"/>
        </w:rPr>
        <w:t xml:space="preserve"> &gt; acessado em março de 2009.</w:t>
      </w:r>
    </w:p>
    <w:p w:rsidR="0073033C" w:rsidRPr="00952732" w:rsidRDefault="0073033C" w:rsidP="005D3BD3">
      <w:pPr>
        <w:pStyle w:val="SemEspaamento"/>
        <w:jc w:val="both"/>
        <w:rPr>
          <w:rFonts w:ascii="Times New Roman" w:hAnsi="Times New Roman"/>
          <w:caps/>
          <w:lang w:val="en-US"/>
        </w:rPr>
      </w:pPr>
      <w:r w:rsidRPr="00952732">
        <w:rPr>
          <w:rFonts w:ascii="Times New Roman" w:hAnsi="Times New Roman"/>
          <w:caps/>
          <w:lang w:val="en-US"/>
        </w:rPr>
        <w:t xml:space="preserve">FARBER, H. </w:t>
      </w:r>
      <w:r w:rsidRPr="00952732">
        <w:rPr>
          <w:rFonts w:ascii="Times New Roman" w:hAnsi="Times New Roman"/>
          <w:lang w:val="en-US"/>
        </w:rPr>
        <w:t xml:space="preserve">S. Mobility and stability: the dynamics of job change in labor markets. In: O. </w:t>
      </w:r>
      <w:proofErr w:type="spellStart"/>
      <w:r w:rsidRPr="00952732">
        <w:rPr>
          <w:rFonts w:ascii="Times New Roman" w:hAnsi="Times New Roman"/>
          <w:lang w:val="en-US"/>
        </w:rPr>
        <w:t>Ashenfelter</w:t>
      </w:r>
      <w:proofErr w:type="spellEnd"/>
      <w:r w:rsidRPr="00952732">
        <w:rPr>
          <w:rFonts w:ascii="Times New Roman" w:hAnsi="Times New Roman"/>
          <w:lang w:val="en-US"/>
        </w:rPr>
        <w:t xml:space="preserve"> and D. Card, eds., </w:t>
      </w:r>
      <w:r w:rsidRPr="00952732">
        <w:rPr>
          <w:rFonts w:ascii="Times New Roman" w:hAnsi="Times New Roman"/>
          <w:b/>
          <w:iCs/>
          <w:lang w:val="en-US"/>
        </w:rPr>
        <w:t>Handbook of Labor Economics</w:t>
      </w:r>
      <w:r w:rsidRPr="00952732">
        <w:rPr>
          <w:rFonts w:ascii="Times New Roman" w:hAnsi="Times New Roman"/>
          <w:lang w:val="en-US"/>
        </w:rPr>
        <w:t>, v. 3. New York, NY: Elsevier Science, 1999.</w:t>
      </w:r>
    </w:p>
    <w:p w:rsidR="0073033C" w:rsidRPr="00952732" w:rsidRDefault="0073033C" w:rsidP="005D3BD3">
      <w:pPr>
        <w:pStyle w:val="SemEspaamento"/>
        <w:jc w:val="both"/>
        <w:rPr>
          <w:rFonts w:ascii="Times New Roman" w:hAnsi="Times New Roman"/>
        </w:rPr>
      </w:pPr>
      <w:r w:rsidRPr="00952732">
        <w:rPr>
          <w:rFonts w:ascii="Times New Roman" w:hAnsi="Times New Roman"/>
          <w:caps/>
          <w:lang w:val="en-US"/>
        </w:rPr>
        <w:t>Feldman</w:t>
      </w:r>
      <w:r w:rsidRPr="00952732">
        <w:rPr>
          <w:rFonts w:ascii="Times New Roman" w:hAnsi="Times New Roman"/>
          <w:lang w:val="en-US"/>
        </w:rPr>
        <w:t>, M. P</w:t>
      </w:r>
      <w:r w:rsidRPr="00952732">
        <w:rPr>
          <w:rFonts w:ascii="Times New Roman" w:hAnsi="Times New Roman"/>
          <w:caps/>
          <w:lang w:val="en-US"/>
        </w:rPr>
        <w:t>.</w:t>
      </w:r>
      <w:r w:rsidRPr="00952732">
        <w:rPr>
          <w:rFonts w:ascii="Times New Roman" w:hAnsi="Times New Roman"/>
          <w:lang w:val="en-US"/>
        </w:rPr>
        <w:t xml:space="preserve"> The new economics of innovation, spillovers and agglomeration: a review of empirical studies. </w:t>
      </w:r>
      <w:proofErr w:type="spellStart"/>
      <w:r w:rsidRPr="00952732">
        <w:rPr>
          <w:rFonts w:ascii="Times New Roman" w:hAnsi="Times New Roman"/>
          <w:b/>
          <w:iCs/>
        </w:rPr>
        <w:t>Economics</w:t>
      </w:r>
      <w:proofErr w:type="spellEnd"/>
      <w:r w:rsidRPr="00952732">
        <w:rPr>
          <w:rFonts w:ascii="Times New Roman" w:hAnsi="Times New Roman"/>
          <w:b/>
          <w:iCs/>
        </w:rPr>
        <w:t xml:space="preserve"> </w:t>
      </w:r>
      <w:proofErr w:type="spellStart"/>
      <w:r w:rsidRPr="00952732">
        <w:rPr>
          <w:rFonts w:ascii="Times New Roman" w:hAnsi="Times New Roman"/>
          <w:b/>
          <w:iCs/>
        </w:rPr>
        <w:t>of</w:t>
      </w:r>
      <w:proofErr w:type="spellEnd"/>
      <w:r w:rsidRPr="00952732">
        <w:rPr>
          <w:rFonts w:ascii="Times New Roman" w:hAnsi="Times New Roman"/>
          <w:b/>
          <w:iCs/>
        </w:rPr>
        <w:t xml:space="preserve"> </w:t>
      </w:r>
      <w:proofErr w:type="spellStart"/>
      <w:r w:rsidRPr="00952732">
        <w:rPr>
          <w:rFonts w:ascii="Times New Roman" w:hAnsi="Times New Roman"/>
          <w:b/>
          <w:iCs/>
        </w:rPr>
        <w:t>Innovation</w:t>
      </w:r>
      <w:proofErr w:type="spellEnd"/>
      <w:r w:rsidRPr="00952732">
        <w:rPr>
          <w:rFonts w:ascii="Times New Roman" w:hAnsi="Times New Roman"/>
          <w:b/>
          <w:iCs/>
        </w:rPr>
        <w:t xml:space="preserve"> </w:t>
      </w:r>
      <w:proofErr w:type="spellStart"/>
      <w:r w:rsidRPr="00952732">
        <w:rPr>
          <w:rFonts w:ascii="Times New Roman" w:hAnsi="Times New Roman"/>
          <w:b/>
          <w:iCs/>
        </w:rPr>
        <w:t>and</w:t>
      </w:r>
      <w:proofErr w:type="spellEnd"/>
      <w:r w:rsidRPr="00952732">
        <w:rPr>
          <w:rFonts w:ascii="Times New Roman" w:hAnsi="Times New Roman"/>
          <w:b/>
          <w:iCs/>
        </w:rPr>
        <w:t xml:space="preserve"> </w:t>
      </w:r>
      <w:proofErr w:type="spellStart"/>
      <w:r w:rsidRPr="00952732">
        <w:rPr>
          <w:rFonts w:ascii="Times New Roman" w:hAnsi="Times New Roman"/>
          <w:b/>
          <w:iCs/>
        </w:rPr>
        <w:t>New</w:t>
      </w:r>
      <w:proofErr w:type="spellEnd"/>
      <w:r w:rsidRPr="00952732">
        <w:rPr>
          <w:rFonts w:ascii="Times New Roman" w:hAnsi="Times New Roman"/>
          <w:b/>
          <w:iCs/>
        </w:rPr>
        <w:t xml:space="preserve"> </w:t>
      </w:r>
      <w:proofErr w:type="spellStart"/>
      <w:r w:rsidRPr="00952732">
        <w:rPr>
          <w:rFonts w:ascii="Times New Roman" w:hAnsi="Times New Roman"/>
          <w:b/>
          <w:iCs/>
        </w:rPr>
        <w:t>Technology</w:t>
      </w:r>
      <w:proofErr w:type="spellEnd"/>
      <w:r w:rsidRPr="00952732">
        <w:rPr>
          <w:rFonts w:ascii="Times New Roman" w:hAnsi="Times New Roman"/>
          <w:b/>
          <w:iCs/>
        </w:rPr>
        <w:t xml:space="preserve">, </w:t>
      </w:r>
      <w:r w:rsidRPr="00952732">
        <w:rPr>
          <w:rFonts w:ascii="Times New Roman" w:hAnsi="Times New Roman"/>
          <w:iCs/>
        </w:rPr>
        <w:t xml:space="preserve">v. </w:t>
      </w:r>
      <w:r w:rsidRPr="00952732">
        <w:rPr>
          <w:rFonts w:ascii="Times New Roman" w:hAnsi="Times New Roman"/>
        </w:rPr>
        <w:t>8, p. 5-25, 1999.</w:t>
      </w:r>
    </w:p>
    <w:p w:rsidR="0073033C" w:rsidRPr="00952732" w:rsidRDefault="0073033C" w:rsidP="005D3BD3">
      <w:pPr>
        <w:pStyle w:val="SemEspaamento"/>
        <w:jc w:val="both"/>
        <w:rPr>
          <w:rFonts w:ascii="Times New Roman" w:hAnsi="Times New Roman"/>
        </w:rPr>
      </w:pPr>
      <w:r w:rsidRPr="00952732">
        <w:rPr>
          <w:rFonts w:ascii="Times New Roman" w:hAnsi="Times New Roman"/>
        </w:rPr>
        <w:t xml:space="preserve">FURTADO, A. T.; QUADROS, R. Padrões de intensidade tecnológica da indústria brasileira: um estudo comparativo com os países centrais. </w:t>
      </w:r>
      <w:r w:rsidRPr="00952732">
        <w:rPr>
          <w:rFonts w:ascii="Times New Roman" w:hAnsi="Times New Roman"/>
          <w:b/>
          <w:iCs/>
        </w:rPr>
        <w:t>São Paulo em Perspectiva</w:t>
      </w:r>
      <w:r w:rsidRPr="00952732">
        <w:rPr>
          <w:rFonts w:ascii="Times New Roman" w:hAnsi="Times New Roman"/>
        </w:rPr>
        <w:t>, São Paulo, Fundação Seade, v. 19, n. 1, p. 70-84, jan./mar. 2005.</w:t>
      </w:r>
    </w:p>
    <w:p w:rsidR="00696C8E" w:rsidRPr="00696C8E" w:rsidRDefault="00696C8E" w:rsidP="005D3BD3">
      <w:pPr>
        <w:pStyle w:val="SemEspaamento"/>
        <w:jc w:val="both"/>
        <w:rPr>
          <w:rFonts w:ascii="Times New Roman" w:hAnsi="Times New Roman"/>
        </w:rPr>
      </w:pPr>
      <w:r w:rsidRPr="00696C8E">
        <w:rPr>
          <w:rFonts w:ascii="Times New Roman" w:hAnsi="Times New Roman"/>
        </w:rPr>
        <w:t xml:space="preserve">FREGUGLIA, R. S. </w:t>
      </w:r>
      <w:r w:rsidRPr="00696C8E">
        <w:rPr>
          <w:rFonts w:ascii="Times New Roman" w:hAnsi="Times New Roman"/>
          <w:b/>
        </w:rPr>
        <w:t>Efeitos da migração sobre os salários no Brasil</w:t>
      </w:r>
      <w:r>
        <w:rPr>
          <w:rFonts w:ascii="Times New Roman" w:hAnsi="Times New Roman"/>
        </w:rPr>
        <w:t>. 2007. Tese (Doutorado em Economia) – Universidade de São Paulo, São Paulo, 2007.</w:t>
      </w:r>
    </w:p>
    <w:p w:rsidR="0073033C" w:rsidRPr="00952732" w:rsidRDefault="0073033C" w:rsidP="005D3BD3">
      <w:pPr>
        <w:pStyle w:val="SemEspaamento"/>
        <w:jc w:val="both"/>
        <w:rPr>
          <w:rFonts w:ascii="Times New Roman" w:hAnsi="Times New Roman"/>
        </w:rPr>
      </w:pPr>
      <w:r w:rsidRPr="00952732">
        <w:rPr>
          <w:rFonts w:ascii="Times New Roman" w:hAnsi="Times New Roman"/>
          <w:lang w:val="en-US"/>
        </w:rPr>
        <w:t xml:space="preserve">GOLGHER, A. B. ROSA, C.H. e ARAÚJO JÚNIOR, A.F. </w:t>
      </w:r>
      <w:r w:rsidRPr="00952732">
        <w:rPr>
          <w:rFonts w:ascii="Times New Roman" w:hAnsi="Times New Roman"/>
          <w:b/>
          <w:bCs/>
          <w:lang w:val="en-US"/>
        </w:rPr>
        <w:t>The determinants of migration in Brazil</w:t>
      </w:r>
      <w:r w:rsidRPr="00952732">
        <w:rPr>
          <w:rFonts w:ascii="Times New Roman" w:hAnsi="Times New Roman"/>
          <w:b/>
          <w:lang w:val="en-US"/>
        </w:rPr>
        <w:t>.</w:t>
      </w:r>
      <w:r w:rsidRPr="00952732">
        <w:rPr>
          <w:rFonts w:ascii="Times New Roman" w:hAnsi="Times New Roman"/>
          <w:lang w:val="en-US"/>
        </w:rPr>
        <w:t xml:space="preserve"> </w:t>
      </w:r>
      <w:r w:rsidRPr="00952732">
        <w:rPr>
          <w:rFonts w:ascii="Times New Roman" w:hAnsi="Times New Roman"/>
        </w:rPr>
        <w:t xml:space="preserve">Texto para discussão, nº 268. Belo Horizonte: UFMG/ CEDEPLAR, 2005. </w:t>
      </w:r>
    </w:p>
    <w:p w:rsidR="0073033C" w:rsidRPr="00952732" w:rsidRDefault="0073033C" w:rsidP="005D3BD3">
      <w:pPr>
        <w:pStyle w:val="SemEspaamento"/>
        <w:jc w:val="both"/>
        <w:rPr>
          <w:rFonts w:ascii="Times New Roman" w:hAnsi="Times New Roman"/>
        </w:rPr>
      </w:pPr>
      <w:r w:rsidRPr="00952732">
        <w:rPr>
          <w:rFonts w:ascii="Times New Roman" w:hAnsi="Times New Roman"/>
        </w:rPr>
        <w:lastRenderedPageBreak/>
        <w:t xml:space="preserve">GONZAGA, G. Rotatividade e qualidade do emprego no Brasil. </w:t>
      </w:r>
      <w:r w:rsidRPr="00952732">
        <w:rPr>
          <w:rFonts w:ascii="Times New Roman" w:hAnsi="Times New Roman"/>
          <w:b/>
          <w:iCs/>
        </w:rPr>
        <w:t>Revista de Economia Política</w:t>
      </w:r>
      <w:r w:rsidRPr="00952732">
        <w:rPr>
          <w:rFonts w:ascii="Times New Roman" w:hAnsi="Times New Roman"/>
        </w:rPr>
        <w:t>, v. 18, p. 120-140, jan./mar. 1998.</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Greene, W</w:t>
      </w:r>
      <w:r w:rsidRPr="00952732">
        <w:rPr>
          <w:rFonts w:ascii="Times New Roman" w:hAnsi="Times New Roman"/>
          <w:smallCaps/>
          <w:lang w:val="en-US"/>
        </w:rPr>
        <w:t xml:space="preserve">. </w:t>
      </w:r>
      <w:r w:rsidRPr="00952732">
        <w:rPr>
          <w:rFonts w:ascii="Times New Roman" w:hAnsi="Times New Roman"/>
          <w:b/>
          <w:smallCaps/>
          <w:lang w:val="en-US"/>
        </w:rPr>
        <w:t>E</w:t>
      </w:r>
      <w:r w:rsidRPr="00952732">
        <w:rPr>
          <w:rFonts w:ascii="Times New Roman" w:hAnsi="Times New Roman"/>
          <w:b/>
          <w:lang w:val="en-US"/>
        </w:rPr>
        <w:t>conometric analysis</w:t>
      </w:r>
      <w:r w:rsidRPr="00952732">
        <w:rPr>
          <w:rFonts w:ascii="Times New Roman" w:hAnsi="Times New Roman"/>
          <w:lang w:val="en-US"/>
        </w:rPr>
        <w:t xml:space="preserve">, cap. 19. New Jersey: Prentice Hall (4ª </w:t>
      </w:r>
      <w:proofErr w:type="spellStart"/>
      <w:r w:rsidRPr="00952732">
        <w:rPr>
          <w:rFonts w:ascii="Times New Roman" w:hAnsi="Times New Roman"/>
          <w:lang w:val="en-US"/>
        </w:rPr>
        <w:t>edição</w:t>
      </w:r>
      <w:proofErr w:type="spellEnd"/>
      <w:r w:rsidRPr="00952732">
        <w:rPr>
          <w:rFonts w:ascii="Times New Roman" w:hAnsi="Times New Roman"/>
          <w:lang w:val="en-US"/>
        </w:rPr>
        <w:t xml:space="preserve">), </w:t>
      </w:r>
      <w:r w:rsidRPr="00952732">
        <w:rPr>
          <w:rFonts w:ascii="Times New Roman" w:hAnsi="Times New Roman"/>
          <w:smallCaps/>
          <w:lang w:val="en-US"/>
        </w:rPr>
        <w:t>2000.</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Holzer</w:t>
      </w:r>
      <w:r w:rsidRPr="00952732">
        <w:rPr>
          <w:rFonts w:ascii="Times New Roman" w:hAnsi="Times New Roman"/>
          <w:lang w:val="en-US"/>
        </w:rPr>
        <w:t xml:space="preserve">, H.; </w:t>
      </w:r>
      <w:proofErr w:type="spellStart"/>
      <w:r w:rsidRPr="00952732">
        <w:rPr>
          <w:rFonts w:ascii="Times New Roman" w:hAnsi="Times New Roman"/>
          <w:lang w:val="en-US"/>
        </w:rPr>
        <w:t>La</w:t>
      </w:r>
      <w:r w:rsidRPr="00952732">
        <w:rPr>
          <w:rFonts w:ascii="Times New Roman" w:hAnsi="Times New Roman"/>
          <w:caps/>
          <w:lang w:val="en-US"/>
        </w:rPr>
        <w:t>Londe</w:t>
      </w:r>
      <w:proofErr w:type="spellEnd"/>
      <w:r w:rsidRPr="00952732">
        <w:rPr>
          <w:rFonts w:ascii="Times New Roman" w:hAnsi="Times New Roman"/>
          <w:lang w:val="en-US"/>
        </w:rPr>
        <w:t xml:space="preserve">, R. </w:t>
      </w:r>
      <w:r w:rsidRPr="00952732">
        <w:rPr>
          <w:rFonts w:ascii="Times New Roman" w:hAnsi="Times New Roman"/>
          <w:b/>
          <w:lang w:val="en-US"/>
        </w:rPr>
        <w:t>Job change and job stability among less-skilled young workers.</w:t>
      </w:r>
      <w:r w:rsidRPr="00952732">
        <w:rPr>
          <w:rFonts w:ascii="Times New Roman" w:hAnsi="Times New Roman"/>
          <w:lang w:val="en-US"/>
        </w:rPr>
        <w:t xml:space="preserve"> Institute for Research on Poverty Discussion Paper No. 1191-99. Madison, Wisconsin, May, 1999.</w:t>
      </w:r>
    </w:p>
    <w:p w:rsidR="00952732" w:rsidRPr="00952732" w:rsidRDefault="00952732" w:rsidP="005D3BD3">
      <w:pPr>
        <w:pStyle w:val="SemEspaamento"/>
        <w:jc w:val="both"/>
        <w:rPr>
          <w:rFonts w:ascii="Times New Roman" w:hAnsi="Times New Roman"/>
          <w:lang w:val="en-US"/>
        </w:rPr>
      </w:pPr>
      <w:r w:rsidRPr="00952732">
        <w:rPr>
          <w:rFonts w:ascii="Times New Roman" w:hAnsi="Times New Roman"/>
        </w:rPr>
        <w:t xml:space="preserve">IBGE. </w:t>
      </w:r>
      <w:r w:rsidRPr="00952732">
        <w:rPr>
          <w:rFonts w:ascii="Times New Roman" w:hAnsi="Times New Roman"/>
          <w:b/>
        </w:rPr>
        <w:t>Mapa do mercado de trabalho no Brasil</w:t>
      </w:r>
      <w:r w:rsidRPr="00952732">
        <w:rPr>
          <w:rFonts w:ascii="Times New Roman" w:hAnsi="Times New Roman"/>
        </w:rPr>
        <w:t xml:space="preserve">. Rio de Janeiro, 1994 </w:t>
      </w:r>
      <w:r w:rsidRPr="00952732">
        <w:rPr>
          <w:rFonts w:ascii="Times New Roman" w:hAnsi="Times New Roman"/>
          <w:i/>
        </w:rPr>
        <w:t>apud</w:t>
      </w:r>
      <w:r w:rsidRPr="00952732">
        <w:rPr>
          <w:rFonts w:ascii="Times New Roman" w:hAnsi="Times New Roman"/>
        </w:rPr>
        <w:t xml:space="preserve"> OLIVEIRA, A. M. H. C. e MACHADO, A. F. Mobilidade ocupacional e rendimentos no Brasil metropolitano: 1991-96. </w:t>
      </w:r>
      <w:proofErr w:type="spellStart"/>
      <w:r w:rsidRPr="00952732">
        <w:rPr>
          <w:rFonts w:ascii="Times New Roman" w:hAnsi="Times New Roman"/>
          <w:lang w:val="en-US"/>
        </w:rPr>
        <w:t>Pesquisa</w:t>
      </w:r>
      <w:proofErr w:type="spellEnd"/>
      <w:r w:rsidRPr="00952732">
        <w:rPr>
          <w:rFonts w:ascii="Times New Roman" w:hAnsi="Times New Roman"/>
          <w:lang w:val="en-US"/>
        </w:rPr>
        <w:t xml:space="preserve"> e </w:t>
      </w:r>
      <w:proofErr w:type="spellStart"/>
      <w:r w:rsidRPr="00952732">
        <w:rPr>
          <w:rFonts w:ascii="Times New Roman" w:hAnsi="Times New Roman"/>
          <w:lang w:val="en-US"/>
        </w:rPr>
        <w:t>Planejamento</w:t>
      </w:r>
      <w:proofErr w:type="spellEnd"/>
      <w:r w:rsidRPr="00952732">
        <w:rPr>
          <w:rFonts w:ascii="Times New Roman" w:hAnsi="Times New Roman"/>
          <w:lang w:val="en-US"/>
        </w:rPr>
        <w:t xml:space="preserve"> </w:t>
      </w:r>
      <w:proofErr w:type="spellStart"/>
      <w:r w:rsidRPr="00952732">
        <w:rPr>
          <w:rFonts w:ascii="Times New Roman" w:hAnsi="Times New Roman"/>
          <w:lang w:val="en-US"/>
        </w:rPr>
        <w:t>Econômico</w:t>
      </w:r>
      <w:proofErr w:type="spellEnd"/>
      <w:r w:rsidRPr="00952732">
        <w:rPr>
          <w:rFonts w:ascii="Times New Roman" w:hAnsi="Times New Roman"/>
          <w:lang w:val="en-US"/>
        </w:rPr>
        <w:t>, v. 30, n. 1, 2000.</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Kulu</w:t>
      </w:r>
      <w:r w:rsidRPr="00952732">
        <w:rPr>
          <w:rFonts w:ascii="Times New Roman" w:hAnsi="Times New Roman"/>
          <w:lang w:val="en-US"/>
        </w:rPr>
        <w:t xml:space="preserve">, H.; </w:t>
      </w:r>
      <w:r w:rsidRPr="00952732">
        <w:rPr>
          <w:rFonts w:ascii="Times New Roman" w:hAnsi="Times New Roman"/>
          <w:caps/>
          <w:lang w:val="en-US"/>
        </w:rPr>
        <w:t>Billari</w:t>
      </w:r>
      <w:r w:rsidRPr="00952732">
        <w:rPr>
          <w:rFonts w:ascii="Times New Roman" w:hAnsi="Times New Roman"/>
          <w:lang w:val="en-US"/>
        </w:rPr>
        <w:t xml:space="preserve">, F. C. Multilevel analysis of internal migration in a transitional country: the case of Estonia. </w:t>
      </w:r>
      <w:r w:rsidRPr="00952732">
        <w:rPr>
          <w:rFonts w:ascii="Times New Roman" w:hAnsi="Times New Roman"/>
          <w:b/>
          <w:lang w:val="en-US"/>
        </w:rPr>
        <w:t>Regional Studies</w:t>
      </w:r>
      <w:r w:rsidRPr="00952732">
        <w:rPr>
          <w:rFonts w:ascii="Times New Roman" w:hAnsi="Times New Roman"/>
          <w:lang w:val="en-US"/>
        </w:rPr>
        <w:t>, v. 38, p. 679-696, 2004.</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Massey</w:t>
      </w:r>
      <w:r w:rsidRPr="00952732">
        <w:rPr>
          <w:rFonts w:ascii="Times New Roman" w:hAnsi="Times New Roman"/>
          <w:lang w:val="en-US"/>
        </w:rPr>
        <w:t xml:space="preserve">, D., </w:t>
      </w:r>
      <w:r w:rsidRPr="00952732">
        <w:rPr>
          <w:rFonts w:ascii="Times New Roman" w:hAnsi="Times New Roman"/>
          <w:i/>
          <w:lang w:val="en-US"/>
        </w:rPr>
        <w:t>et al.</w:t>
      </w:r>
      <w:r w:rsidRPr="00952732">
        <w:rPr>
          <w:rFonts w:ascii="Times New Roman" w:hAnsi="Times New Roman"/>
          <w:lang w:val="en-US"/>
        </w:rPr>
        <w:t xml:space="preserve"> Theories of international migration: a review and appraisal. </w:t>
      </w:r>
      <w:r w:rsidRPr="00952732">
        <w:rPr>
          <w:rFonts w:ascii="Times New Roman" w:hAnsi="Times New Roman"/>
          <w:b/>
          <w:lang w:val="en-US"/>
        </w:rPr>
        <w:t>Population and Development Review</w:t>
      </w:r>
      <w:r w:rsidRPr="00952732">
        <w:rPr>
          <w:rFonts w:ascii="Times New Roman" w:hAnsi="Times New Roman"/>
          <w:lang w:val="en-US"/>
        </w:rPr>
        <w:t xml:space="preserve"> , v. 19, n. 3, p. 431-466, 1993.</w:t>
      </w:r>
    </w:p>
    <w:p w:rsidR="0073033C" w:rsidRPr="00952732" w:rsidRDefault="0073033C" w:rsidP="005D3BD3">
      <w:pPr>
        <w:pStyle w:val="SemEspaamento"/>
        <w:jc w:val="both"/>
        <w:rPr>
          <w:rFonts w:ascii="Times New Roman" w:hAnsi="Times New Roman"/>
        </w:rPr>
      </w:pPr>
      <w:r w:rsidRPr="00952732">
        <w:rPr>
          <w:rFonts w:ascii="Times New Roman" w:hAnsi="Times New Roman"/>
          <w:lang w:val="en-US"/>
        </w:rPr>
        <w:t xml:space="preserve">MUKKALA, K. Knowledge spillovers - mobility of highly educated workers within high technology sector in Finland. </w:t>
      </w:r>
      <w:r w:rsidRPr="00952732">
        <w:rPr>
          <w:rFonts w:ascii="Times New Roman" w:hAnsi="Times New Roman"/>
          <w:b/>
          <w:bCs/>
          <w:lang w:val="en-US"/>
        </w:rPr>
        <w:t xml:space="preserve">Congress of the European Regional Science Association, </w:t>
      </w:r>
      <w:r w:rsidRPr="00952732">
        <w:rPr>
          <w:rFonts w:ascii="Times New Roman" w:hAnsi="Times New Roman"/>
          <w:lang w:val="en-US"/>
        </w:rPr>
        <w:t xml:space="preserve">45, Amsterdam, </w:t>
      </w:r>
      <w:proofErr w:type="spellStart"/>
      <w:r w:rsidRPr="00952732">
        <w:rPr>
          <w:rFonts w:ascii="Times New Roman" w:hAnsi="Times New Roman"/>
          <w:lang w:val="en-US"/>
        </w:rPr>
        <w:t>Holanda</w:t>
      </w:r>
      <w:proofErr w:type="spellEnd"/>
      <w:r w:rsidRPr="00952732">
        <w:rPr>
          <w:rFonts w:ascii="Times New Roman" w:hAnsi="Times New Roman"/>
          <w:lang w:val="en-US"/>
        </w:rPr>
        <w:t xml:space="preserve">. </w:t>
      </w:r>
      <w:proofErr w:type="spellStart"/>
      <w:r w:rsidRPr="00952732">
        <w:rPr>
          <w:rFonts w:ascii="Times New Roman" w:hAnsi="Times New Roman"/>
          <w:lang w:val="en-US"/>
        </w:rPr>
        <w:t>agost</w:t>
      </w:r>
      <w:proofErr w:type="spellEnd"/>
      <w:r w:rsidRPr="00952732">
        <w:rPr>
          <w:rFonts w:ascii="Times New Roman" w:hAnsi="Times New Roman"/>
          <w:lang w:val="en-US"/>
        </w:rPr>
        <w:t xml:space="preserve">. </w:t>
      </w:r>
      <w:r w:rsidRPr="00952732">
        <w:rPr>
          <w:rFonts w:ascii="Times New Roman" w:hAnsi="Times New Roman"/>
        </w:rPr>
        <w:t>2005.</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rPr>
        <w:t>OLIVEIRA, A. M. H. C</w:t>
      </w:r>
      <w:r w:rsidR="00952732" w:rsidRPr="00952732">
        <w:rPr>
          <w:rFonts w:ascii="Times New Roman" w:hAnsi="Times New Roman"/>
        </w:rPr>
        <w:t>,</w:t>
      </w:r>
      <w:r w:rsidRPr="00952732">
        <w:rPr>
          <w:rFonts w:ascii="Times New Roman" w:hAnsi="Times New Roman"/>
        </w:rPr>
        <w:t xml:space="preserve"> MACHADO, A. F. Mobilidade Ocupacional e rendimentos no Brasil Metropolitano: 1991-96. </w:t>
      </w:r>
      <w:proofErr w:type="spellStart"/>
      <w:r w:rsidRPr="00952732">
        <w:rPr>
          <w:rFonts w:ascii="Times New Roman" w:hAnsi="Times New Roman"/>
          <w:b/>
          <w:lang w:val="en-US"/>
        </w:rPr>
        <w:t>Pesquisa</w:t>
      </w:r>
      <w:proofErr w:type="spellEnd"/>
      <w:r w:rsidRPr="00952732">
        <w:rPr>
          <w:rFonts w:ascii="Times New Roman" w:hAnsi="Times New Roman"/>
          <w:b/>
          <w:lang w:val="en-US"/>
        </w:rPr>
        <w:t xml:space="preserve"> e </w:t>
      </w:r>
      <w:proofErr w:type="spellStart"/>
      <w:r w:rsidRPr="00952732">
        <w:rPr>
          <w:rFonts w:ascii="Times New Roman" w:hAnsi="Times New Roman"/>
          <w:b/>
          <w:lang w:val="en-US"/>
        </w:rPr>
        <w:t>Planejamento</w:t>
      </w:r>
      <w:proofErr w:type="spellEnd"/>
      <w:r w:rsidRPr="00952732">
        <w:rPr>
          <w:rFonts w:ascii="Times New Roman" w:hAnsi="Times New Roman"/>
          <w:b/>
          <w:lang w:val="en-US"/>
        </w:rPr>
        <w:t xml:space="preserve"> </w:t>
      </w:r>
      <w:proofErr w:type="spellStart"/>
      <w:r w:rsidRPr="00952732">
        <w:rPr>
          <w:rFonts w:ascii="Times New Roman" w:hAnsi="Times New Roman"/>
          <w:b/>
          <w:lang w:val="en-US"/>
        </w:rPr>
        <w:t>Econômico</w:t>
      </w:r>
      <w:proofErr w:type="spellEnd"/>
      <w:r w:rsidRPr="00952732">
        <w:rPr>
          <w:rFonts w:ascii="Times New Roman" w:hAnsi="Times New Roman"/>
          <w:lang w:val="en-US"/>
        </w:rPr>
        <w:t>, v. 30, n. 1, 2000.</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Pacelli,</w:t>
      </w:r>
      <w:r w:rsidRPr="00952732">
        <w:rPr>
          <w:rFonts w:ascii="Times New Roman" w:hAnsi="Times New Roman"/>
          <w:lang w:val="en-US"/>
        </w:rPr>
        <w:t xml:space="preserve"> L.</w:t>
      </w:r>
      <w:r w:rsidR="00952732" w:rsidRPr="00952732">
        <w:rPr>
          <w:rFonts w:ascii="Times New Roman" w:hAnsi="Times New Roman"/>
          <w:lang w:val="en-US"/>
        </w:rPr>
        <w:t>,</w:t>
      </w:r>
      <w:r w:rsidRPr="00952732">
        <w:rPr>
          <w:rFonts w:ascii="Times New Roman" w:hAnsi="Times New Roman"/>
          <w:lang w:val="en-US"/>
        </w:rPr>
        <w:t xml:space="preserve"> </w:t>
      </w:r>
      <w:r w:rsidRPr="00952732">
        <w:rPr>
          <w:rFonts w:ascii="Times New Roman" w:hAnsi="Times New Roman"/>
          <w:caps/>
          <w:lang w:val="en-US"/>
        </w:rPr>
        <w:t xml:space="preserve">Rapiti, </w:t>
      </w:r>
      <w:r w:rsidRPr="00952732">
        <w:rPr>
          <w:rFonts w:ascii="Times New Roman" w:hAnsi="Times New Roman"/>
          <w:lang w:val="en-US"/>
        </w:rPr>
        <w:t>F</w:t>
      </w:r>
      <w:r w:rsidRPr="00952732">
        <w:rPr>
          <w:rFonts w:ascii="Times New Roman" w:hAnsi="Times New Roman"/>
          <w:caps/>
          <w:lang w:val="en-US"/>
        </w:rPr>
        <w:t>.</w:t>
      </w:r>
      <w:r w:rsidR="00952732" w:rsidRPr="00952732">
        <w:rPr>
          <w:rFonts w:ascii="Times New Roman" w:hAnsi="Times New Roman"/>
          <w:caps/>
          <w:lang w:val="en-US"/>
        </w:rPr>
        <w:t>,</w:t>
      </w:r>
      <w:r w:rsidRPr="00952732">
        <w:rPr>
          <w:rFonts w:ascii="Times New Roman" w:hAnsi="Times New Roman"/>
          <w:lang w:val="en-US"/>
        </w:rPr>
        <w:t xml:space="preserve"> </w:t>
      </w:r>
      <w:r w:rsidRPr="00952732">
        <w:rPr>
          <w:rFonts w:ascii="Times New Roman" w:hAnsi="Times New Roman"/>
          <w:caps/>
          <w:lang w:val="en-US"/>
        </w:rPr>
        <w:t xml:space="preserve">Revelli, </w:t>
      </w:r>
      <w:r w:rsidRPr="00952732">
        <w:rPr>
          <w:rFonts w:ascii="Times New Roman" w:hAnsi="Times New Roman"/>
          <w:lang w:val="en-US"/>
        </w:rPr>
        <w:t xml:space="preserve">R. Employment and mobility of workers in industries with different intensity of innovation: evidence on Italy from a panel of workers and firms, </w:t>
      </w:r>
      <w:r w:rsidRPr="00952732">
        <w:rPr>
          <w:rFonts w:ascii="Times New Roman" w:hAnsi="Times New Roman"/>
          <w:b/>
          <w:iCs/>
          <w:lang w:val="en-US"/>
        </w:rPr>
        <w:t>Economics of Innovation and new Technology</w:t>
      </w:r>
      <w:r w:rsidRPr="00952732">
        <w:rPr>
          <w:rFonts w:ascii="Times New Roman" w:hAnsi="Times New Roman"/>
          <w:lang w:val="en-US"/>
        </w:rPr>
        <w:t>, v. 5, p. 273-300, 1998.</w:t>
      </w:r>
    </w:p>
    <w:p w:rsidR="0073033C" w:rsidRPr="00952732" w:rsidRDefault="0073033C" w:rsidP="005D3BD3">
      <w:pPr>
        <w:pStyle w:val="SemEspaamento"/>
        <w:jc w:val="both"/>
        <w:rPr>
          <w:rFonts w:ascii="Times New Roman" w:hAnsi="Times New Roman"/>
        </w:rPr>
      </w:pPr>
      <w:r w:rsidRPr="00952732">
        <w:rPr>
          <w:rFonts w:ascii="Times New Roman" w:hAnsi="Times New Roman"/>
          <w:caps/>
          <w:lang w:val="en-US"/>
        </w:rPr>
        <w:t>Pekkala</w:t>
      </w:r>
      <w:r w:rsidRPr="00952732">
        <w:rPr>
          <w:rFonts w:ascii="Times New Roman" w:hAnsi="Times New Roman"/>
          <w:lang w:val="en-US"/>
        </w:rPr>
        <w:t xml:space="preserve">, S. Migration flows in Finland: regional differences in migration determinants and migrant types. </w:t>
      </w:r>
      <w:proofErr w:type="spellStart"/>
      <w:r w:rsidRPr="00952732">
        <w:rPr>
          <w:rFonts w:ascii="Times New Roman" w:hAnsi="Times New Roman"/>
          <w:b/>
          <w:iCs/>
        </w:rPr>
        <w:t>International</w:t>
      </w:r>
      <w:proofErr w:type="spellEnd"/>
      <w:r w:rsidRPr="00952732">
        <w:rPr>
          <w:rFonts w:ascii="Times New Roman" w:hAnsi="Times New Roman"/>
          <w:b/>
          <w:iCs/>
        </w:rPr>
        <w:t xml:space="preserve"> Regional </w:t>
      </w:r>
      <w:proofErr w:type="spellStart"/>
      <w:r w:rsidRPr="00952732">
        <w:rPr>
          <w:rFonts w:ascii="Times New Roman" w:hAnsi="Times New Roman"/>
          <w:b/>
          <w:iCs/>
        </w:rPr>
        <w:t>Science</w:t>
      </w:r>
      <w:proofErr w:type="spellEnd"/>
      <w:r w:rsidRPr="00952732">
        <w:rPr>
          <w:rFonts w:ascii="Times New Roman" w:hAnsi="Times New Roman"/>
          <w:b/>
          <w:iCs/>
        </w:rPr>
        <w:t xml:space="preserve"> </w:t>
      </w:r>
      <w:proofErr w:type="spellStart"/>
      <w:r w:rsidRPr="00952732">
        <w:rPr>
          <w:rFonts w:ascii="Times New Roman" w:hAnsi="Times New Roman"/>
          <w:b/>
          <w:iCs/>
        </w:rPr>
        <w:t>Review</w:t>
      </w:r>
      <w:proofErr w:type="spellEnd"/>
      <w:r w:rsidRPr="00952732">
        <w:rPr>
          <w:rFonts w:ascii="Times New Roman" w:hAnsi="Times New Roman"/>
          <w:iCs/>
        </w:rPr>
        <w:t>, v.</w:t>
      </w:r>
      <w:r w:rsidRPr="00952732">
        <w:rPr>
          <w:rFonts w:ascii="Times New Roman" w:hAnsi="Times New Roman"/>
          <w:i/>
          <w:iCs/>
        </w:rPr>
        <w:t xml:space="preserve"> </w:t>
      </w:r>
      <w:r w:rsidRPr="00952732">
        <w:rPr>
          <w:rFonts w:ascii="Times New Roman" w:hAnsi="Times New Roman"/>
        </w:rPr>
        <w:t>26, p. 466-482, 2003.</w:t>
      </w:r>
    </w:p>
    <w:p w:rsidR="0073033C" w:rsidRPr="00952732" w:rsidRDefault="0073033C" w:rsidP="005D3BD3">
      <w:pPr>
        <w:pStyle w:val="SemEspaamento"/>
        <w:jc w:val="both"/>
        <w:rPr>
          <w:rFonts w:ascii="Times New Roman" w:hAnsi="Times New Roman"/>
          <w:color w:val="000000"/>
        </w:rPr>
      </w:pPr>
      <w:r w:rsidRPr="00952732">
        <w:rPr>
          <w:rFonts w:ascii="Times New Roman" w:hAnsi="Times New Roman"/>
          <w:bCs/>
        </w:rPr>
        <w:t>SABBADINI, R. e AZZONI, C. R. Migração Interestadual de Pessoal Altamente Educado: Evidências sobre a Fuga de Cérebros.</w:t>
      </w:r>
      <w:r w:rsidRPr="00952732">
        <w:rPr>
          <w:rFonts w:ascii="Times New Roman" w:hAnsi="Times New Roman"/>
          <w:color w:val="000000"/>
        </w:rPr>
        <w:t xml:space="preserve"> . In: ENCONTRO NACIONAL DE ECONOMIA, 34, Salvador. </w:t>
      </w:r>
      <w:r w:rsidRPr="00952732">
        <w:rPr>
          <w:rFonts w:ascii="Times New Roman" w:hAnsi="Times New Roman"/>
          <w:b/>
          <w:color w:val="000000"/>
        </w:rPr>
        <w:t>Anais</w:t>
      </w:r>
      <w:r w:rsidRPr="00952732">
        <w:rPr>
          <w:rFonts w:ascii="Times New Roman" w:hAnsi="Times New Roman"/>
          <w:color w:val="000000"/>
        </w:rPr>
        <w:t xml:space="preserve"> Salvador: ANPEC, 2006. (Disponível em CD-ROM)</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lang w:val="en-US"/>
        </w:rPr>
        <w:t xml:space="preserve">SAHOTA, G. S. An economic analysis of internal migration in Brazil. </w:t>
      </w:r>
      <w:r w:rsidRPr="00952732">
        <w:rPr>
          <w:rFonts w:ascii="Times New Roman" w:hAnsi="Times New Roman"/>
          <w:b/>
          <w:lang w:val="en-US"/>
        </w:rPr>
        <w:t>Journal of Political Economy</w:t>
      </w:r>
      <w:r w:rsidRPr="00952732">
        <w:rPr>
          <w:rFonts w:ascii="Times New Roman" w:hAnsi="Times New Roman"/>
          <w:lang w:val="en-US"/>
        </w:rPr>
        <w:t>, v.76, n.2, p.218-245, 1968.</w:t>
      </w:r>
    </w:p>
    <w:p w:rsidR="007255D0" w:rsidRPr="00952732" w:rsidRDefault="007255D0" w:rsidP="005D3BD3">
      <w:pPr>
        <w:pStyle w:val="SemEspaamento"/>
        <w:jc w:val="both"/>
        <w:rPr>
          <w:rFonts w:ascii="Times New Roman" w:hAnsi="Times New Roman"/>
          <w:lang w:val="en-US"/>
        </w:rPr>
      </w:pPr>
      <w:r w:rsidRPr="00952732">
        <w:rPr>
          <w:rFonts w:ascii="Times New Roman" w:hAnsi="Times New Roman"/>
          <w:lang w:val="en-US" w:eastAsia="en-US"/>
        </w:rPr>
        <w:t xml:space="preserve">SCHWARTZ, A. Migration, age and education. </w:t>
      </w:r>
      <w:r w:rsidRPr="00952732">
        <w:rPr>
          <w:rFonts w:ascii="Times New Roman" w:hAnsi="Times New Roman"/>
          <w:b/>
          <w:iCs/>
          <w:lang w:val="en-US" w:eastAsia="en-US"/>
        </w:rPr>
        <w:t>Journal of Political Economy</w:t>
      </w:r>
      <w:r w:rsidRPr="00952732">
        <w:rPr>
          <w:rFonts w:ascii="Times New Roman" w:hAnsi="Times New Roman"/>
          <w:b/>
          <w:lang w:val="en-US" w:eastAsia="en-US"/>
        </w:rPr>
        <w:t xml:space="preserve">, </w:t>
      </w:r>
      <w:r w:rsidRPr="00952732">
        <w:rPr>
          <w:rFonts w:ascii="Times New Roman" w:hAnsi="Times New Roman"/>
          <w:lang w:val="en-US" w:eastAsia="en-US"/>
        </w:rPr>
        <w:t>84 (4), p. 701-720, 1976.</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lang w:val="en-US"/>
        </w:rPr>
        <w:t xml:space="preserve">SJAASTAD, L. A. The costs and returns of human migration. </w:t>
      </w:r>
      <w:r w:rsidRPr="00952732">
        <w:rPr>
          <w:rFonts w:ascii="Times New Roman" w:hAnsi="Times New Roman"/>
          <w:b/>
          <w:lang w:val="en-US"/>
        </w:rPr>
        <w:t>Journal of Political Economy</w:t>
      </w:r>
      <w:r w:rsidRPr="00952732">
        <w:rPr>
          <w:rFonts w:ascii="Times New Roman" w:hAnsi="Times New Roman"/>
          <w:lang w:val="en-US"/>
        </w:rPr>
        <w:t>, Supplement 70, n. 5, p. 80-93, out. 1962.</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Song, J.</w:t>
      </w:r>
      <w:r w:rsidR="00952732" w:rsidRPr="00952732">
        <w:rPr>
          <w:rFonts w:ascii="Times New Roman" w:hAnsi="Times New Roman"/>
          <w:caps/>
          <w:lang w:val="en-US"/>
        </w:rPr>
        <w:t>,</w:t>
      </w:r>
      <w:r w:rsidRPr="00952732">
        <w:rPr>
          <w:rFonts w:ascii="Times New Roman" w:hAnsi="Times New Roman"/>
          <w:caps/>
          <w:lang w:val="en-US"/>
        </w:rPr>
        <w:t xml:space="preserve"> Almeida, P.</w:t>
      </w:r>
      <w:r w:rsidR="00952732" w:rsidRPr="00952732">
        <w:rPr>
          <w:rFonts w:ascii="Times New Roman" w:hAnsi="Times New Roman"/>
          <w:caps/>
          <w:lang w:val="en-US"/>
        </w:rPr>
        <w:t>,</w:t>
      </w:r>
      <w:r w:rsidRPr="00952732">
        <w:rPr>
          <w:rFonts w:ascii="Times New Roman" w:hAnsi="Times New Roman"/>
          <w:lang w:val="en-US"/>
        </w:rPr>
        <w:t xml:space="preserve"> </w:t>
      </w:r>
      <w:r w:rsidRPr="00952732">
        <w:rPr>
          <w:rFonts w:ascii="Times New Roman" w:hAnsi="Times New Roman"/>
          <w:caps/>
          <w:lang w:val="en-US"/>
        </w:rPr>
        <w:t>Wu, G</w:t>
      </w:r>
      <w:r w:rsidRPr="00952732">
        <w:rPr>
          <w:rFonts w:ascii="Times New Roman" w:hAnsi="Times New Roman"/>
          <w:lang w:val="en-US"/>
        </w:rPr>
        <w:t xml:space="preserve">. Learning-by-hiring: when is mobility more likely to facilitate </w:t>
      </w:r>
      <w:proofErr w:type="spellStart"/>
      <w:r w:rsidRPr="00952732">
        <w:rPr>
          <w:rFonts w:ascii="Times New Roman" w:hAnsi="Times New Roman"/>
          <w:lang w:val="en-US"/>
        </w:rPr>
        <w:t>interfirm</w:t>
      </w:r>
      <w:proofErr w:type="spellEnd"/>
      <w:r w:rsidRPr="00952732">
        <w:rPr>
          <w:rFonts w:ascii="Times New Roman" w:hAnsi="Times New Roman"/>
          <w:lang w:val="en-US"/>
        </w:rPr>
        <w:t xml:space="preserve"> knowledge transfer? </w:t>
      </w:r>
      <w:r w:rsidRPr="00952732">
        <w:rPr>
          <w:rFonts w:ascii="Times New Roman" w:hAnsi="Times New Roman"/>
          <w:b/>
          <w:iCs/>
          <w:lang w:val="en-US"/>
        </w:rPr>
        <w:t>Management Science</w:t>
      </w:r>
      <w:r w:rsidRPr="00952732">
        <w:rPr>
          <w:rFonts w:ascii="Times New Roman" w:hAnsi="Times New Roman"/>
          <w:iCs/>
          <w:lang w:val="en-US"/>
        </w:rPr>
        <w:t xml:space="preserve">, v. </w:t>
      </w:r>
      <w:r w:rsidRPr="00952732">
        <w:rPr>
          <w:rFonts w:ascii="Times New Roman" w:hAnsi="Times New Roman"/>
          <w:lang w:val="en-US"/>
        </w:rPr>
        <w:t>49, n. 4, p. 351–365, 2003.</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caps/>
          <w:lang w:val="en-US"/>
        </w:rPr>
        <w:t>Stambol</w:t>
      </w:r>
      <w:r w:rsidRPr="00952732">
        <w:rPr>
          <w:rFonts w:ascii="Times New Roman" w:hAnsi="Times New Roman"/>
          <w:lang w:val="en-US"/>
        </w:rPr>
        <w:t xml:space="preserve">, L. S. </w:t>
      </w:r>
      <w:r w:rsidRPr="00952732">
        <w:rPr>
          <w:rFonts w:ascii="Times New Roman" w:hAnsi="Times New Roman"/>
          <w:b/>
          <w:lang w:val="en-US"/>
        </w:rPr>
        <w:t xml:space="preserve">Urban and regional </w:t>
      </w:r>
      <w:proofErr w:type="spellStart"/>
      <w:r w:rsidRPr="00952732">
        <w:rPr>
          <w:rFonts w:ascii="Times New Roman" w:hAnsi="Times New Roman"/>
          <w:b/>
          <w:lang w:val="en-US"/>
        </w:rPr>
        <w:t>labour</w:t>
      </w:r>
      <w:proofErr w:type="spellEnd"/>
      <w:r w:rsidRPr="00952732">
        <w:rPr>
          <w:rFonts w:ascii="Times New Roman" w:hAnsi="Times New Roman"/>
          <w:b/>
          <w:lang w:val="en-US"/>
        </w:rPr>
        <w:t xml:space="preserve"> mobility performance in Norway</w:t>
      </w:r>
      <w:r w:rsidRPr="00952732">
        <w:rPr>
          <w:rFonts w:ascii="Times New Roman" w:hAnsi="Times New Roman"/>
          <w:lang w:val="en-US"/>
        </w:rPr>
        <w:t>. Paper presented at the 43 Congress of the European Science Association, Jyvaskyla, Finland, 2003b.</w:t>
      </w:r>
    </w:p>
    <w:p w:rsidR="0073033C" w:rsidRPr="00952732" w:rsidRDefault="0073033C" w:rsidP="005D3BD3">
      <w:pPr>
        <w:pStyle w:val="SemEspaamento"/>
        <w:jc w:val="both"/>
        <w:rPr>
          <w:rFonts w:ascii="Times New Roman" w:hAnsi="Times New Roman"/>
          <w:lang w:val="en-US"/>
        </w:rPr>
      </w:pPr>
      <w:r w:rsidRPr="00952732">
        <w:rPr>
          <w:rFonts w:ascii="Times New Roman" w:hAnsi="Times New Roman"/>
          <w:bCs/>
          <w:lang w:val="en-US"/>
        </w:rPr>
        <w:t>TOPEL, R.</w:t>
      </w:r>
      <w:r w:rsidR="00952732" w:rsidRPr="00952732">
        <w:rPr>
          <w:rFonts w:ascii="Times New Roman" w:hAnsi="Times New Roman"/>
          <w:bCs/>
          <w:lang w:val="en-US"/>
        </w:rPr>
        <w:t>,</w:t>
      </w:r>
      <w:r w:rsidRPr="00952732">
        <w:rPr>
          <w:rFonts w:ascii="Times New Roman" w:hAnsi="Times New Roman"/>
          <w:bCs/>
          <w:lang w:val="en-US"/>
        </w:rPr>
        <w:t xml:space="preserve"> WARD, M. Job mobility and the careers of young men, </w:t>
      </w:r>
      <w:r w:rsidRPr="00952732">
        <w:rPr>
          <w:rFonts w:ascii="Times New Roman" w:hAnsi="Times New Roman"/>
          <w:b/>
          <w:bCs/>
          <w:lang w:val="en-US"/>
        </w:rPr>
        <w:t>Quarterly Journal of Economics</w:t>
      </w:r>
      <w:r w:rsidRPr="00952732">
        <w:rPr>
          <w:rFonts w:ascii="Times New Roman" w:hAnsi="Times New Roman"/>
          <w:bCs/>
          <w:lang w:val="en-US"/>
        </w:rPr>
        <w:t>, v. 107, p. 441-479, 1992.</w:t>
      </w:r>
    </w:p>
    <w:p w:rsidR="0073033C" w:rsidRPr="00952732" w:rsidRDefault="0073033C" w:rsidP="005D3BD3">
      <w:pPr>
        <w:pStyle w:val="SemEspaamento"/>
        <w:jc w:val="both"/>
        <w:rPr>
          <w:rFonts w:ascii="Times New Roman" w:hAnsi="Times New Roman"/>
        </w:rPr>
      </w:pPr>
      <w:r w:rsidRPr="00952732">
        <w:rPr>
          <w:rFonts w:ascii="Times New Roman" w:hAnsi="Times New Roman"/>
          <w:caps/>
          <w:lang w:val="en-US"/>
        </w:rPr>
        <w:t>Wooldridge, J. M</w:t>
      </w:r>
      <w:r w:rsidRPr="00952732">
        <w:rPr>
          <w:rFonts w:ascii="Times New Roman" w:hAnsi="Times New Roman"/>
          <w:smallCaps/>
          <w:lang w:val="en-US"/>
        </w:rPr>
        <w:t xml:space="preserve">. </w:t>
      </w:r>
      <w:r w:rsidRPr="00952732">
        <w:rPr>
          <w:rFonts w:ascii="Times New Roman" w:hAnsi="Times New Roman"/>
          <w:b/>
          <w:lang w:val="en-US"/>
        </w:rPr>
        <w:t>Econometric analysis of cross section and panel data</w:t>
      </w:r>
      <w:r w:rsidRPr="00952732">
        <w:rPr>
          <w:rFonts w:ascii="Times New Roman" w:hAnsi="Times New Roman"/>
          <w:lang w:val="en-US"/>
        </w:rPr>
        <w:t xml:space="preserve">. </w:t>
      </w:r>
      <w:r w:rsidRPr="00952732">
        <w:rPr>
          <w:rFonts w:ascii="Times New Roman" w:hAnsi="Times New Roman"/>
        </w:rPr>
        <w:t xml:space="preserve">Cambridge, MA: MIT </w:t>
      </w:r>
      <w:proofErr w:type="spellStart"/>
      <w:r w:rsidRPr="00952732">
        <w:rPr>
          <w:rFonts w:ascii="Times New Roman" w:hAnsi="Times New Roman"/>
        </w:rPr>
        <w:t>Press</w:t>
      </w:r>
      <w:proofErr w:type="spellEnd"/>
      <w:r w:rsidRPr="00952732">
        <w:rPr>
          <w:rFonts w:ascii="Times New Roman" w:hAnsi="Times New Roman"/>
        </w:rPr>
        <w:t xml:space="preserve">, </w:t>
      </w:r>
      <w:r w:rsidRPr="00952732">
        <w:rPr>
          <w:rFonts w:ascii="Times New Roman" w:hAnsi="Times New Roman"/>
          <w:smallCaps/>
        </w:rPr>
        <w:t>2002.</w:t>
      </w:r>
    </w:p>
    <w:p w:rsidR="0073033C" w:rsidRDefault="0073033C" w:rsidP="005D3BD3">
      <w:pPr>
        <w:autoSpaceDE w:val="0"/>
        <w:autoSpaceDN w:val="0"/>
        <w:adjustRightInd w:val="0"/>
        <w:spacing w:after="120" w:line="240" w:lineRule="auto"/>
        <w:jc w:val="both"/>
        <w:rPr>
          <w:rFonts w:ascii="Times New Roman" w:hAnsi="Times New Roman"/>
          <w:b/>
        </w:rPr>
      </w:pPr>
    </w:p>
    <w:sectPr w:rsidR="0073033C" w:rsidSect="005D3BD3">
      <w:footerReference w:type="even" r:id="rId23"/>
      <w:footerReference w:type="default" r:id="rId24"/>
      <w:pgSz w:w="12240" w:h="15840"/>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85" w:rsidRDefault="007B0F85">
      <w:r>
        <w:separator/>
      </w:r>
    </w:p>
  </w:endnote>
  <w:endnote w:type="continuationSeparator" w:id="1">
    <w:p w:rsidR="007B0F85" w:rsidRDefault="007B0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84" w:rsidRDefault="00673231" w:rsidP="00CC4130">
    <w:pPr>
      <w:pStyle w:val="Rodap"/>
      <w:framePr w:wrap="around" w:vAnchor="text" w:hAnchor="margin" w:xAlign="right" w:y="1"/>
      <w:rPr>
        <w:rStyle w:val="Nmerodepgina"/>
      </w:rPr>
    </w:pPr>
    <w:r>
      <w:rPr>
        <w:rStyle w:val="Nmerodepgina"/>
      </w:rPr>
      <w:fldChar w:fldCharType="begin"/>
    </w:r>
    <w:r w:rsidR="00C40284">
      <w:rPr>
        <w:rStyle w:val="Nmerodepgina"/>
      </w:rPr>
      <w:instrText xml:space="preserve">PAGE  </w:instrText>
    </w:r>
    <w:r>
      <w:rPr>
        <w:rStyle w:val="Nmerodepgina"/>
      </w:rPr>
      <w:fldChar w:fldCharType="end"/>
    </w:r>
  </w:p>
  <w:p w:rsidR="00C40284" w:rsidRDefault="00C40284" w:rsidP="00CC413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84" w:rsidRPr="00CC4130" w:rsidRDefault="00673231" w:rsidP="00CC4130">
    <w:pPr>
      <w:pStyle w:val="Rodap"/>
      <w:framePr w:wrap="around" w:vAnchor="text" w:hAnchor="margin" w:xAlign="right" w:y="1"/>
      <w:rPr>
        <w:rStyle w:val="Nmerodepgina"/>
        <w:rFonts w:ascii="Times New Roman" w:hAnsi="Times New Roman"/>
        <w:sz w:val="20"/>
        <w:szCs w:val="20"/>
      </w:rPr>
    </w:pPr>
    <w:r w:rsidRPr="00CC4130">
      <w:rPr>
        <w:rStyle w:val="Nmerodepgina"/>
        <w:rFonts w:ascii="Times New Roman" w:hAnsi="Times New Roman"/>
        <w:sz w:val="20"/>
        <w:szCs w:val="20"/>
      </w:rPr>
      <w:fldChar w:fldCharType="begin"/>
    </w:r>
    <w:r w:rsidR="00C40284" w:rsidRPr="00CC4130">
      <w:rPr>
        <w:rStyle w:val="Nmerodepgina"/>
        <w:rFonts w:ascii="Times New Roman" w:hAnsi="Times New Roman"/>
        <w:sz w:val="20"/>
        <w:szCs w:val="20"/>
      </w:rPr>
      <w:instrText xml:space="preserve">PAGE  </w:instrText>
    </w:r>
    <w:r w:rsidRPr="00CC4130">
      <w:rPr>
        <w:rStyle w:val="Nmerodepgina"/>
        <w:rFonts w:ascii="Times New Roman" w:hAnsi="Times New Roman"/>
        <w:sz w:val="20"/>
        <w:szCs w:val="20"/>
      </w:rPr>
      <w:fldChar w:fldCharType="separate"/>
    </w:r>
    <w:r w:rsidR="001C49E3">
      <w:rPr>
        <w:rStyle w:val="Nmerodepgina"/>
        <w:rFonts w:ascii="Times New Roman" w:hAnsi="Times New Roman"/>
        <w:noProof/>
        <w:sz w:val="20"/>
        <w:szCs w:val="20"/>
      </w:rPr>
      <w:t>1</w:t>
    </w:r>
    <w:r w:rsidRPr="00CC4130">
      <w:rPr>
        <w:rStyle w:val="Nmerodepgina"/>
        <w:rFonts w:ascii="Times New Roman" w:hAnsi="Times New Roman"/>
        <w:sz w:val="20"/>
        <w:szCs w:val="20"/>
      </w:rPr>
      <w:fldChar w:fldCharType="end"/>
    </w:r>
  </w:p>
  <w:p w:rsidR="00C40284" w:rsidRDefault="00C40284" w:rsidP="00CC413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85" w:rsidRDefault="007B0F85">
      <w:r>
        <w:separator/>
      </w:r>
    </w:p>
  </w:footnote>
  <w:footnote w:type="continuationSeparator" w:id="1">
    <w:p w:rsidR="007B0F85" w:rsidRDefault="007B0F85">
      <w:r>
        <w:continuationSeparator/>
      </w:r>
    </w:p>
  </w:footnote>
  <w:footnote w:id="2">
    <w:p w:rsidR="00C40284" w:rsidRDefault="00C40284">
      <w:pPr>
        <w:pStyle w:val="Textodenotaderodap"/>
      </w:pPr>
      <w:r>
        <w:rPr>
          <w:rStyle w:val="Refdenotaderodap"/>
        </w:rPr>
        <w:footnoteRef/>
      </w:r>
      <w:r>
        <w:t xml:space="preserve"> </w:t>
      </w:r>
      <w:r w:rsidRPr="00EE3C7C">
        <w:t>Neste trabalho, define-se mobilidade ascendente e descendente conforme um grau de hierarquia ocupacional</w:t>
      </w:r>
      <w:r>
        <w:t>.</w:t>
      </w:r>
    </w:p>
  </w:footnote>
  <w:footnote w:id="3">
    <w:p w:rsidR="00C40284" w:rsidRPr="0054335A" w:rsidRDefault="00C40284" w:rsidP="00F0119F">
      <w:pPr>
        <w:pStyle w:val="Textodenotaderodap"/>
      </w:pPr>
      <w:r w:rsidRPr="00E643E3">
        <w:rPr>
          <w:rStyle w:val="Refdenotaderodap"/>
          <w:rFonts w:cs="Arial"/>
        </w:rPr>
        <w:footnoteRef/>
      </w:r>
      <w:r>
        <w:t xml:space="preserve"> </w:t>
      </w:r>
      <w:r w:rsidRPr="0054335A">
        <w:t xml:space="preserve">Informação de acordo com: </w:t>
      </w:r>
    </w:p>
    <w:p w:rsidR="00C40284" w:rsidRPr="0054335A" w:rsidRDefault="00673231" w:rsidP="00F0119F">
      <w:pPr>
        <w:pStyle w:val="Textodenotaderodap"/>
      </w:pPr>
      <w:hyperlink r:id="rId1" w:history="1">
        <w:r w:rsidR="00C40284" w:rsidRPr="0054335A">
          <w:rPr>
            <w:rStyle w:val="Hyperlink"/>
          </w:rPr>
          <w:t>http://www.mte.gov.br/estudiosospesquisadores/pdet/conteudo/rais_default.asp</w:t>
        </w:r>
      </w:hyperlink>
    </w:p>
  </w:footnote>
  <w:footnote w:id="4">
    <w:p w:rsidR="00C40284" w:rsidRDefault="00C40284">
      <w:pPr>
        <w:pStyle w:val="Textodenotaderodap"/>
      </w:pPr>
      <w:r>
        <w:rPr>
          <w:rStyle w:val="Refdenotaderodap"/>
        </w:rPr>
        <w:footnoteRef/>
      </w:r>
      <w:r>
        <w:t xml:space="preserve"> Enfatiza-se que essa taxa capta a mobilidade ou mudança de firmas ao longo dos anos, mas não capta a mobilidade interna aos anos pelas características da base de dados, que apenas acompanha os trabalhadores em um ponto do tempo em cada ano. Nesse sentido, a taxa calculada não pode ser tomada como representativa de uma taxa de rotatividade da economia brasileira.</w:t>
      </w:r>
    </w:p>
  </w:footnote>
  <w:footnote w:id="5">
    <w:p w:rsidR="00C40284" w:rsidRDefault="00C40284" w:rsidP="0073033C">
      <w:pPr>
        <w:pStyle w:val="Textodenotaderodap"/>
      </w:pPr>
      <w:r>
        <w:rPr>
          <w:rStyle w:val="Refdenotaderodap"/>
        </w:rPr>
        <w:footnoteRef/>
      </w:r>
      <w:r>
        <w:t xml:space="preserve"> Os autores agradecem esse ponto ao </w:t>
      </w:r>
      <w:proofErr w:type="spellStart"/>
      <w:r>
        <w:t>parecerista</w:t>
      </w:r>
      <w:proofErr w:type="spellEnd"/>
      <w:r>
        <w:t xml:space="preserve"> anônimo da revista.</w:t>
      </w:r>
    </w:p>
  </w:footnote>
  <w:footnote w:id="6">
    <w:p w:rsidR="00C40284" w:rsidRDefault="00C40284" w:rsidP="00C93ADC">
      <w:pPr>
        <w:pStyle w:val="Textodenotaderodap"/>
      </w:pPr>
      <w:r>
        <w:rPr>
          <w:rStyle w:val="Refdenotaderodap"/>
        </w:rPr>
        <w:footnoteRef/>
      </w:r>
      <w:r>
        <w:t xml:space="preserve"> A estimação realizada na Tabela 4 pode ter sua identificação comprometida a partir do momento em que alguns trabalhadores que trocam de firma também migram de uma região para outra. Nesse sentido, </w:t>
      </w:r>
      <w:r w:rsidR="007651F4">
        <w:t xml:space="preserve">foram realizadas regressões auxiliares, não mostradas nessa versão do artigo, mas disponíveis sob requisição, </w:t>
      </w:r>
      <w:r>
        <w:t>que considera</w:t>
      </w:r>
      <w:r w:rsidR="00892271">
        <w:t>m</w:t>
      </w:r>
      <w:r>
        <w:t xml:space="preserve"> apenas os indivíduos com mobilidade </w:t>
      </w:r>
      <w:proofErr w:type="spellStart"/>
      <w:r>
        <w:t>interfirma</w:t>
      </w:r>
      <w:proofErr w:type="spellEnd"/>
      <w:r>
        <w:t xml:space="preserve"> dentro do mesmo município. Assim, a variável dependente recebe</w:t>
      </w:r>
      <w:r w:rsidR="00892271">
        <w:t>u</w:t>
      </w:r>
      <w:r>
        <w:t xml:space="preserve"> valor “1” se o indivíduo mudou de emprego sem a ocorrência de um deslocamento geográfico; e “0” no caso contrário. Os resultados mostra</w:t>
      </w:r>
      <w:r w:rsidR="00892271">
        <w:t>ra</w:t>
      </w:r>
      <w:r>
        <w:t>m que os coeficientes estimados diminu</w:t>
      </w:r>
      <w:r w:rsidR="00892271">
        <w:t>íra</w:t>
      </w:r>
      <w:r>
        <w:t>m em sua magnitude, mas a análise global não se alter</w:t>
      </w:r>
      <w:r w:rsidR="00892271">
        <w:t>ou.</w:t>
      </w:r>
      <w:r>
        <w:t xml:space="preserve"> Isto evidencia que, após o controle pelos efeitos geográficos da mobilidade, os determinantes da mobilidade </w:t>
      </w:r>
      <w:proofErr w:type="spellStart"/>
      <w:r>
        <w:t>interfirma</w:t>
      </w:r>
      <w:proofErr w:type="spellEnd"/>
      <w:r>
        <w:t xml:space="preserve"> perdem importância </w:t>
      </w:r>
      <w:r w:rsidR="00892271">
        <w:t>apenas em termos de magnitude dos coeficientes.</w:t>
      </w:r>
    </w:p>
  </w:footnote>
  <w:footnote w:id="7">
    <w:p w:rsidR="00893812" w:rsidRDefault="00893812" w:rsidP="00893812">
      <w:pPr>
        <w:pStyle w:val="Textodenotaderodap"/>
      </w:pPr>
      <w:r>
        <w:rPr>
          <w:rStyle w:val="Refdenotaderodap"/>
        </w:rPr>
        <w:footnoteRef/>
      </w:r>
      <w:r>
        <w:t xml:space="preserve"> Ver </w:t>
      </w:r>
      <w:proofErr w:type="spellStart"/>
      <w:r>
        <w:t>Farber</w:t>
      </w:r>
      <w:proofErr w:type="spellEnd"/>
      <w:r>
        <w:t xml:space="preserve">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5ED0"/>
    <w:multiLevelType w:val="hybridMultilevel"/>
    <w:tmpl w:val="54FE137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24F0416C"/>
    <w:multiLevelType w:val="hybridMultilevel"/>
    <w:tmpl w:val="0E8A44D4"/>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nsid w:val="25FE464E"/>
    <w:multiLevelType w:val="hybridMultilevel"/>
    <w:tmpl w:val="E0D8408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52110"/>
    <w:rsid w:val="00002C46"/>
    <w:rsid w:val="00006746"/>
    <w:rsid w:val="0001074D"/>
    <w:rsid w:val="00011508"/>
    <w:rsid w:val="000117D5"/>
    <w:rsid w:val="00023423"/>
    <w:rsid w:val="00024FFF"/>
    <w:rsid w:val="0002574B"/>
    <w:rsid w:val="00026953"/>
    <w:rsid w:val="000277EC"/>
    <w:rsid w:val="00030B42"/>
    <w:rsid w:val="00034199"/>
    <w:rsid w:val="000354B0"/>
    <w:rsid w:val="000370FE"/>
    <w:rsid w:val="0004251D"/>
    <w:rsid w:val="0004355B"/>
    <w:rsid w:val="00043A3D"/>
    <w:rsid w:val="00044DB4"/>
    <w:rsid w:val="00046A73"/>
    <w:rsid w:val="00050D85"/>
    <w:rsid w:val="00051673"/>
    <w:rsid w:val="00054291"/>
    <w:rsid w:val="000548DB"/>
    <w:rsid w:val="000560A4"/>
    <w:rsid w:val="000562EB"/>
    <w:rsid w:val="00056C0F"/>
    <w:rsid w:val="000604CF"/>
    <w:rsid w:val="000607FA"/>
    <w:rsid w:val="0007214A"/>
    <w:rsid w:val="00072B82"/>
    <w:rsid w:val="00073092"/>
    <w:rsid w:val="000737BF"/>
    <w:rsid w:val="000776D9"/>
    <w:rsid w:val="00077ECE"/>
    <w:rsid w:val="000837BC"/>
    <w:rsid w:val="00083F27"/>
    <w:rsid w:val="00087742"/>
    <w:rsid w:val="00090688"/>
    <w:rsid w:val="00094411"/>
    <w:rsid w:val="00094CB5"/>
    <w:rsid w:val="00095FFC"/>
    <w:rsid w:val="00096076"/>
    <w:rsid w:val="000A2465"/>
    <w:rsid w:val="000A2AD2"/>
    <w:rsid w:val="000A50B0"/>
    <w:rsid w:val="000A5B04"/>
    <w:rsid w:val="000A5E94"/>
    <w:rsid w:val="000B126A"/>
    <w:rsid w:val="000B189B"/>
    <w:rsid w:val="000B1FD3"/>
    <w:rsid w:val="000B30EA"/>
    <w:rsid w:val="000B52A9"/>
    <w:rsid w:val="000C075B"/>
    <w:rsid w:val="000C570E"/>
    <w:rsid w:val="000D02D7"/>
    <w:rsid w:val="000D0DED"/>
    <w:rsid w:val="000D40CE"/>
    <w:rsid w:val="000D6E2E"/>
    <w:rsid w:val="000E1338"/>
    <w:rsid w:val="000E1421"/>
    <w:rsid w:val="000E1A09"/>
    <w:rsid w:val="000E36B7"/>
    <w:rsid w:val="000E532E"/>
    <w:rsid w:val="000F1675"/>
    <w:rsid w:val="000F2F11"/>
    <w:rsid w:val="000F43D6"/>
    <w:rsid w:val="00100A74"/>
    <w:rsid w:val="00101483"/>
    <w:rsid w:val="0010574B"/>
    <w:rsid w:val="0011046A"/>
    <w:rsid w:val="001114F4"/>
    <w:rsid w:val="00111BE1"/>
    <w:rsid w:val="00117206"/>
    <w:rsid w:val="0012156C"/>
    <w:rsid w:val="001230AB"/>
    <w:rsid w:val="00123E8B"/>
    <w:rsid w:val="00127AFB"/>
    <w:rsid w:val="0013099F"/>
    <w:rsid w:val="00133D9D"/>
    <w:rsid w:val="00133E2C"/>
    <w:rsid w:val="00134012"/>
    <w:rsid w:val="00135022"/>
    <w:rsid w:val="001379B3"/>
    <w:rsid w:val="0014167A"/>
    <w:rsid w:val="00144239"/>
    <w:rsid w:val="001464C9"/>
    <w:rsid w:val="00147C2C"/>
    <w:rsid w:val="001500AC"/>
    <w:rsid w:val="001525C6"/>
    <w:rsid w:val="001525D6"/>
    <w:rsid w:val="001542CE"/>
    <w:rsid w:val="00155951"/>
    <w:rsid w:val="0016013B"/>
    <w:rsid w:val="00160403"/>
    <w:rsid w:val="00160730"/>
    <w:rsid w:val="00164013"/>
    <w:rsid w:val="001653C4"/>
    <w:rsid w:val="00165657"/>
    <w:rsid w:val="001679D8"/>
    <w:rsid w:val="00167EC2"/>
    <w:rsid w:val="00170F1E"/>
    <w:rsid w:val="001806F0"/>
    <w:rsid w:val="00180B25"/>
    <w:rsid w:val="001828F2"/>
    <w:rsid w:val="00183C8E"/>
    <w:rsid w:val="001846DA"/>
    <w:rsid w:val="001856D5"/>
    <w:rsid w:val="00187EAE"/>
    <w:rsid w:val="00190925"/>
    <w:rsid w:val="00192837"/>
    <w:rsid w:val="00193543"/>
    <w:rsid w:val="001977F0"/>
    <w:rsid w:val="00197ABA"/>
    <w:rsid w:val="001A0700"/>
    <w:rsid w:val="001A3D88"/>
    <w:rsid w:val="001A6287"/>
    <w:rsid w:val="001A69D5"/>
    <w:rsid w:val="001B5295"/>
    <w:rsid w:val="001C008E"/>
    <w:rsid w:val="001C015F"/>
    <w:rsid w:val="001C32C2"/>
    <w:rsid w:val="001C49E3"/>
    <w:rsid w:val="001C5182"/>
    <w:rsid w:val="001C5AD7"/>
    <w:rsid w:val="001C6BFA"/>
    <w:rsid w:val="001C75DF"/>
    <w:rsid w:val="001C78B8"/>
    <w:rsid w:val="001D1D6A"/>
    <w:rsid w:val="001D2662"/>
    <w:rsid w:val="001D3323"/>
    <w:rsid w:val="001D4CCC"/>
    <w:rsid w:val="001D72FF"/>
    <w:rsid w:val="001D78FD"/>
    <w:rsid w:val="001E04C2"/>
    <w:rsid w:val="001E20CF"/>
    <w:rsid w:val="001E3F44"/>
    <w:rsid w:val="001E570D"/>
    <w:rsid w:val="001F1C9E"/>
    <w:rsid w:val="001F2EFF"/>
    <w:rsid w:val="001F3639"/>
    <w:rsid w:val="001F38AA"/>
    <w:rsid w:val="001F5833"/>
    <w:rsid w:val="001F6ECB"/>
    <w:rsid w:val="001F7742"/>
    <w:rsid w:val="002012E8"/>
    <w:rsid w:val="00202B48"/>
    <w:rsid w:val="00206756"/>
    <w:rsid w:val="00210968"/>
    <w:rsid w:val="00222F0F"/>
    <w:rsid w:val="0022478E"/>
    <w:rsid w:val="0022611E"/>
    <w:rsid w:val="002315AD"/>
    <w:rsid w:val="00233EAD"/>
    <w:rsid w:val="00240CB0"/>
    <w:rsid w:val="002412AE"/>
    <w:rsid w:val="00243060"/>
    <w:rsid w:val="002473B7"/>
    <w:rsid w:val="002534B5"/>
    <w:rsid w:val="0025416F"/>
    <w:rsid w:val="0025538D"/>
    <w:rsid w:val="002622DE"/>
    <w:rsid w:val="00262395"/>
    <w:rsid w:val="00263A06"/>
    <w:rsid w:val="00265A64"/>
    <w:rsid w:val="00270D82"/>
    <w:rsid w:val="00272117"/>
    <w:rsid w:val="002728EA"/>
    <w:rsid w:val="00273F7D"/>
    <w:rsid w:val="00276685"/>
    <w:rsid w:val="002769D3"/>
    <w:rsid w:val="00277B63"/>
    <w:rsid w:val="002862A7"/>
    <w:rsid w:val="002905DC"/>
    <w:rsid w:val="002906B5"/>
    <w:rsid w:val="00290D31"/>
    <w:rsid w:val="002A076F"/>
    <w:rsid w:val="002A1321"/>
    <w:rsid w:val="002A1E23"/>
    <w:rsid w:val="002A20A8"/>
    <w:rsid w:val="002A453D"/>
    <w:rsid w:val="002B10EA"/>
    <w:rsid w:val="002B1688"/>
    <w:rsid w:val="002B3CC3"/>
    <w:rsid w:val="002B7079"/>
    <w:rsid w:val="002B7613"/>
    <w:rsid w:val="002B7ADD"/>
    <w:rsid w:val="002C0100"/>
    <w:rsid w:val="002C0ED3"/>
    <w:rsid w:val="002C2F8C"/>
    <w:rsid w:val="002C6337"/>
    <w:rsid w:val="002C7AF7"/>
    <w:rsid w:val="002C7C54"/>
    <w:rsid w:val="002D31F8"/>
    <w:rsid w:val="002D69EF"/>
    <w:rsid w:val="002E6DC1"/>
    <w:rsid w:val="002F0F5D"/>
    <w:rsid w:val="002F2213"/>
    <w:rsid w:val="002F5FA7"/>
    <w:rsid w:val="002F6EFD"/>
    <w:rsid w:val="00301ABB"/>
    <w:rsid w:val="00302D9E"/>
    <w:rsid w:val="003040FD"/>
    <w:rsid w:val="00307471"/>
    <w:rsid w:val="00310267"/>
    <w:rsid w:val="00312CB4"/>
    <w:rsid w:val="0031351F"/>
    <w:rsid w:val="00313528"/>
    <w:rsid w:val="00313796"/>
    <w:rsid w:val="003142C3"/>
    <w:rsid w:val="00317FCC"/>
    <w:rsid w:val="00322B2C"/>
    <w:rsid w:val="00326992"/>
    <w:rsid w:val="00332178"/>
    <w:rsid w:val="00332CBC"/>
    <w:rsid w:val="00332DC2"/>
    <w:rsid w:val="0033439F"/>
    <w:rsid w:val="00336AA9"/>
    <w:rsid w:val="00341561"/>
    <w:rsid w:val="003440DC"/>
    <w:rsid w:val="00344181"/>
    <w:rsid w:val="003453C4"/>
    <w:rsid w:val="00345BD9"/>
    <w:rsid w:val="003464A3"/>
    <w:rsid w:val="00347E95"/>
    <w:rsid w:val="00347EA2"/>
    <w:rsid w:val="00350AD5"/>
    <w:rsid w:val="00350C6F"/>
    <w:rsid w:val="003515C5"/>
    <w:rsid w:val="0035236B"/>
    <w:rsid w:val="003542EF"/>
    <w:rsid w:val="00364184"/>
    <w:rsid w:val="003665C2"/>
    <w:rsid w:val="00371714"/>
    <w:rsid w:val="0037297B"/>
    <w:rsid w:val="003739DC"/>
    <w:rsid w:val="00376D9F"/>
    <w:rsid w:val="00380498"/>
    <w:rsid w:val="003812A1"/>
    <w:rsid w:val="00382F37"/>
    <w:rsid w:val="00386024"/>
    <w:rsid w:val="003866B8"/>
    <w:rsid w:val="0038787A"/>
    <w:rsid w:val="0038797D"/>
    <w:rsid w:val="00396026"/>
    <w:rsid w:val="00397E25"/>
    <w:rsid w:val="003A0012"/>
    <w:rsid w:val="003A0B85"/>
    <w:rsid w:val="003A2584"/>
    <w:rsid w:val="003A2721"/>
    <w:rsid w:val="003A48D7"/>
    <w:rsid w:val="003A6D97"/>
    <w:rsid w:val="003B04DF"/>
    <w:rsid w:val="003B13DD"/>
    <w:rsid w:val="003B1DFD"/>
    <w:rsid w:val="003B2D00"/>
    <w:rsid w:val="003C2E29"/>
    <w:rsid w:val="003C4B53"/>
    <w:rsid w:val="003C61B6"/>
    <w:rsid w:val="003D3A22"/>
    <w:rsid w:val="003D4905"/>
    <w:rsid w:val="003D49CF"/>
    <w:rsid w:val="003D7AED"/>
    <w:rsid w:val="003E1670"/>
    <w:rsid w:val="003E4498"/>
    <w:rsid w:val="003E4769"/>
    <w:rsid w:val="003F1F82"/>
    <w:rsid w:val="003F38C4"/>
    <w:rsid w:val="003F49E9"/>
    <w:rsid w:val="003F5D33"/>
    <w:rsid w:val="00400266"/>
    <w:rsid w:val="0040092A"/>
    <w:rsid w:val="00400D53"/>
    <w:rsid w:val="00401E49"/>
    <w:rsid w:val="00403B24"/>
    <w:rsid w:val="00405E2C"/>
    <w:rsid w:val="004133B1"/>
    <w:rsid w:val="00414715"/>
    <w:rsid w:val="00414D06"/>
    <w:rsid w:val="0041565F"/>
    <w:rsid w:val="00423037"/>
    <w:rsid w:val="0042317F"/>
    <w:rsid w:val="0042400C"/>
    <w:rsid w:val="004253CF"/>
    <w:rsid w:val="00426477"/>
    <w:rsid w:val="0043001C"/>
    <w:rsid w:val="004312F2"/>
    <w:rsid w:val="00431C2B"/>
    <w:rsid w:val="00432B8C"/>
    <w:rsid w:val="00433123"/>
    <w:rsid w:val="004429FB"/>
    <w:rsid w:val="00442CCC"/>
    <w:rsid w:val="00445C1B"/>
    <w:rsid w:val="0045009C"/>
    <w:rsid w:val="00453A1C"/>
    <w:rsid w:val="00460430"/>
    <w:rsid w:val="0046403D"/>
    <w:rsid w:val="004647B7"/>
    <w:rsid w:val="00466AEB"/>
    <w:rsid w:val="004675D0"/>
    <w:rsid w:val="0046778A"/>
    <w:rsid w:val="00473892"/>
    <w:rsid w:val="00473C1F"/>
    <w:rsid w:val="00475D50"/>
    <w:rsid w:val="004835AB"/>
    <w:rsid w:val="0048747B"/>
    <w:rsid w:val="00487DFE"/>
    <w:rsid w:val="00494982"/>
    <w:rsid w:val="004A2769"/>
    <w:rsid w:val="004A577C"/>
    <w:rsid w:val="004A6419"/>
    <w:rsid w:val="004A7081"/>
    <w:rsid w:val="004B22E9"/>
    <w:rsid w:val="004B30E1"/>
    <w:rsid w:val="004B3FEC"/>
    <w:rsid w:val="004B645D"/>
    <w:rsid w:val="004B6D99"/>
    <w:rsid w:val="004C0284"/>
    <w:rsid w:val="004C053C"/>
    <w:rsid w:val="004C1584"/>
    <w:rsid w:val="004C4FBF"/>
    <w:rsid w:val="004C5D87"/>
    <w:rsid w:val="004D1CF1"/>
    <w:rsid w:val="004D2189"/>
    <w:rsid w:val="004D2A7C"/>
    <w:rsid w:val="004D7E94"/>
    <w:rsid w:val="004E1BFA"/>
    <w:rsid w:val="004E275C"/>
    <w:rsid w:val="004E3B26"/>
    <w:rsid w:val="004E467A"/>
    <w:rsid w:val="004E6CB6"/>
    <w:rsid w:val="004E71CA"/>
    <w:rsid w:val="004F147A"/>
    <w:rsid w:val="004F5E30"/>
    <w:rsid w:val="004F6B22"/>
    <w:rsid w:val="005039F0"/>
    <w:rsid w:val="005079D4"/>
    <w:rsid w:val="00507ACD"/>
    <w:rsid w:val="00510489"/>
    <w:rsid w:val="00510EB0"/>
    <w:rsid w:val="00511267"/>
    <w:rsid w:val="00515331"/>
    <w:rsid w:val="00520FD0"/>
    <w:rsid w:val="0052126A"/>
    <w:rsid w:val="00521F95"/>
    <w:rsid w:val="00526057"/>
    <w:rsid w:val="00527322"/>
    <w:rsid w:val="00532B51"/>
    <w:rsid w:val="00537E88"/>
    <w:rsid w:val="005430CA"/>
    <w:rsid w:val="0054335A"/>
    <w:rsid w:val="005436C2"/>
    <w:rsid w:val="00543DF8"/>
    <w:rsid w:val="00545A13"/>
    <w:rsid w:val="00546A16"/>
    <w:rsid w:val="00547045"/>
    <w:rsid w:val="005529DD"/>
    <w:rsid w:val="00553AB8"/>
    <w:rsid w:val="00553DD6"/>
    <w:rsid w:val="005556AA"/>
    <w:rsid w:val="005604B0"/>
    <w:rsid w:val="005619E1"/>
    <w:rsid w:val="00563A6F"/>
    <w:rsid w:val="00565ED6"/>
    <w:rsid w:val="0056737F"/>
    <w:rsid w:val="0056771B"/>
    <w:rsid w:val="00574624"/>
    <w:rsid w:val="005776BE"/>
    <w:rsid w:val="00595953"/>
    <w:rsid w:val="005968F4"/>
    <w:rsid w:val="005A0851"/>
    <w:rsid w:val="005A3287"/>
    <w:rsid w:val="005A4224"/>
    <w:rsid w:val="005A6E46"/>
    <w:rsid w:val="005A796E"/>
    <w:rsid w:val="005B2307"/>
    <w:rsid w:val="005B367E"/>
    <w:rsid w:val="005B3FAD"/>
    <w:rsid w:val="005B3FC1"/>
    <w:rsid w:val="005B470E"/>
    <w:rsid w:val="005B6A80"/>
    <w:rsid w:val="005C0DF1"/>
    <w:rsid w:val="005C1156"/>
    <w:rsid w:val="005C255F"/>
    <w:rsid w:val="005C6D79"/>
    <w:rsid w:val="005D0172"/>
    <w:rsid w:val="005D0B9C"/>
    <w:rsid w:val="005D1079"/>
    <w:rsid w:val="005D2805"/>
    <w:rsid w:val="005D3BD3"/>
    <w:rsid w:val="005D3BFB"/>
    <w:rsid w:val="005D627B"/>
    <w:rsid w:val="005D7D2F"/>
    <w:rsid w:val="005E0368"/>
    <w:rsid w:val="005E1C84"/>
    <w:rsid w:val="005F0F75"/>
    <w:rsid w:val="005F6D12"/>
    <w:rsid w:val="00600976"/>
    <w:rsid w:val="006068A6"/>
    <w:rsid w:val="00606DEF"/>
    <w:rsid w:val="00611710"/>
    <w:rsid w:val="006130A0"/>
    <w:rsid w:val="006130F1"/>
    <w:rsid w:val="00616576"/>
    <w:rsid w:val="0061704A"/>
    <w:rsid w:val="006176AB"/>
    <w:rsid w:val="00623525"/>
    <w:rsid w:val="00623A2D"/>
    <w:rsid w:val="00624DB9"/>
    <w:rsid w:val="0062570C"/>
    <w:rsid w:val="00626003"/>
    <w:rsid w:val="006338AA"/>
    <w:rsid w:val="00637E5F"/>
    <w:rsid w:val="00640913"/>
    <w:rsid w:val="00640AC8"/>
    <w:rsid w:val="00642D10"/>
    <w:rsid w:val="00645927"/>
    <w:rsid w:val="00647A78"/>
    <w:rsid w:val="00653981"/>
    <w:rsid w:val="006627AD"/>
    <w:rsid w:val="00666D9A"/>
    <w:rsid w:val="00671A93"/>
    <w:rsid w:val="00671BB8"/>
    <w:rsid w:val="00672C6D"/>
    <w:rsid w:val="00673231"/>
    <w:rsid w:val="00673756"/>
    <w:rsid w:val="006738DE"/>
    <w:rsid w:val="00673B47"/>
    <w:rsid w:val="00673BF0"/>
    <w:rsid w:val="00673EFD"/>
    <w:rsid w:val="00674F8F"/>
    <w:rsid w:val="00676459"/>
    <w:rsid w:val="0068120F"/>
    <w:rsid w:val="00681A8A"/>
    <w:rsid w:val="00682833"/>
    <w:rsid w:val="00682EA4"/>
    <w:rsid w:val="006864A8"/>
    <w:rsid w:val="00687FF4"/>
    <w:rsid w:val="006957CA"/>
    <w:rsid w:val="00695948"/>
    <w:rsid w:val="00696C8E"/>
    <w:rsid w:val="00697819"/>
    <w:rsid w:val="006A091C"/>
    <w:rsid w:val="006A1EAF"/>
    <w:rsid w:val="006A2BBF"/>
    <w:rsid w:val="006A2DC3"/>
    <w:rsid w:val="006A4163"/>
    <w:rsid w:val="006A5A0A"/>
    <w:rsid w:val="006A5D92"/>
    <w:rsid w:val="006A6AD3"/>
    <w:rsid w:val="006A7D84"/>
    <w:rsid w:val="006B0740"/>
    <w:rsid w:val="006B0D07"/>
    <w:rsid w:val="006B1259"/>
    <w:rsid w:val="006B22C7"/>
    <w:rsid w:val="006B2E1E"/>
    <w:rsid w:val="006B4B38"/>
    <w:rsid w:val="006B6CCB"/>
    <w:rsid w:val="006B77A3"/>
    <w:rsid w:val="006B7AB5"/>
    <w:rsid w:val="006C16BC"/>
    <w:rsid w:val="006C17B1"/>
    <w:rsid w:val="006C24EA"/>
    <w:rsid w:val="006D285B"/>
    <w:rsid w:val="006D2F7B"/>
    <w:rsid w:val="006D4110"/>
    <w:rsid w:val="006D44EE"/>
    <w:rsid w:val="006D52D6"/>
    <w:rsid w:val="006E3F4A"/>
    <w:rsid w:val="006E4080"/>
    <w:rsid w:val="006E4288"/>
    <w:rsid w:val="006E4ADC"/>
    <w:rsid w:val="006E69EA"/>
    <w:rsid w:val="006F4DF6"/>
    <w:rsid w:val="006F6DE0"/>
    <w:rsid w:val="00701032"/>
    <w:rsid w:val="00701B4F"/>
    <w:rsid w:val="00710633"/>
    <w:rsid w:val="00710B49"/>
    <w:rsid w:val="00716215"/>
    <w:rsid w:val="00716CF4"/>
    <w:rsid w:val="0072163A"/>
    <w:rsid w:val="00722C98"/>
    <w:rsid w:val="007255D0"/>
    <w:rsid w:val="00726561"/>
    <w:rsid w:val="0072683C"/>
    <w:rsid w:val="0073033C"/>
    <w:rsid w:val="00730A53"/>
    <w:rsid w:val="0073172B"/>
    <w:rsid w:val="0073358C"/>
    <w:rsid w:val="007339C0"/>
    <w:rsid w:val="00740579"/>
    <w:rsid w:val="00752A0D"/>
    <w:rsid w:val="00755198"/>
    <w:rsid w:val="00761405"/>
    <w:rsid w:val="00761F4E"/>
    <w:rsid w:val="00761F8A"/>
    <w:rsid w:val="00762E3F"/>
    <w:rsid w:val="007651F4"/>
    <w:rsid w:val="00767A35"/>
    <w:rsid w:val="00770DE9"/>
    <w:rsid w:val="00777B36"/>
    <w:rsid w:val="0078013D"/>
    <w:rsid w:val="00780232"/>
    <w:rsid w:val="007831EA"/>
    <w:rsid w:val="00784327"/>
    <w:rsid w:val="0078520D"/>
    <w:rsid w:val="00785283"/>
    <w:rsid w:val="00786897"/>
    <w:rsid w:val="00786F3D"/>
    <w:rsid w:val="007901BB"/>
    <w:rsid w:val="00790F73"/>
    <w:rsid w:val="00792C69"/>
    <w:rsid w:val="00794380"/>
    <w:rsid w:val="007948A7"/>
    <w:rsid w:val="00794D3C"/>
    <w:rsid w:val="007A0A74"/>
    <w:rsid w:val="007A33A7"/>
    <w:rsid w:val="007A3A10"/>
    <w:rsid w:val="007A7719"/>
    <w:rsid w:val="007A7CD1"/>
    <w:rsid w:val="007B0F85"/>
    <w:rsid w:val="007B34D0"/>
    <w:rsid w:val="007B4308"/>
    <w:rsid w:val="007B52B4"/>
    <w:rsid w:val="007B7841"/>
    <w:rsid w:val="007C07BB"/>
    <w:rsid w:val="007C09F0"/>
    <w:rsid w:val="007C0CD8"/>
    <w:rsid w:val="007C0DBC"/>
    <w:rsid w:val="007C0F68"/>
    <w:rsid w:val="007C265A"/>
    <w:rsid w:val="007C7DF4"/>
    <w:rsid w:val="007D3C68"/>
    <w:rsid w:val="007D4F41"/>
    <w:rsid w:val="007D7B8E"/>
    <w:rsid w:val="007E2A0E"/>
    <w:rsid w:val="007E2A19"/>
    <w:rsid w:val="007E4028"/>
    <w:rsid w:val="007E40BD"/>
    <w:rsid w:val="007E5BED"/>
    <w:rsid w:val="007F0CFC"/>
    <w:rsid w:val="007F75BD"/>
    <w:rsid w:val="008009E9"/>
    <w:rsid w:val="00802959"/>
    <w:rsid w:val="00805EE4"/>
    <w:rsid w:val="00807980"/>
    <w:rsid w:val="008156BF"/>
    <w:rsid w:val="00822744"/>
    <w:rsid w:val="008245BF"/>
    <w:rsid w:val="00824608"/>
    <w:rsid w:val="0083252E"/>
    <w:rsid w:val="008326B8"/>
    <w:rsid w:val="00833382"/>
    <w:rsid w:val="008362D5"/>
    <w:rsid w:val="00840313"/>
    <w:rsid w:val="008457B7"/>
    <w:rsid w:val="00845B75"/>
    <w:rsid w:val="00846EE7"/>
    <w:rsid w:val="00851EA1"/>
    <w:rsid w:val="00852A37"/>
    <w:rsid w:val="00853B72"/>
    <w:rsid w:val="00854100"/>
    <w:rsid w:val="008549B6"/>
    <w:rsid w:val="00854F7F"/>
    <w:rsid w:val="008570B5"/>
    <w:rsid w:val="0086290A"/>
    <w:rsid w:val="0086441F"/>
    <w:rsid w:val="008655B9"/>
    <w:rsid w:val="008723A9"/>
    <w:rsid w:val="00873179"/>
    <w:rsid w:val="00873C17"/>
    <w:rsid w:val="00873F83"/>
    <w:rsid w:val="00876285"/>
    <w:rsid w:val="00877470"/>
    <w:rsid w:val="00877BFF"/>
    <w:rsid w:val="00877E17"/>
    <w:rsid w:val="008818CC"/>
    <w:rsid w:val="00883EF2"/>
    <w:rsid w:val="00884B85"/>
    <w:rsid w:val="00887861"/>
    <w:rsid w:val="008907A4"/>
    <w:rsid w:val="00890FDA"/>
    <w:rsid w:val="00892252"/>
    <w:rsid w:val="00892271"/>
    <w:rsid w:val="008924DF"/>
    <w:rsid w:val="0089259F"/>
    <w:rsid w:val="00892E42"/>
    <w:rsid w:val="00893812"/>
    <w:rsid w:val="0089651D"/>
    <w:rsid w:val="00896E76"/>
    <w:rsid w:val="008977EF"/>
    <w:rsid w:val="008A13B8"/>
    <w:rsid w:val="008A1BA9"/>
    <w:rsid w:val="008A2643"/>
    <w:rsid w:val="008A2B17"/>
    <w:rsid w:val="008A4F69"/>
    <w:rsid w:val="008A5A14"/>
    <w:rsid w:val="008A6EAC"/>
    <w:rsid w:val="008B18AD"/>
    <w:rsid w:val="008B415E"/>
    <w:rsid w:val="008B4D75"/>
    <w:rsid w:val="008B5DB4"/>
    <w:rsid w:val="008B6844"/>
    <w:rsid w:val="008C1D78"/>
    <w:rsid w:val="008C1ED3"/>
    <w:rsid w:val="008C46B1"/>
    <w:rsid w:val="008C5F1A"/>
    <w:rsid w:val="008C6935"/>
    <w:rsid w:val="008D24E7"/>
    <w:rsid w:val="008D2776"/>
    <w:rsid w:val="008D3C4A"/>
    <w:rsid w:val="008D7424"/>
    <w:rsid w:val="008D7AF7"/>
    <w:rsid w:val="008E3B90"/>
    <w:rsid w:val="008E4205"/>
    <w:rsid w:val="008E50CD"/>
    <w:rsid w:val="008F0FF3"/>
    <w:rsid w:val="008F12CF"/>
    <w:rsid w:val="008F4DC5"/>
    <w:rsid w:val="008F4E50"/>
    <w:rsid w:val="008F67B0"/>
    <w:rsid w:val="008F7B50"/>
    <w:rsid w:val="009053C6"/>
    <w:rsid w:val="00906DA9"/>
    <w:rsid w:val="009076C2"/>
    <w:rsid w:val="00914810"/>
    <w:rsid w:val="00917622"/>
    <w:rsid w:val="0091765B"/>
    <w:rsid w:val="0092132E"/>
    <w:rsid w:val="00922AEB"/>
    <w:rsid w:val="0092420A"/>
    <w:rsid w:val="0092434E"/>
    <w:rsid w:val="0093023C"/>
    <w:rsid w:val="00933822"/>
    <w:rsid w:val="00935091"/>
    <w:rsid w:val="009352AC"/>
    <w:rsid w:val="00936AAB"/>
    <w:rsid w:val="00936B56"/>
    <w:rsid w:val="00936EC9"/>
    <w:rsid w:val="00940516"/>
    <w:rsid w:val="00942567"/>
    <w:rsid w:val="00943A29"/>
    <w:rsid w:val="0094544C"/>
    <w:rsid w:val="00950173"/>
    <w:rsid w:val="0095118D"/>
    <w:rsid w:val="00952732"/>
    <w:rsid w:val="00957A01"/>
    <w:rsid w:val="0096184F"/>
    <w:rsid w:val="00961AEE"/>
    <w:rsid w:val="00962088"/>
    <w:rsid w:val="00963EC3"/>
    <w:rsid w:val="00964E32"/>
    <w:rsid w:val="009679C8"/>
    <w:rsid w:val="00976BF1"/>
    <w:rsid w:val="009802A1"/>
    <w:rsid w:val="00982F8B"/>
    <w:rsid w:val="009834E1"/>
    <w:rsid w:val="00983857"/>
    <w:rsid w:val="00986F2E"/>
    <w:rsid w:val="0099081A"/>
    <w:rsid w:val="00997807"/>
    <w:rsid w:val="009A0C1F"/>
    <w:rsid w:val="009A2E43"/>
    <w:rsid w:val="009A69C9"/>
    <w:rsid w:val="009A6E59"/>
    <w:rsid w:val="009A7179"/>
    <w:rsid w:val="009B06C9"/>
    <w:rsid w:val="009B2741"/>
    <w:rsid w:val="009B2C55"/>
    <w:rsid w:val="009C264A"/>
    <w:rsid w:val="009C2E12"/>
    <w:rsid w:val="009C2E63"/>
    <w:rsid w:val="009C5F21"/>
    <w:rsid w:val="009C6051"/>
    <w:rsid w:val="009D07A0"/>
    <w:rsid w:val="009D29B0"/>
    <w:rsid w:val="009D2FED"/>
    <w:rsid w:val="009D312B"/>
    <w:rsid w:val="009D6CD1"/>
    <w:rsid w:val="009D7BD3"/>
    <w:rsid w:val="009D7F98"/>
    <w:rsid w:val="009E09E4"/>
    <w:rsid w:val="009E39B0"/>
    <w:rsid w:val="009E4FC0"/>
    <w:rsid w:val="009E60BE"/>
    <w:rsid w:val="009E7F3A"/>
    <w:rsid w:val="009F082A"/>
    <w:rsid w:val="009F1746"/>
    <w:rsid w:val="009F2047"/>
    <w:rsid w:val="009F2E75"/>
    <w:rsid w:val="009F6123"/>
    <w:rsid w:val="009F65BD"/>
    <w:rsid w:val="009F6B17"/>
    <w:rsid w:val="00A01FCE"/>
    <w:rsid w:val="00A02BD3"/>
    <w:rsid w:val="00A0329A"/>
    <w:rsid w:val="00A050F2"/>
    <w:rsid w:val="00A07246"/>
    <w:rsid w:val="00A12ECA"/>
    <w:rsid w:val="00A14D29"/>
    <w:rsid w:val="00A17274"/>
    <w:rsid w:val="00A240A0"/>
    <w:rsid w:val="00A25BC7"/>
    <w:rsid w:val="00A30ADC"/>
    <w:rsid w:val="00A315F2"/>
    <w:rsid w:val="00A31BDD"/>
    <w:rsid w:val="00A34287"/>
    <w:rsid w:val="00A34918"/>
    <w:rsid w:val="00A40993"/>
    <w:rsid w:val="00A418A5"/>
    <w:rsid w:val="00A42200"/>
    <w:rsid w:val="00A43F2F"/>
    <w:rsid w:val="00A4554B"/>
    <w:rsid w:val="00A5037B"/>
    <w:rsid w:val="00A52110"/>
    <w:rsid w:val="00A523FA"/>
    <w:rsid w:val="00A66519"/>
    <w:rsid w:val="00A6713B"/>
    <w:rsid w:val="00A67B44"/>
    <w:rsid w:val="00A71F27"/>
    <w:rsid w:val="00A72311"/>
    <w:rsid w:val="00A74074"/>
    <w:rsid w:val="00A7645B"/>
    <w:rsid w:val="00A773B9"/>
    <w:rsid w:val="00A77ADF"/>
    <w:rsid w:val="00A77C37"/>
    <w:rsid w:val="00A81173"/>
    <w:rsid w:val="00A847A7"/>
    <w:rsid w:val="00A8719E"/>
    <w:rsid w:val="00A87E5D"/>
    <w:rsid w:val="00A90B17"/>
    <w:rsid w:val="00A90DCD"/>
    <w:rsid w:val="00A91137"/>
    <w:rsid w:val="00A91819"/>
    <w:rsid w:val="00A91F28"/>
    <w:rsid w:val="00A951A9"/>
    <w:rsid w:val="00A96392"/>
    <w:rsid w:val="00A9665C"/>
    <w:rsid w:val="00A9738A"/>
    <w:rsid w:val="00A973D5"/>
    <w:rsid w:val="00A97F9A"/>
    <w:rsid w:val="00AA0DB7"/>
    <w:rsid w:val="00AA1380"/>
    <w:rsid w:val="00AA2D2A"/>
    <w:rsid w:val="00AA2FD6"/>
    <w:rsid w:val="00AA62E8"/>
    <w:rsid w:val="00AA6717"/>
    <w:rsid w:val="00AB3A81"/>
    <w:rsid w:val="00AC1E7A"/>
    <w:rsid w:val="00AC29BF"/>
    <w:rsid w:val="00AD0E09"/>
    <w:rsid w:val="00AD1D21"/>
    <w:rsid w:val="00AD2633"/>
    <w:rsid w:val="00AD2772"/>
    <w:rsid w:val="00AD293E"/>
    <w:rsid w:val="00AD3A99"/>
    <w:rsid w:val="00AE11F6"/>
    <w:rsid w:val="00AE1B07"/>
    <w:rsid w:val="00AE241D"/>
    <w:rsid w:val="00AE4365"/>
    <w:rsid w:val="00AE4534"/>
    <w:rsid w:val="00AE5F2C"/>
    <w:rsid w:val="00AF2874"/>
    <w:rsid w:val="00AF7608"/>
    <w:rsid w:val="00B00D9B"/>
    <w:rsid w:val="00B018AA"/>
    <w:rsid w:val="00B02176"/>
    <w:rsid w:val="00B06EAB"/>
    <w:rsid w:val="00B109BE"/>
    <w:rsid w:val="00B12108"/>
    <w:rsid w:val="00B16BC1"/>
    <w:rsid w:val="00B21604"/>
    <w:rsid w:val="00B2366F"/>
    <w:rsid w:val="00B23844"/>
    <w:rsid w:val="00B26C0B"/>
    <w:rsid w:val="00B3081E"/>
    <w:rsid w:val="00B32EFD"/>
    <w:rsid w:val="00B33AE9"/>
    <w:rsid w:val="00B365C5"/>
    <w:rsid w:val="00B375BF"/>
    <w:rsid w:val="00B44F64"/>
    <w:rsid w:val="00B53632"/>
    <w:rsid w:val="00B544A2"/>
    <w:rsid w:val="00B54777"/>
    <w:rsid w:val="00B553D6"/>
    <w:rsid w:val="00B55EA2"/>
    <w:rsid w:val="00B5653E"/>
    <w:rsid w:val="00B60CA4"/>
    <w:rsid w:val="00B62839"/>
    <w:rsid w:val="00B64B70"/>
    <w:rsid w:val="00B6556C"/>
    <w:rsid w:val="00B711B8"/>
    <w:rsid w:val="00B711C3"/>
    <w:rsid w:val="00B7148D"/>
    <w:rsid w:val="00B75E02"/>
    <w:rsid w:val="00B800D4"/>
    <w:rsid w:val="00B82119"/>
    <w:rsid w:val="00B821C7"/>
    <w:rsid w:val="00B82F4F"/>
    <w:rsid w:val="00B83D65"/>
    <w:rsid w:val="00B84AB5"/>
    <w:rsid w:val="00B8549C"/>
    <w:rsid w:val="00B94E7C"/>
    <w:rsid w:val="00B97A33"/>
    <w:rsid w:val="00BB1BAD"/>
    <w:rsid w:val="00BB46DA"/>
    <w:rsid w:val="00BB517D"/>
    <w:rsid w:val="00BB6FE7"/>
    <w:rsid w:val="00BB76A5"/>
    <w:rsid w:val="00BB788A"/>
    <w:rsid w:val="00BC195E"/>
    <w:rsid w:val="00BC3D74"/>
    <w:rsid w:val="00BC5684"/>
    <w:rsid w:val="00BC7190"/>
    <w:rsid w:val="00BC7ECD"/>
    <w:rsid w:val="00BD1142"/>
    <w:rsid w:val="00BD1FEC"/>
    <w:rsid w:val="00BD49ED"/>
    <w:rsid w:val="00BD5489"/>
    <w:rsid w:val="00BD71C5"/>
    <w:rsid w:val="00BD79E5"/>
    <w:rsid w:val="00BD7EB7"/>
    <w:rsid w:val="00BE101E"/>
    <w:rsid w:val="00BE2B59"/>
    <w:rsid w:val="00BE412D"/>
    <w:rsid w:val="00BE45E5"/>
    <w:rsid w:val="00BE4D4C"/>
    <w:rsid w:val="00BE5F60"/>
    <w:rsid w:val="00BE751A"/>
    <w:rsid w:val="00BE758B"/>
    <w:rsid w:val="00BF023C"/>
    <w:rsid w:val="00BF42E0"/>
    <w:rsid w:val="00BF444F"/>
    <w:rsid w:val="00C0064C"/>
    <w:rsid w:val="00C01443"/>
    <w:rsid w:val="00C02B1E"/>
    <w:rsid w:val="00C035FE"/>
    <w:rsid w:val="00C06732"/>
    <w:rsid w:val="00C1003C"/>
    <w:rsid w:val="00C1232F"/>
    <w:rsid w:val="00C124B7"/>
    <w:rsid w:val="00C12C0C"/>
    <w:rsid w:val="00C152FE"/>
    <w:rsid w:val="00C16B08"/>
    <w:rsid w:val="00C20F63"/>
    <w:rsid w:val="00C21539"/>
    <w:rsid w:val="00C217A9"/>
    <w:rsid w:val="00C21C84"/>
    <w:rsid w:val="00C21F81"/>
    <w:rsid w:val="00C3123E"/>
    <w:rsid w:val="00C318A9"/>
    <w:rsid w:val="00C31CE7"/>
    <w:rsid w:val="00C33CC2"/>
    <w:rsid w:val="00C359A3"/>
    <w:rsid w:val="00C37084"/>
    <w:rsid w:val="00C377D9"/>
    <w:rsid w:val="00C40284"/>
    <w:rsid w:val="00C40B9A"/>
    <w:rsid w:val="00C41FF8"/>
    <w:rsid w:val="00C42019"/>
    <w:rsid w:val="00C4453E"/>
    <w:rsid w:val="00C45277"/>
    <w:rsid w:val="00C45BE0"/>
    <w:rsid w:val="00C5087D"/>
    <w:rsid w:val="00C5128A"/>
    <w:rsid w:val="00C51659"/>
    <w:rsid w:val="00C5375F"/>
    <w:rsid w:val="00C5464B"/>
    <w:rsid w:val="00C601B7"/>
    <w:rsid w:val="00C622E2"/>
    <w:rsid w:val="00C636B2"/>
    <w:rsid w:val="00C638E7"/>
    <w:rsid w:val="00C7218C"/>
    <w:rsid w:val="00C7606E"/>
    <w:rsid w:val="00C77FD8"/>
    <w:rsid w:val="00C802F7"/>
    <w:rsid w:val="00C81DFA"/>
    <w:rsid w:val="00C83E53"/>
    <w:rsid w:val="00C846E0"/>
    <w:rsid w:val="00C9234B"/>
    <w:rsid w:val="00C9299A"/>
    <w:rsid w:val="00C93ADC"/>
    <w:rsid w:val="00C95FEF"/>
    <w:rsid w:val="00CA05C3"/>
    <w:rsid w:val="00CA10C7"/>
    <w:rsid w:val="00CA3A2D"/>
    <w:rsid w:val="00CA598E"/>
    <w:rsid w:val="00CA6118"/>
    <w:rsid w:val="00CA6403"/>
    <w:rsid w:val="00CB0B3B"/>
    <w:rsid w:val="00CB2640"/>
    <w:rsid w:val="00CB4043"/>
    <w:rsid w:val="00CB6041"/>
    <w:rsid w:val="00CB6ADF"/>
    <w:rsid w:val="00CB766C"/>
    <w:rsid w:val="00CC4130"/>
    <w:rsid w:val="00CC6612"/>
    <w:rsid w:val="00CD10D9"/>
    <w:rsid w:val="00CD1963"/>
    <w:rsid w:val="00CD6F50"/>
    <w:rsid w:val="00CD73EF"/>
    <w:rsid w:val="00CE38C9"/>
    <w:rsid w:val="00CE3A99"/>
    <w:rsid w:val="00CE74FC"/>
    <w:rsid w:val="00CF1FC0"/>
    <w:rsid w:val="00CF2F43"/>
    <w:rsid w:val="00CF32B7"/>
    <w:rsid w:val="00CF4026"/>
    <w:rsid w:val="00CF4EEB"/>
    <w:rsid w:val="00D0793B"/>
    <w:rsid w:val="00D07D1C"/>
    <w:rsid w:val="00D101FA"/>
    <w:rsid w:val="00D10480"/>
    <w:rsid w:val="00D1257F"/>
    <w:rsid w:val="00D12908"/>
    <w:rsid w:val="00D17996"/>
    <w:rsid w:val="00D179F0"/>
    <w:rsid w:val="00D20A99"/>
    <w:rsid w:val="00D211D2"/>
    <w:rsid w:val="00D2238C"/>
    <w:rsid w:val="00D22EA2"/>
    <w:rsid w:val="00D25DD8"/>
    <w:rsid w:val="00D26B2F"/>
    <w:rsid w:val="00D2718E"/>
    <w:rsid w:val="00D30952"/>
    <w:rsid w:val="00D31C61"/>
    <w:rsid w:val="00D33F70"/>
    <w:rsid w:val="00D41056"/>
    <w:rsid w:val="00D44C15"/>
    <w:rsid w:val="00D44F3E"/>
    <w:rsid w:val="00D528E0"/>
    <w:rsid w:val="00D563B0"/>
    <w:rsid w:val="00D6023B"/>
    <w:rsid w:val="00D63461"/>
    <w:rsid w:val="00D72632"/>
    <w:rsid w:val="00D7266B"/>
    <w:rsid w:val="00D7363D"/>
    <w:rsid w:val="00D7495E"/>
    <w:rsid w:val="00D7525D"/>
    <w:rsid w:val="00D755FE"/>
    <w:rsid w:val="00D76400"/>
    <w:rsid w:val="00D76E41"/>
    <w:rsid w:val="00D80B95"/>
    <w:rsid w:val="00D81D5E"/>
    <w:rsid w:val="00D8379F"/>
    <w:rsid w:val="00D85625"/>
    <w:rsid w:val="00D87D0C"/>
    <w:rsid w:val="00D90141"/>
    <w:rsid w:val="00D91856"/>
    <w:rsid w:val="00D927EE"/>
    <w:rsid w:val="00D94EEA"/>
    <w:rsid w:val="00DA2124"/>
    <w:rsid w:val="00DA4C30"/>
    <w:rsid w:val="00DB091C"/>
    <w:rsid w:val="00DB0B29"/>
    <w:rsid w:val="00DB14BD"/>
    <w:rsid w:val="00DB2937"/>
    <w:rsid w:val="00DB4514"/>
    <w:rsid w:val="00DB4750"/>
    <w:rsid w:val="00DC0F1A"/>
    <w:rsid w:val="00DC40AD"/>
    <w:rsid w:val="00DC4D93"/>
    <w:rsid w:val="00DC5C94"/>
    <w:rsid w:val="00DD0239"/>
    <w:rsid w:val="00DD04A1"/>
    <w:rsid w:val="00DD262D"/>
    <w:rsid w:val="00DD3485"/>
    <w:rsid w:val="00DD38C5"/>
    <w:rsid w:val="00DD5A2A"/>
    <w:rsid w:val="00DD5A31"/>
    <w:rsid w:val="00DD684D"/>
    <w:rsid w:val="00DE0BC5"/>
    <w:rsid w:val="00DE26DB"/>
    <w:rsid w:val="00DE58FA"/>
    <w:rsid w:val="00DE5F16"/>
    <w:rsid w:val="00DE6133"/>
    <w:rsid w:val="00DE63AD"/>
    <w:rsid w:val="00DF3B68"/>
    <w:rsid w:val="00DF5ED5"/>
    <w:rsid w:val="00E025C1"/>
    <w:rsid w:val="00E04BAB"/>
    <w:rsid w:val="00E04EDC"/>
    <w:rsid w:val="00E05FAB"/>
    <w:rsid w:val="00E1126C"/>
    <w:rsid w:val="00E1711B"/>
    <w:rsid w:val="00E241BB"/>
    <w:rsid w:val="00E2673E"/>
    <w:rsid w:val="00E26C3E"/>
    <w:rsid w:val="00E27229"/>
    <w:rsid w:val="00E31516"/>
    <w:rsid w:val="00E31618"/>
    <w:rsid w:val="00E31F4A"/>
    <w:rsid w:val="00E323C3"/>
    <w:rsid w:val="00E348AA"/>
    <w:rsid w:val="00E34A0B"/>
    <w:rsid w:val="00E408F0"/>
    <w:rsid w:val="00E423EE"/>
    <w:rsid w:val="00E43D61"/>
    <w:rsid w:val="00E44B19"/>
    <w:rsid w:val="00E44E3D"/>
    <w:rsid w:val="00E45D0A"/>
    <w:rsid w:val="00E46825"/>
    <w:rsid w:val="00E47465"/>
    <w:rsid w:val="00E50827"/>
    <w:rsid w:val="00E527FD"/>
    <w:rsid w:val="00E54547"/>
    <w:rsid w:val="00E54606"/>
    <w:rsid w:val="00E61E82"/>
    <w:rsid w:val="00E62E87"/>
    <w:rsid w:val="00E63337"/>
    <w:rsid w:val="00E640ED"/>
    <w:rsid w:val="00E67762"/>
    <w:rsid w:val="00E71FC6"/>
    <w:rsid w:val="00E72CA3"/>
    <w:rsid w:val="00E762E7"/>
    <w:rsid w:val="00E80137"/>
    <w:rsid w:val="00E82523"/>
    <w:rsid w:val="00E85071"/>
    <w:rsid w:val="00E97512"/>
    <w:rsid w:val="00EA019C"/>
    <w:rsid w:val="00EA0815"/>
    <w:rsid w:val="00EA2BCD"/>
    <w:rsid w:val="00EA688D"/>
    <w:rsid w:val="00EA6898"/>
    <w:rsid w:val="00EA7682"/>
    <w:rsid w:val="00EA7BED"/>
    <w:rsid w:val="00EB1419"/>
    <w:rsid w:val="00EB3153"/>
    <w:rsid w:val="00EB5F47"/>
    <w:rsid w:val="00EC1B71"/>
    <w:rsid w:val="00EC1EE0"/>
    <w:rsid w:val="00EC7A82"/>
    <w:rsid w:val="00ED1A0D"/>
    <w:rsid w:val="00ED4DD8"/>
    <w:rsid w:val="00EE337A"/>
    <w:rsid w:val="00EE3C7C"/>
    <w:rsid w:val="00EE4BDF"/>
    <w:rsid w:val="00EE4F7E"/>
    <w:rsid w:val="00EE73BC"/>
    <w:rsid w:val="00EE7E0E"/>
    <w:rsid w:val="00EF0D95"/>
    <w:rsid w:val="00EF18E9"/>
    <w:rsid w:val="00EF1A69"/>
    <w:rsid w:val="00EF31E7"/>
    <w:rsid w:val="00EF4018"/>
    <w:rsid w:val="00EF6965"/>
    <w:rsid w:val="00EF6BF2"/>
    <w:rsid w:val="00EF70AF"/>
    <w:rsid w:val="00F00ED9"/>
    <w:rsid w:val="00F0119F"/>
    <w:rsid w:val="00F016BD"/>
    <w:rsid w:val="00F03570"/>
    <w:rsid w:val="00F06DA7"/>
    <w:rsid w:val="00F16092"/>
    <w:rsid w:val="00F21BC8"/>
    <w:rsid w:val="00F222BB"/>
    <w:rsid w:val="00F2384E"/>
    <w:rsid w:val="00F23E45"/>
    <w:rsid w:val="00F2487A"/>
    <w:rsid w:val="00F26A5F"/>
    <w:rsid w:val="00F26ED9"/>
    <w:rsid w:val="00F27BB0"/>
    <w:rsid w:val="00F305C0"/>
    <w:rsid w:val="00F33E5C"/>
    <w:rsid w:val="00F406E8"/>
    <w:rsid w:val="00F40E5A"/>
    <w:rsid w:val="00F41721"/>
    <w:rsid w:val="00F42FB7"/>
    <w:rsid w:val="00F56586"/>
    <w:rsid w:val="00F57245"/>
    <w:rsid w:val="00F572E2"/>
    <w:rsid w:val="00F60333"/>
    <w:rsid w:val="00F603E7"/>
    <w:rsid w:val="00F604CE"/>
    <w:rsid w:val="00F62C90"/>
    <w:rsid w:val="00F64C42"/>
    <w:rsid w:val="00F66D50"/>
    <w:rsid w:val="00F67E60"/>
    <w:rsid w:val="00F7075A"/>
    <w:rsid w:val="00F753F7"/>
    <w:rsid w:val="00F7544C"/>
    <w:rsid w:val="00F754C0"/>
    <w:rsid w:val="00F76D8D"/>
    <w:rsid w:val="00F873D0"/>
    <w:rsid w:val="00F876C1"/>
    <w:rsid w:val="00F96480"/>
    <w:rsid w:val="00FA0DAF"/>
    <w:rsid w:val="00FA1665"/>
    <w:rsid w:val="00FA271C"/>
    <w:rsid w:val="00FA379A"/>
    <w:rsid w:val="00FA3C31"/>
    <w:rsid w:val="00FA3E1F"/>
    <w:rsid w:val="00FA42D0"/>
    <w:rsid w:val="00FA539C"/>
    <w:rsid w:val="00FB0AE3"/>
    <w:rsid w:val="00FB4179"/>
    <w:rsid w:val="00FB652D"/>
    <w:rsid w:val="00FB68B6"/>
    <w:rsid w:val="00FC6631"/>
    <w:rsid w:val="00FD0260"/>
    <w:rsid w:val="00FD208E"/>
    <w:rsid w:val="00FD48E8"/>
    <w:rsid w:val="00FD505E"/>
    <w:rsid w:val="00FD5427"/>
    <w:rsid w:val="00FD63DA"/>
    <w:rsid w:val="00FE158F"/>
    <w:rsid w:val="00FE3051"/>
    <w:rsid w:val="00FE7A61"/>
    <w:rsid w:val="00FF1FF4"/>
    <w:rsid w:val="00FF3C92"/>
    <w:rsid w:val="00FF4090"/>
    <w:rsid w:val="00FF66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orpo Texto"/>
    <w:qFormat/>
    <w:rsid w:val="00A52110"/>
    <w:pPr>
      <w:spacing w:after="240" w:line="360" w:lineRule="auto"/>
    </w:pPr>
    <w:rPr>
      <w:rFonts w:ascii="Arial" w:hAnsi="Arial"/>
      <w:sz w:val="24"/>
      <w:szCs w:val="24"/>
      <w:lang w:val="pt-BR" w:eastAsia="pt-BR"/>
    </w:rPr>
  </w:style>
  <w:style w:type="paragraph" w:styleId="Ttulo1">
    <w:name w:val="heading 1"/>
    <w:basedOn w:val="Normal"/>
    <w:next w:val="Normal"/>
    <w:qFormat/>
    <w:rsid w:val="00A050F2"/>
    <w:pPr>
      <w:keepNext/>
      <w:spacing w:before="240" w:after="60" w:line="240" w:lineRule="auto"/>
      <w:outlineLvl w:val="0"/>
    </w:pPr>
    <w:rPr>
      <w:rFonts w:cs="Arial"/>
      <w:b/>
      <w:bCs/>
      <w:kern w:val="32"/>
      <w:sz w:val="32"/>
      <w:szCs w:val="32"/>
    </w:rPr>
  </w:style>
  <w:style w:type="paragraph" w:styleId="Ttulo2">
    <w:name w:val="heading 2"/>
    <w:aliases w:val=" Char"/>
    <w:basedOn w:val="Normal"/>
    <w:next w:val="Normal"/>
    <w:link w:val="Ttulo2Char"/>
    <w:qFormat/>
    <w:rsid w:val="00A050F2"/>
    <w:pPr>
      <w:keepNext/>
      <w:spacing w:before="240" w:after="60" w:line="240" w:lineRule="auto"/>
      <w:outlineLvl w:val="1"/>
    </w:pPr>
    <w:rPr>
      <w:rFonts w:cs="Arial"/>
      <w:b/>
      <w:bCs/>
      <w:i/>
      <w:iCs/>
      <w:sz w:val="28"/>
      <w:szCs w:val="28"/>
    </w:rPr>
  </w:style>
  <w:style w:type="paragraph" w:styleId="Ttulo3">
    <w:name w:val="heading 3"/>
    <w:basedOn w:val="Normal"/>
    <w:next w:val="Normal"/>
    <w:qFormat/>
    <w:rsid w:val="00A050F2"/>
    <w:pPr>
      <w:keepNext/>
      <w:spacing w:before="240" w:after="60" w:line="240" w:lineRule="auto"/>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issertaoChar">
    <w:name w:val="Corpo Dissertação Char"/>
    <w:link w:val="CorpoDissertao"/>
    <w:rsid w:val="00A52110"/>
    <w:rPr>
      <w:rFonts w:ascii="Arial" w:hAnsi="Arial"/>
      <w:sz w:val="24"/>
      <w:szCs w:val="24"/>
      <w:lang w:val="pt-BR" w:eastAsia="pt-BR" w:bidi="ar-SA"/>
    </w:rPr>
  </w:style>
  <w:style w:type="paragraph" w:customStyle="1" w:styleId="CorpoDissertao">
    <w:name w:val="Corpo Dissertação"/>
    <w:link w:val="CorpoDissertaoChar"/>
    <w:rsid w:val="00A52110"/>
    <w:pPr>
      <w:spacing w:after="240" w:line="360" w:lineRule="auto"/>
      <w:jc w:val="both"/>
    </w:pPr>
    <w:rPr>
      <w:rFonts w:ascii="Arial" w:hAnsi="Arial"/>
      <w:sz w:val="24"/>
      <w:szCs w:val="24"/>
      <w:lang w:val="pt-BR" w:eastAsia="pt-BR"/>
    </w:rPr>
  </w:style>
  <w:style w:type="paragraph" w:customStyle="1" w:styleId="CorpoDissertaoItlico">
    <w:name w:val="Corpo Dissertação Itálico"/>
    <w:basedOn w:val="CorpoDissertao"/>
    <w:link w:val="CorpoDissertaoItlicoChar"/>
    <w:rsid w:val="00A52110"/>
    <w:rPr>
      <w:i/>
    </w:rPr>
  </w:style>
  <w:style w:type="character" w:customStyle="1" w:styleId="CorpoDissertaoItlicoChar">
    <w:name w:val="Corpo Dissertação Itálico Char"/>
    <w:link w:val="CorpoDissertaoItlico"/>
    <w:rsid w:val="00A52110"/>
    <w:rPr>
      <w:rFonts w:ascii="Arial" w:hAnsi="Arial"/>
      <w:i/>
      <w:sz w:val="24"/>
      <w:szCs w:val="24"/>
      <w:lang w:val="pt-BR" w:eastAsia="pt-BR" w:bidi="ar-SA"/>
    </w:rPr>
  </w:style>
  <w:style w:type="paragraph" w:styleId="Textodenotaderodap">
    <w:name w:val="footnote text"/>
    <w:basedOn w:val="Normal"/>
    <w:link w:val="TextodenotaderodapChar"/>
    <w:autoRedefine/>
    <w:semiHidden/>
    <w:rsid w:val="00E71FC6"/>
    <w:pPr>
      <w:spacing w:after="0" w:line="240" w:lineRule="auto"/>
      <w:jc w:val="both"/>
    </w:pPr>
    <w:rPr>
      <w:rFonts w:ascii="Times New Roman" w:hAnsi="Times New Roman"/>
      <w:sz w:val="20"/>
      <w:szCs w:val="20"/>
    </w:rPr>
  </w:style>
  <w:style w:type="character" w:customStyle="1" w:styleId="TextodenotaderodapChar">
    <w:name w:val="Texto de nota de rodapé Char"/>
    <w:link w:val="Textodenotaderodap"/>
    <w:rsid w:val="00E71FC6"/>
    <w:rPr>
      <w:lang w:val="pt-BR" w:eastAsia="pt-BR" w:bidi="ar-SA"/>
    </w:rPr>
  </w:style>
  <w:style w:type="character" w:styleId="Refdenotaderodap">
    <w:name w:val="footnote reference"/>
    <w:semiHidden/>
    <w:rsid w:val="00A52110"/>
    <w:rPr>
      <w:vertAlign w:val="superscript"/>
    </w:rPr>
  </w:style>
  <w:style w:type="paragraph" w:customStyle="1" w:styleId="CitaoLongaItlico">
    <w:name w:val="Citação Longa Itálico"/>
    <w:basedOn w:val="Normal"/>
    <w:next w:val="CorpoDissertao"/>
    <w:link w:val="CitaoLongaItlicoChar"/>
    <w:rsid w:val="00A52110"/>
    <w:pPr>
      <w:spacing w:line="240" w:lineRule="auto"/>
      <w:ind w:left="2268"/>
      <w:jc w:val="both"/>
    </w:pPr>
    <w:rPr>
      <w:i/>
      <w:sz w:val="22"/>
    </w:rPr>
  </w:style>
  <w:style w:type="character" w:customStyle="1" w:styleId="CitaoLongaItlicoChar">
    <w:name w:val="Citação Longa Itálico Char"/>
    <w:link w:val="CitaoLongaItlico"/>
    <w:rsid w:val="00A52110"/>
    <w:rPr>
      <w:rFonts w:ascii="Arial" w:hAnsi="Arial"/>
      <w:i/>
      <w:sz w:val="22"/>
      <w:szCs w:val="24"/>
      <w:lang w:val="pt-BR" w:eastAsia="pt-BR" w:bidi="ar-SA"/>
    </w:rPr>
  </w:style>
  <w:style w:type="paragraph" w:customStyle="1" w:styleId="Ttulogrficos">
    <w:name w:val="Título gráficos"/>
    <w:aliases w:val="tabs e outros"/>
    <w:link w:val="TtulogrficosChar"/>
    <w:rsid w:val="00A52110"/>
    <w:pPr>
      <w:keepNext/>
      <w:spacing w:before="480" w:after="120"/>
      <w:jc w:val="center"/>
    </w:pPr>
    <w:rPr>
      <w:rFonts w:ascii="Arial" w:hAnsi="Arial"/>
      <w:b/>
      <w:bCs/>
      <w:sz w:val="24"/>
      <w:szCs w:val="24"/>
      <w:lang w:val="pt-BR" w:eastAsia="pt-BR"/>
    </w:rPr>
  </w:style>
  <w:style w:type="character" w:customStyle="1" w:styleId="TtulogrficosChar">
    <w:name w:val="Título gráficos Char"/>
    <w:aliases w:val="tabs e outros Char"/>
    <w:link w:val="Ttulogrficos"/>
    <w:rsid w:val="00A52110"/>
    <w:rPr>
      <w:rFonts w:ascii="Arial" w:hAnsi="Arial"/>
      <w:b/>
      <w:bCs/>
      <w:sz w:val="24"/>
      <w:szCs w:val="24"/>
      <w:lang w:val="pt-BR" w:eastAsia="pt-BR" w:bidi="ar-SA"/>
    </w:rPr>
  </w:style>
  <w:style w:type="paragraph" w:styleId="Rodap">
    <w:name w:val="footer"/>
    <w:basedOn w:val="Normal"/>
    <w:rsid w:val="00CC4130"/>
    <w:pPr>
      <w:tabs>
        <w:tab w:val="center" w:pos="4252"/>
        <w:tab w:val="right" w:pos="8504"/>
      </w:tabs>
    </w:pPr>
  </w:style>
  <w:style w:type="character" w:styleId="Nmerodepgina">
    <w:name w:val="page number"/>
    <w:basedOn w:val="Fontepargpadro"/>
    <w:rsid w:val="00CC4130"/>
  </w:style>
  <w:style w:type="paragraph" w:styleId="Cabealho">
    <w:name w:val="header"/>
    <w:basedOn w:val="Normal"/>
    <w:rsid w:val="00CC4130"/>
    <w:pPr>
      <w:tabs>
        <w:tab w:val="center" w:pos="4252"/>
        <w:tab w:val="right" w:pos="8504"/>
      </w:tabs>
    </w:pPr>
  </w:style>
  <w:style w:type="character" w:styleId="Hyperlink">
    <w:name w:val="Hyperlink"/>
    <w:rsid w:val="00E54547"/>
    <w:rPr>
      <w:rFonts w:ascii="Times New Roman" w:hAnsi="Times New Roman"/>
      <w:color w:val="0000FF"/>
      <w:u w:val="single"/>
    </w:rPr>
  </w:style>
  <w:style w:type="paragraph" w:customStyle="1" w:styleId="CapSecundriosemais">
    <w:name w:val="Cap Secundários e mais"/>
    <w:link w:val="CapSecundriosemaisCharChar"/>
    <w:rsid w:val="00E54547"/>
    <w:pPr>
      <w:keepNext/>
      <w:spacing w:before="480" w:after="600"/>
      <w:jc w:val="both"/>
    </w:pPr>
    <w:rPr>
      <w:b/>
      <w:sz w:val="26"/>
      <w:szCs w:val="24"/>
      <w:lang w:val="pt-BR" w:eastAsia="pt-BR"/>
    </w:rPr>
  </w:style>
  <w:style w:type="character" w:customStyle="1" w:styleId="CapSecundriosemaisCharChar">
    <w:name w:val="Cap Secundários e mais Char Char"/>
    <w:link w:val="CapSecundriosemais"/>
    <w:rsid w:val="00E54547"/>
    <w:rPr>
      <w:b/>
      <w:sz w:val="26"/>
      <w:szCs w:val="24"/>
      <w:lang w:val="pt-BR" w:eastAsia="pt-BR" w:bidi="ar-SA"/>
    </w:rPr>
  </w:style>
  <w:style w:type="character" w:styleId="Refdecomentrio">
    <w:name w:val="annotation reference"/>
    <w:semiHidden/>
    <w:rsid w:val="00414715"/>
    <w:rPr>
      <w:sz w:val="16"/>
      <w:szCs w:val="16"/>
    </w:rPr>
  </w:style>
  <w:style w:type="paragraph" w:styleId="Textodecomentrio">
    <w:name w:val="annotation text"/>
    <w:basedOn w:val="Normal"/>
    <w:semiHidden/>
    <w:rsid w:val="00414715"/>
    <w:rPr>
      <w:sz w:val="20"/>
      <w:szCs w:val="20"/>
    </w:rPr>
  </w:style>
  <w:style w:type="paragraph" w:styleId="Assuntodocomentrio">
    <w:name w:val="annotation subject"/>
    <w:basedOn w:val="Textodecomentrio"/>
    <w:next w:val="Textodecomentrio"/>
    <w:semiHidden/>
    <w:rsid w:val="00414715"/>
    <w:rPr>
      <w:b/>
      <w:bCs/>
    </w:rPr>
  </w:style>
  <w:style w:type="paragraph" w:styleId="Textodebalo">
    <w:name w:val="Balloon Text"/>
    <w:basedOn w:val="Normal"/>
    <w:semiHidden/>
    <w:rsid w:val="00414715"/>
    <w:rPr>
      <w:rFonts w:ascii="Tahoma" w:hAnsi="Tahoma" w:cs="Tahoma"/>
      <w:sz w:val="16"/>
      <w:szCs w:val="16"/>
    </w:rPr>
  </w:style>
  <w:style w:type="paragraph" w:styleId="NormalWeb">
    <w:name w:val="Normal (Web)"/>
    <w:basedOn w:val="Normal"/>
    <w:rsid w:val="00A5037B"/>
    <w:pPr>
      <w:spacing w:before="100" w:beforeAutospacing="1" w:after="100" w:afterAutospacing="1" w:line="240" w:lineRule="auto"/>
    </w:pPr>
    <w:rPr>
      <w:rFonts w:ascii="Times New Roman" w:hAnsi="Times New Roman"/>
    </w:rPr>
  </w:style>
  <w:style w:type="paragraph" w:styleId="ndicedeilustraes">
    <w:name w:val="table of figures"/>
    <w:basedOn w:val="Normal"/>
    <w:next w:val="Normal"/>
    <w:semiHidden/>
    <w:rsid w:val="00D63461"/>
    <w:pPr>
      <w:spacing w:after="0" w:line="240" w:lineRule="auto"/>
      <w:ind w:left="480" w:hanging="480"/>
    </w:pPr>
    <w:rPr>
      <w:rFonts w:ascii="Times New Roman" w:hAnsi="Times New Roman"/>
      <w:b/>
    </w:rPr>
  </w:style>
  <w:style w:type="character" w:customStyle="1" w:styleId="Ttulo2Char">
    <w:name w:val="Título 2 Char"/>
    <w:aliases w:val=" Char Char"/>
    <w:link w:val="Ttulo2"/>
    <w:rsid w:val="00BD5489"/>
    <w:rPr>
      <w:rFonts w:ascii="Arial" w:hAnsi="Arial" w:cs="Arial"/>
      <w:b/>
      <w:bCs/>
      <w:i/>
      <w:iCs/>
      <w:sz w:val="28"/>
      <w:szCs w:val="28"/>
      <w:lang w:val="pt-BR" w:eastAsia="pt-BR" w:bidi="ar-SA"/>
    </w:rPr>
  </w:style>
  <w:style w:type="paragraph" w:customStyle="1" w:styleId="Tabela">
    <w:name w:val="Tabela"/>
    <w:basedOn w:val="Normal"/>
    <w:rsid w:val="00BD5489"/>
    <w:pPr>
      <w:autoSpaceDE w:val="0"/>
      <w:autoSpaceDN w:val="0"/>
      <w:adjustRightInd w:val="0"/>
      <w:spacing w:after="0" w:line="240" w:lineRule="auto"/>
      <w:jc w:val="center"/>
    </w:pPr>
    <w:rPr>
      <w:rFonts w:ascii="Times New Roman" w:hAnsi="Times New Roman"/>
      <w:b/>
      <w:sz w:val="20"/>
      <w:szCs w:val="20"/>
    </w:rPr>
  </w:style>
  <w:style w:type="paragraph" w:customStyle="1" w:styleId="Quadro">
    <w:name w:val="Quadro"/>
    <w:basedOn w:val="Normal"/>
    <w:rsid w:val="00BD5489"/>
    <w:pPr>
      <w:autoSpaceDE w:val="0"/>
      <w:autoSpaceDN w:val="0"/>
      <w:adjustRightInd w:val="0"/>
      <w:spacing w:before="240" w:after="0" w:line="240" w:lineRule="auto"/>
      <w:jc w:val="center"/>
    </w:pPr>
    <w:rPr>
      <w:rFonts w:ascii="Times New Roman" w:hAnsi="Times New Roman"/>
      <w:b/>
      <w:sz w:val="22"/>
      <w:szCs w:val="22"/>
    </w:rPr>
  </w:style>
  <w:style w:type="character" w:customStyle="1" w:styleId="CorpoDissertaoCharChar">
    <w:name w:val="Corpo Dissertação Char Char"/>
    <w:rsid w:val="0054335A"/>
    <w:rPr>
      <w:sz w:val="24"/>
      <w:szCs w:val="24"/>
      <w:lang w:val="pt-BR" w:eastAsia="pt-BR" w:bidi="ar-SA"/>
    </w:rPr>
  </w:style>
  <w:style w:type="character" w:styleId="CitaoHTML">
    <w:name w:val="HTML Cite"/>
    <w:rsid w:val="00E72CA3"/>
    <w:rPr>
      <w:i/>
      <w:iCs/>
    </w:rPr>
  </w:style>
  <w:style w:type="paragraph" w:styleId="SemEspaamento">
    <w:name w:val="No Spacing"/>
    <w:uiPriority w:val="1"/>
    <w:qFormat/>
    <w:rsid w:val="00C45277"/>
    <w:rPr>
      <w:rFonts w:ascii="Arial" w:hAnsi="Arial"/>
      <w:sz w:val="24"/>
      <w:szCs w:val="24"/>
      <w:lang w:val="pt-BR" w:eastAsia="pt-BR"/>
    </w:rPr>
  </w:style>
  <w:style w:type="paragraph" w:styleId="Corpodetexto">
    <w:name w:val="Body Text"/>
    <w:basedOn w:val="Normal"/>
    <w:link w:val="CorpodetextoChar"/>
    <w:rsid w:val="00C622E2"/>
    <w:pPr>
      <w:spacing w:after="0"/>
      <w:jc w:val="both"/>
    </w:pPr>
    <w:rPr>
      <w:rFonts w:ascii="Times New Roman" w:hAnsi="Times New Roman"/>
    </w:rPr>
  </w:style>
  <w:style w:type="character" w:customStyle="1" w:styleId="CorpodetextoChar">
    <w:name w:val="Corpo de texto Char"/>
    <w:basedOn w:val="Fontepargpadro"/>
    <w:link w:val="Corpodetexto"/>
    <w:rsid w:val="00C622E2"/>
    <w:rPr>
      <w:sz w:val="24"/>
      <w:szCs w:val="24"/>
      <w:lang w:val="pt-BR" w:eastAsia="pt-BR"/>
    </w:rPr>
  </w:style>
  <w:style w:type="paragraph" w:customStyle="1" w:styleId="RefernciaBibliogrfica">
    <w:name w:val="Referência Bibliográfica"/>
    <w:basedOn w:val="Normal"/>
    <w:rsid w:val="00BF023C"/>
    <w:pPr>
      <w:keepLines/>
      <w:spacing w:line="240" w:lineRule="auto"/>
      <w:jc w:val="both"/>
    </w:pPr>
    <w:rPr>
      <w:rFonts w:ascii="Times New Roman" w:hAnsi="Times New Roman"/>
      <w:noProof/>
    </w:rPr>
  </w:style>
  <w:style w:type="paragraph" w:customStyle="1" w:styleId="PargrafodaLista1">
    <w:name w:val="Parágrafo da Lista1"/>
    <w:basedOn w:val="Normal"/>
    <w:rsid w:val="0073033C"/>
    <w:pPr>
      <w:spacing w:after="0" w:line="240" w:lineRule="auto"/>
      <w:ind w:left="720"/>
      <w:contextualSpacing/>
    </w:pPr>
    <w:rPr>
      <w:rFonts w:ascii="Times New Roman" w:eastAsia="Calibri"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1524">
      <w:bodyDiv w:val="1"/>
      <w:marLeft w:val="0"/>
      <w:marRight w:val="0"/>
      <w:marTop w:val="0"/>
      <w:marBottom w:val="0"/>
      <w:divBdr>
        <w:top w:val="none" w:sz="0" w:space="0" w:color="auto"/>
        <w:left w:val="none" w:sz="0" w:space="0" w:color="auto"/>
        <w:bottom w:val="none" w:sz="0" w:space="0" w:color="auto"/>
        <w:right w:val="none" w:sz="0" w:space="0" w:color="auto"/>
      </w:divBdr>
    </w:div>
    <w:div w:id="78794226">
      <w:bodyDiv w:val="1"/>
      <w:marLeft w:val="0"/>
      <w:marRight w:val="0"/>
      <w:marTop w:val="0"/>
      <w:marBottom w:val="0"/>
      <w:divBdr>
        <w:top w:val="none" w:sz="0" w:space="0" w:color="auto"/>
        <w:left w:val="none" w:sz="0" w:space="0" w:color="auto"/>
        <w:bottom w:val="none" w:sz="0" w:space="0" w:color="auto"/>
        <w:right w:val="none" w:sz="0" w:space="0" w:color="auto"/>
      </w:divBdr>
    </w:div>
    <w:div w:id="79374258">
      <w:bodyDiv w:val="1"/>
      <w:marLeft w:val="0"/>
      <w:marRight w:val="0"/>
      <w:marTop w:val="0"/>
      <w:marBottom w:val="0"/>
      <w:divBdr>
        <w:top w:val="none" w:sz="0" w:space="0" w:color="auto"/>
        <w:left w:val="none" w:sz="0" w:space="0" w:color="auto"/>
        <w:bottom w:val="none" w:sz="0" w:space="0" w:color="auto"/>
        <w:right w:val="none" w:sz="0" w:space="0" w:color="auto"/>
      </w:divBdr>
    </w:div>
    <w:div w:id="126631336">
      <w:bodyDiv w:val="1"/>
      <w:marLeft w:val="0"/>
      <w:marRight w:val="0"/>
      <w:marTop w:val="0"/>
      <w:marBottom w:val="0"/>
      <w:divBdr>
        <w:top w:val="none" w:sz="0" w:space="0" w:color="auto"/>
        <w:left w:val="none" w:sz="0" w:space="0" w:color="auto"/>
        <w:bottom w:val="none" w:sz="0" w:space="0" w:color="auto"/>
        <w:right w:val="none" w:sz="0" w:space="0" w:color="auto"/>
      </w:divBdr>
    </w:div>
    <w:div w:id="175072774">
      <w:bodyDiv w:val="1"/>
      <w:marLeft w:val="0"/>
      <w:marRight w:val="0"/>
      <w:marTop w:val="0"/>
      <w:marBottom w:val="0"/>
      <w:divBdr>
        <w:top w:val="none" w:sz="0" w:space="0" w:color="auto"/>
        <w:left w:val="none" w:sz="0" w:space="0" w:color="auto"/>
        <w:bottom w:val="none" w:sz="0" w:space="0" w:color="auto"/>
        <w:right w:val="none" w:sz="0" w:space="0" w:color="auto"/>
      </w:divBdr>
    </w:div>
    <w:div w:id="192495584">
      <w:bodyDiv w:val="1"/>
      <w:marLeft w:val="0"/>
      <w:marRight w:val="0"/>
      <w:marTop w:val="0"/>
      <w:marBottom w:val="0"/>
      <w:divBdr>
        <w:top w:val="none" w:sz="0" w:space="0" w:color="auto"/>
        <w:left w:val="none" w:sz="0" w:space="0" w:color="auto"/>
        <w:bottom w:val="none" w:sz="0" w:space="0" w:color="auto"/>
        <w:right w:val="none" w:sz="0" w:space="0" w:color="auto"/>
      </w:divBdr>
    </w:div>
    <w:div w:id="272136598">
      <w:bodyDiv w:val="1"/>
      <w:marLeft w:val="0"/>
      <w:marRight w:val="0"/>
      <w:marTop w:val="0"/>
      <w:marBottom w:val="0"/>
      <w:divBdr>
        <w:top w:val="none" w:sz="0" w:space="0" w:color="auto"/>
        <w:left w:val="none" w:sz="0" w:space="0" w:color="auto"/>
        <w:bottom w:val="none" w:sz="0" w:space="0" w:color="auto"/>
        <w:right w:val="none" w:sz="0" w:space="0" w:color="auto"/>
      </w:divBdr>
    </w:div>
    <w:div w:id="306016392">
      <w:bodyDiv w:val="1"/>
      <w:marLeft w:val="0"/>
      <w:marRight w:val="0"/>
      <w:marTop w:val="0"/>
      <w:marBottom w:val="0"/>
      <w:divBdr>
        <w:top w:val="none" w:sz="0" w:space="0" w:color="auto"/>
        <w:left w:val="none" w:sz="0" w:space="0" w:color="auto"/>
        <w:bottom w:val="none" w:sz="0" w:space="0" w:color="auto"/>
        <w:right w:val="none" w:sz="0" w:space="0" w:color="auto"/>
      </w:divBdr>
    </w:div>
    <w:div w:id="491675057">
      <w:bodyDiv w:val="1"/>
      <w:marLeft w:val="0"/>
      <w:marRight w:val="0"/>
      <w:marTop w:val="0"/>
      <w:marBottom w:val="0"/>
      <w:divBdr>
        <w:top w:val="none" w:sz="0" w:space="0" w:color="auto"/>
        <w:left w:val="none" w:sz="0" w:space="0" w:color="auto"/>
        <w:bottom w:val="none" w:sz="0" w:space="0" w:color="auto"/>
        <w:right w:val="none" w:sz="0" w:space="0" w:color="auto"/>
      </w:divBdr>
    </w:div>
    <w:div w:id="611667415">
      <w:bodyDiv w:val="1"/>
      <w:marLeft w:val="0"/>
      <w:marRight w:val="0"/>
      <w:marTop w:val="0"/>
      <w:marBottom w:val="0"/>
      <w:divBdr>
        <w:top w:val="none" w:sz="0" w:space="0" w:color="auto"/>
        <w:left w:val="none" w:sz="0" w:space="0" w:color="auto"/>
        <w:bottom w:val="none" w:sz="0" w:space="0" w:color="auto"/>
        <w:right w:val="none" w:sz="0" w:space="0" w:color="auto"/>
      </w:divBdr>
    </w:div>
    <w:div w:id="700593663">
      <w:bodyDiv w:val="1"/>
      <w:marLeft w:val="0"/>
      <w:marRight w:val="0"/>
      <w:marTop w:val="0"/>
      <w:marBottom w:val="0"/>
      <w:divBdr>
        <w:top w:val="none" w:sz="0" w:space="0" w:color="auto"/>
        <w:left w:val="none" w:sz="0" w:space="0" w:color="auto"/>
        <w:bottom w:val="none" w:sz="0" w:space="0" w:color="auto"/>
        <w:right w:val="none" w:sz="0" w:space="0" w:color="auto"/>
      </w:divBdr>
    </w:div>
    <w:div w:id="765464947">
      <w:bodyDiv w:val="1"/>
      <w:marLeft w:val="0"/>
      <w:marRight w:val="0"/>
      <w:marTop w:val="0"/>
      <w:marBottom w:val="0"/>
      <w:divBdr>
        <w:top w:val="none" w:sz="0" w:space="0" w:color="auto"/>
        <w:left w:val="none" w:sz="0" w:space="0" w:color="auto"/>
        <w:bottom w:val="none" w:sz="0" w:space="0" w:color="auto"/>
        <w:right w:val="none" w:sz="0" w:space="0" w:color="auto"/>
      </w:divBdr>
    </w:div>
    <w:div w:id="767820288">
      <w:bodyDiv w:val="1"/>
      <w:marLeft w:val="0"/>
      <w:marRight w:val="0"/>
      <w:marTop w:val="0"/>
      <w:marBottom w:val="0"/>
      <w:divBdr>
        <w:top w:val="none" w:sz="0" w:space="0" w:color="auto"/>
        <w:left w:val="none" w:sz="0" w:space="0" w:color="auto"/>
        <w:bottom w:val="none" w:sz="0" w:space="0" w:color="auto"/>
        <w:right w:val="none" w:sz="0" w:space="0" w:color="auto"/>
      </w:divBdr>
    </w:div>
    <w:div w:id="787819873">
      <w:bodyDiv w:val="1"/>
      <w:marLeft w:val="0"/>
      <w:marRight w:val="0"/>
      <w:marTop w:val="0"/>
      <w:marBottom w:val="0"/>
      <w:divBdr>
        <w:top w:val="none" w:sz="0" w:space="0" w:color="auto"/>
        <w:left w:val="none" w:sz="0" w:space="0" w:color="auto"/>
        <w:bottom w:val="none" w:sz="0" w:space="0" w:color="auto"/>
        <w:right w:val="none" w:sz="0" w:space="0" w:color="auto"/>
      </w:divBdr>
    </w:div>
    <w:div w:id="1001011561">
      <w:bodyDiv w:val="1"/>
      <w:marLeft w:val="0"/>
      <w:marRight w:val="0"/>
      <w:marTop w:val="0"/>
      <w:marBottom w:val="0"/>
      <w:divBdr>
        <w:top w:val="none" w:sz="0" w:space="0" w:color="auto"/>
        <w:left w:val="none" w:sz="0" w:space="0" w:color="auto"/>
        <w:bottom w:val="none" w:sz="0" w:space="0" w:color="auto"/>
        <w:right w:val="none" w:sz="0" w:space="0" w:color="auto"/>
      </w:divBdr>
    </w:div>
    <w:div w:id="1261837547">
      <w:bodyDiv w:val="1"/>
      <w:marLeft w:val="0"/>
      <w:marRight w:val="0"/>
      <w:marTop w:val="0"/>
      <w:marBottom w:val="0"/>
      <w:divBdr>
        <w:top w:val="none" w:sz="0" w:space="0" w:color="auto"/>
        <w:left w:val="none" w:sz="0" w:space="0" w:color="auto"/>
        <w:bottom w:val="none" w:sz="0" w:space="0" w:color="auto"/>
        <w:right w:val="none" w:sz="0" w:space="0" w:color="auto"/>
      </w:divBdr>
    </w:div>
    <w:div w:id="1294215331">
      <w:bodyDiv w:val="1"/>
      <w:marLeft w:val="0"/>
      <w:marRight w:val="0"/>
      <w:marTop w:val="0"/>
      <w:marBottom w:val="0"/>
      <w:divBdr>
        <w:top w:val="none" w:sz="0" w:space="0" w:color="auto"/>
        <w:left w:val="none" w:sz="0" w:space="0" w:color="auto"/>
        <w:bottom w:val="none" w:sz="0" w:space="0" w:color="auto"/>
        <w:right w:val="none" w:sz="0" w:space="0" w:color="auto"/>
      </w:divBdr>
    </w:div>
    <w:div w:id="1437167689">
      <w:bodyDiv w:val="1"/>
      <w:marLeft w:val="0"/>
      <w:marRight w:val="0"/>
      <w:marTop w:val="0"/>
      <w:marBottom w:val="0"/>
      <w:divBdr>
        <w:top w:val="none" w:sz="0" w:space="0" w:color="auto"/>
        <w:left w:val="none" w:sz="0" w:space="0" w:color="auto"/>
        <w:bottom w:val="none" w:sz="0" w:space="0" w:color="auto"/>
        <w:right w:val="none" w:sz="0" w:space="0" w:color="auto"/>
      </w:divBdr>
    </w:div>
    <w:div w:id="1501965500">
      <w:bodyDiv w:val="1"/>
      <w:marLeft w:val="0"/>
      <w:marRight w:val="0"/>
      <w:marTop w:val="0"/>
      <w:marBottom w:val="0"/>
      <w:divBdr>
        <w:top w:val="none" w:sz="0" w:space="0" w:color="auto"/>
        <w:left w:val="none" w:sz="0" w:space="0" w:color="auto"/>
        <w:bottom w:val="none" w:sz="0" w:space="0" w:color="auto"/>
        <w:right w:val="none" w:sz="0" w:space="0" w:color="auto"/>
      </w:divBdr>
    </w:div>
    <w:div w:id="1753775396">
      <w:bodyDiv w:val="1"/>
      <w:marLeft w:val="0"/>
      <w:marRight w:val="0"/>
      <w:marTop w:val="0"/>
      <w:marBottom w:val="0"/>
      <w:divBdr>
        <w:top w:val="none" w:sz="0" w:space="0" w:color="auto"/>
        <w:left w:val="none" w:sz="0" w:space="0" w:color="auto"/>
        <w:bottom w:val="none" w:sz="0" w:space="0" w:color="auto"/>
        <w:right w:val="none" w:sz="0" w:space="0" w:color="auto"/>
      </w:divBdr>
    </w:div>
    <w:div w:id="20854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package" Target="embeddings/Planilha_do_Microsoft_Office_Excel2.xlsx"/><Relationship Id="rId25"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Planilha_do_Microsoft_Office_Excel_97-20031.xls"/><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package" Target="embeddings/Planilha_do_Microsoft_Office_Excel3.xlsx"/><Relationship Id="rId4" Type="http://schemas.openxmlformats.org/officeDocument/2006/relationships/settings" Target="settings.xml"/><Relationship Id="rId9" Type="http://schemas.openxmlformats.org/officeDocument/2006/relationships/package" Target="embeddings/Planilha_do_Microsoft_Office_Excel1.xlsx"/><Relationship Id="rId14" Type="http://schemas.openxmlformats.org/officeDocument/2006/relationships/image" Target="media/image4.emf"/><Relationship Id="rId22" Type="http://schemas.openxmlformats.org/officeDocument/2006/relationships/hyperlink" Target="http://www.ipea.gov.br/pub/td/td_2001/td_84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te.gov.br/estudiosospesquisadores/pdet/conteudo/rais_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7362-5895-4077-85FD-5A19073E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8476</Words>
  <Characters>48056</Characters>
  <Application>Microsoft Office Word</Application>
  <DocSecurity>0</DocSecurity>
  <Lines>400</Lines>
  <Paragraphs>112</Paragraphs>
  <ScaleCrop>false</ScaleCrop>
  <HeadingPairs>
    <vt:vector size="2" baseType="variant">
      <vt:variant>
        <vt:lpstr>Título</vt:lpstr>
      </vt:variant>
      <vt:variant>
        <vt:i4>1</vt:i4>
      </vt:variant>
    </vt:vector>
  </HeadingPairs>
  <TitlesOfParts>
    <vt:vector size="1" baseType="lpstr">
      <vt:lpstr>2</vt:lpstr>
    </vt:vector>
  </TitlesOfParts>
  <Company/>
  <LinksUpToDate>false</LinksUpToDate>
  <CharactersWithSpaces>56420</CharactersWithSpaces>
  <SharedDoc>false</SharedDoc>
  <HLinks>
    <vt:vector size="24" baseType="variant">
      <vt:variant>
        <vt:i4>786513</vt:i4>
      </vt:variant>
      <vt:variant>
        <vt:i4>237</vt:i4>
      </vt:variant>
      <vt:variant>
        <vt:i4>0</vt:i4>
      </vt:variant>
      <vt:variant>
        <vt:i4>5</vt:i4>
      </vt:variant>
      <vt:variant>
        <vt:lpwstr>http://www.dime-eu.org/files/active/0/LenziWP2007-15.pdf</vt:lpwstr>
      </vt:variant>
      <vt:variant>
        <vt:lpwstr/>
      </vt:variant>
      <vt:variant>
        <vt:i4>5308503</vt:i4>
      </vt:variant>
      <vt:variant>
        <vt:i4>234</vt:i4>
      </vt:variant>
      <vt:variant>
        <vt:i4>0</vt:i4>
      </vt:variant>
      <vt:variant>
        <vt:i4>5</vt:i4>
      </vt:variant>
      <vt:variant>
        <vt:lpwstr>http://www.cedeplar.ufmg.br/seminarios/economia-mineira/diamantina-2002/4.php</vt:lpwstr>
      </vt:variant>
      <vt:variant>
        <vt:lpwstr/>
      </vt:variant>
      <vt:variant>
        <vt:i4>4194396</vt:i4>
      </vt:variant>
      <vt:variant>
        <vt:i4>231</vt:i4>
      </vt:variant>
      <vt:variant>
        <vt:i4>0</vt:i4>
      </vt:variant>
      <vt:variant>
        <vt:i4>5</vt:i4>
      </vt:variant>
      <vt:variant>
        <vt:lpwstr>http://www.ipea.gov.br/pub/td/td_2001/td_840.pdf</vt:lpwstr>
      </vt:variant>
      <vt:variant>
        <vt:lpwstr/>
      </vt:variant>
      <vt:variant>
        <vt:i4>1704038</vt:i4>
      </vt:variant>
      <vt:variant>
        <vt:i4>0</vt:i4>
      </vt:variant>
      <vt:variant>
        <vt:i4>0</vt:i4>
      </vt:variant>
      <vt:variant>
        <vt:i4>5</vt:i4>
      </vt:variant>
      <vt:variant>
        <vt:lpwstr>http://www.mte.gov.br/estudiosospesquisadores/pdet/conteudo/rais_default.asp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Cedeplar</dc:creator>
  <cp:lastModifiedBy>Windows User</cp:lastModifiedBy>
  <cp:revision>8</cp:revision>
  <cp:lastPrinted>2011-07-01T20:12:00Z</cp:lastPrinted>
  <dcterms:created xsi:type="dcterms:W3CDTF">2011-07-15T15:23:00Z</dcterms:created>
  <dcterms:modified xsi:type="dcterms:W3CDTF">2011-07-18T19:42:00Z</dcterms:modified>
</cp:coreProperties>
</file>