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B" w:rsidRDefault="00CE3E97" w:rsidP="005F5BA4">
      <w:pPr>
        <w:jc w:val="center"/>
        <w:rPr>
          <w:bCs/>
          <w:iCs/>
        </w:rPr>
      </w:pPr>
      <w:r>
        <w:rPr>
          <w:bCs/>
          <w:iCs/>
        </w:rPr>
        <w:t>Análise do</w:t>
      </w:r>
      <w:r w:rsidR="00BA2114" w:rsidRPr="00E07781">
        <w:rPr>
          <w:bCs/>
          <w:iCs/>
        </w:rPr>
        <w:t xml:space="preserve"> Crescimento nos Municípios de Minas Gerais através do Modelo de Solow e sua Versão Ampliada com Inserção de Capital Humano</w:t>
      </w:r>
      <w:r w:rsidR="007D3287" w:rsidRPr="00E07781">
        <w:rPr>
          <w:bCs/>
          <w:iCs/>
        </w:rPr>
        <w:t>,</w:t>
      </w:r>
      <w:r w:rsidR="00130F2B">
        <w:rPr>
          <w:bCs/>
          <w:iCs/>
        </w:rPr>
        <w:t xml:space="preserve"> </w:t>
      </w:r>
      <w:r w:rsidR="00BA2114" w:rsidRPr="00E07781">
        <w:rPr>
          <w:bCs/>
          <w:iCs/>
        </w:rPr>
        <w:t>1991-2000</w:t>
      </w:r>
      <w:r w:rsidR="00130F2B">
        <w:rPr>
          <w:bCs/>
          <w:iCs/>
        </w:rPr>
        <w:t xml:space="preserve">: </w:t>
      </w:r>
    </w:p>
    <w:p w:rsidR="00AC40E6" w:rsidRDefault="00130F2B" w:rsidP="005F5BA4">
      <w:pPr>
        <w:jc w:val="center"/>
        <w:rPr>
          <w:bCs/>
          <w:iCs/>
        </w:rPr>
      </w:pPr>
      <w:r>
        <w:rPr>
          <w:bCs/>
          <w:iCs/>
        </w:rPr>
        <w:t>Um Estudo de Caso para Econometria Espacial.</w:t>
      </w:r>
    </w:p>
    <w:p w:rsidR="00B94A5B" w:rsidRDefault="00B94A5B" w:rsidP="005F5BA4">
      <w:pPr>
        <w:jc w:val="right"/>
        <w:rPr>
          <w:b/>
          <w:bCs/>
          <w:iCs/>
        </w:rPr>
      </w:pPr>
      <w:r w:rsidRPr="00B94A5B">
        <w:rPr>
          <w:b/>
          <w:bCs/>
          <w:iCs/>
        </w:rPr>
        <w:t>Vinícius de Azevedo Couto Firme</w:t>
      </w:r>
      <w:r w:rsidR="00996FB9">
        <w:rPr>
          <w:rStyle w:val="Refdenotaderodap"/>
          <w:b/>
          <w:bCs/>
          <w:iCs/>
        </w:rPr>
        <w:footnoteReference w:id="2"/>
      </w:r>
    </w:p>
    <w:p w:rsidR="00AC40E6" w:rsidRDefault="00AC40E6" w:rsidP="005F5BA4">
      <w:pPr>
        <w:jc w:val="right"/>
        <w:rPr>
          <w:b/>
          <w:bCs/>
          <w:iCs/>
        </w:rPr>
      </w:pPr>
      <w:r>
        <w:rPr>
          <w:b/>
          <w:bCs/>
          <w:iCs/>
        </w:rPr>
        <w:t>José Simão Filho</w:t>
      </w:r>
      <w:r>
        <w:rPr>
          <w:rStyle w:val="Refdenotaderodap"/>
          <w:b/>
          <w:bCs/>
          <w:iCs/>
        </w:rPr>
        <w:footnoteReference w:id="3"/>
      </w:r>
    </w:p>
    <w:p w:rsidR="008653C0" w:rsidRDefault="008653C0" w:rsidP="008653C0">
      <w:pPr>
        <w:rPr>
          <w:bCs/>
          <w:iCs/>
        </w:rPr>
      </w:pPr>
      <w:r>
        <w:rPr>
          <w:b/>
          <w:bCs/>
          <w:iCs/>
        </w:rPr>
        <w:t xml:space="preserve">Classificação JEL: </w:t>
      </w:r>
      <w:r w:rsidRPr="004207D3">
        <w:rPr>
          <w:bCs/>
          <w:iCs/>
        </w:rPr>
        <w:t>R11; R12</w:t>
      </w:r>
    </w:p>
    <w:p w:rsidR="00EA6305" w:rsidRPr="00EA6305" w:rsidRDefault="00EA6305" w:rsidP="008653C0">
      <w:pPr>
        <w:rPr>
          <w:bCs/>
          <w:iCs/>
        </w:rPr>
      </w:pPr>
      <w:r w:rsidRPr="00EA6305">
        <w:rPr>
          <w:b/>
          <w:bCs/>
          <w:iCs/>
        </w:rPr>
        <w:t>Área</w:t>
      </w:r>
      <w:r>
        <w:rPr>
          <w:bCs/>
          <w:iCs/>
        </w:rPr>
        <w:t>: Economia Regional e Urbana</w:t>
      </w:r>
    </w:p>
    <w:p w:rsidR="005C30A8" w:rsidRPr="00AC40E6" w:rsidRDefault="005C30A8" w:rsidP="00AC40E6">
      <w:pPr>
        <w:tabs>
          <w:tab w:val="left" w:pos="3720"/>
          <w:tab w:val="center" w:pos="4252"/>
        </w:tabs>
        <w:rPr>
          <w:b/>
          <w:bCs/>
          <w:iCs/>
        </w:rPr>
      </w:pPr>
      <w:r w:rsidRPr="005C30A8">
        <w:rPr>
          <w:b/>
          <w:bCs/>
          <w:iCs/>
        </w:rPr>
        <w:tab/>
      </w:r>
      <w:r w:rsidR="007C3396">
        <w:rPr>
          <w:b/>
          <w:bCs/>
          <w:iCs/>
        </w:rPr>
        <w:t>Resumo</w:t>
      </w:r>
    </w:p>
    <w:p w:rsidR="00AC40E6" w:rsidRPr="007C3396" w:rsidRDefault="00E07781" w:rsidP="005C30A8">
      <w:pPr>
        <w:jc w:val="both"/>
        <w:rPr>
          <w:sz w:val="22"/>
          <w:szCs w:val="22"/>
        </w:rPr>
      </w:pPr>
      <w:r w:rsidRPr="007C3396">
        <w:rPr>
          <w:bCs/>
          <w:iCs/>
          <w:sz w:val="22"/>
          <w:szCs w:val="22"/>
        </w:rPr>
        <w:t>Este trabalho teve</w:t>
      </w:r>
      <w:r w:rsidR="005C30A8" w:rsidRPr="007C3396">
        <w:rPr>
          <w:bCs/>
          <w:iCs/>
          <w:sz w:val="22"/>
          <w:szCs w:val="22"/>
        </w:rPr>
        <w:t xml:space="preserve"> por objetivo </w:t>
      </w:r>
      <w:r w:rsidR="00C848E4">
        <w:rPr>
          <w:bCs/>
          <w:iCs/>
          <w:sz w:val="22"/>
          <w:szCs w:val="22"/>
        </w:rPr>
        <w:t>analisar</w:t>
      </w:r>
      <w:r w:rsidR="005C30A8" w:rsidRPr="007C3396">
        <w:rPr>
          <w:bCs/>
          <w:iCs/>
          <w:sz w:val="22"/>
          <w:szCs w:val="22"/>
        </w:rPr>
        <w:t xml:space="preserve"> o modelo de crescimento econômico </w:t>
      </w:r>
      <w:r w:rsidR="0006329A" w:rsidRPr="007C3396">
        <w:rPr>
          <w:bCs/>
          <w:iCs/>
          <w:sz w:val="22"/>
          <w:szCs w:val="22"/>
        </w:rPr>
        <w:t>idealizado</w:t>
      </w:r>
      <w:r w:rsidR="005C30A8" w:rsidRPr="007C3396">
        <w:rPr>
          <w:bCs/>
          <w:iCs/>
          <w:sz w:val="22"/>
          <w:szCs w:val="22"/>
        </w:rPr>
        <w:t xml:space="preserve"> por Robert Solow (1956) </w:t>
      </w:r>
      <w:r w:rsidR="00C848E4">
        <w:rPr>
          <w:bCs/>
          <w:iCs/>
          <w:sz w:val="22"/>
          <w:szCs w:val="22"/>
        </w:rPr>
        <w:t>e</w:t>
      </w:r>
      <w:r w:rsidR="005C30A8" w:rsidRPr="007C3396">
        <w:rPr>
          <w:bCs/>
          <w:iCs/>
          <w:sz w:val="22"/>
          <w:szCs w:val="22"/>
        </w:rPr>
        <w:t xml:space="preserve"> </w:t>
      </w:r>
      <w:r w:rsidR="00D4206F" w:rsidRPr="007C3396">
        <w:rPr>
          <w:bCs/>
          <w:iCs/>
          <w:sz w:val="22"/>
          <w:szCs w:val="22"/>
        </w:rPr>
        <w:t>sua versão ampliada proposta</w:t>
      </w:r>
      <w:r w:rsidR="0073064A" w:rsidRPr="007C3396">
        <w:rPr>
          <w:bCs/>
          <w:iCs/>
          <w:sz w:val="22"/>
          <w:szCs w:val="22"/>
        </w:rPr>
        <w:t xml:space="preserve"> por </w:t>
      </w:r>
      <w:r w:rsidR="000834E0" w:rsidRPr="007C3396">
        <w:rPr>
          <w:bCs/>
          <w:iCs/>
          <w:sz w:val="22"/>
          <w:szCs w:val="22"/>
        </w:rPr>
        <w:t xml:space="preserve">Mankiw, Romer e Weil </w:t>
      </w:r>
      <w:r w:rsidR="009B60E1" w:rsidRPr="007C3396">
        <w:rPr>
          <w:bCs/>
          <w:iCs/>
          <w:sz w:val="22"/>
          <w:szCs w:val="22"/>
        </w:rPr>
        <w:t xml:space="preserve">– MRW </w:t>
      </w:r>
      <w:r w:rsidR="000834E0" w:rsidRPr="007C3396">
        <w:rPr>
          <w:bCs/>
          <w:iCs/>
          <w:sz w:val="22"/>
          <w:szCs w:val="22"/>
        </w:rPr>
        <w:t>(1992), onde há incorporação de capital humano. Para tanto,</w:t>
      </w:r>
      <w:r w:rsidR="0073064A" w:rsidRPr="007C3396">
        <w:rPr>
          <w:bCs/>
          <w:iCs/>
          <w:sz w:val="22"/>
          <w:szCs w:val="22"/>
        </w:rPr>
        <w:t xml:space="preserve"> </w:t>
      </w:r>
      <w:r w:rsidR="006738CE" w:rsidRPr="007C3396">
        <w:rPr>
          <w:bCs/>
          <w:iCs/>
          <w:sz w:val="22"/>
          <w:szCs w:val="22"/>
        </w:rPr>
        <w:t>foi realizado um</w:t>
      </w:r>
      <w:r w:rsidR="0073064A" w:rsidRPr="007C3396">
        <w:rPr>
          <w:bCs/>
          <w:iCs/>
          <w:sz w:val="22"/>
          <w:szCs w:val="22"/>
        </w:rPr>
        <w:t xml:space="preserve"> </w:t>
      </w:r>
      <w:r w:rsidR="006738CE" w:rsidRPr="007C3396">
        <w:rPr>
          <w:bCs/>
          <w:iCs/>
          <w:sz w:val="22"/>
          <w:szCs w:val="22"/>
        </w:rPr>
        <w:t>estudo empírico</w:t>
      </w:r>
      <w:r w:rsidR="0073064A" w:rsidRPr="007C3396">
        <w:rPr>
          <w:bCs/>
          <w:iCs/>
          <w:sz w:val="22"/>
          <w:szCs w:val="22"/>
        </w:rPr>
        <w:t xml:space="preserve"> utilizando os municípios do estado de Minas Gerais entre o período de </w:t>
      </w:r>
      <w:smartTag w:uri="urn:schemas-microsoft-com:office:smarttags" w:element="metricconverter">
        <w:smartTagPr>
          <w:attr w:name="ProductID" w:val="1991 a"/>
        </w:smartTagPr>
        <w:r w:rsidR="0073064A" w:rsidRPr="007C3396">
          <w:rPr>
            <w:bCs/>
            <w:iCs/>
            <w:sz w:val="22"/>
            <w:szCs w:val="22"/>
          </w:rPr>
          <w:t>1991 a</w:t>
        </w:r>
      </w:smartTag>
      <w:r w:rsidR="0073064A" w:rsidRPr="007C3396">
        <w:rPr>
          <w:bCs/>
          <w:iCs/>
          <w:sz w:val="22"/>
          <w:szCs w:val="22"/>
        </w:rPr>
        <w:t xml:space="preserve"> 2000. </w:t>
      </w:r>
      <w:r w:rsidR="00A86D8C" w:rsidRPr="007C3396">
        <w:rPr>
          <w:bCs/>
          <w:iCs/>
          <w:sz w:val="22"/>
          <w:szCs w:val="22"/>
        </w:rPr>
        <w:t xml:space="preserve">Primeiramente </w:t>
      </w:r>
      <w:r w:rsidRPr="007C3396">
        <w:rPr>
          <w:bCs/>
          <w:iCs/>
          <w:sz w:val="22"/>
          <w:szCs w:val="22"/>
        </w:rPr>
        <w:t>realizou-se</w:t>
      </w:r>
      <w:r w:rsidR="00A86D8C" w:rsidRPr="007C3396">
        <w:rPr>
          <w:bCs/>
          <w:iCs/>
          <w:sz w:val="22"/>
          <w:szCs w:val="22"/>
        </w:rPr>
        <w:t xml:space="preserve"> uma análise da variável dependente</w:t>
      </w:r>
      <w:r w:rsidR="003104DC" w:rsidRPr="007C3396">
        <w:rPr>
          <w:bCs/>
          <w:iCs/>
          <w:sz w:val="22"/>
          <w:szCs w:val="22"/>
        </w:rPr>
        <w:t xml:space="preserve">, </w:t>
      </w:r>
      <w:r w:rsidR="0006329A" w:rsidRPr="007C3396">
        <w:rPr>
          <w:bCs/>
          <w:iCs/>
          <w:sz w:val="22"/>
          <w:szCs w:val="22"/>
        </w:rPr>
        <w:t xml:space="preserve">crescimento do PIB </w:t>
      </w:r>
      <w:r w:rsidR="0006329A" w:rsidRPr="007C3396">
        <w:rPr>
          <w:bCs/>
          <w:i/>
          <w:iCs/>
          <w:sz w:val="22"/>
          <w:szCs w:val="22"/>
        </w:rPr>
        <w:t>per capta</w:t>
      </w:r>
      <w:r w:rsidR="0006329A" w:rsidRPr="007C3396">
        <w:rPr>
          <w:bCs/>
          <w:iCs/>
          <w:sz w:val="22"/>
          <w:szCs w:val="22"/>
        </w:rPr>
        <w:t xml:space="preserve">, </w:t>
      </w:r>
      <w:r w:rsidR="00A86D8C" w:rsidRPr="007C3396">
        <w:rPr>
          <w:bCs/>
          <w:iCs/>
          <w:sz w:val="22"/>
          <w:szCs w:val="22"/>
        </w:rPr>
        <w:t>a</w:t>
      </w:r>
      <w:r w:rsidR="00CE3E97" w:rsidRPr="007C3396">
        <w:rPr>
          <w:bCs/>
          <w:iCs/>
          <w:sz w:val="22"/>
          <w:szCs w:val="22"/>
        </w:rPr>
        <w:t>través das técnicas de Análise E</w:t>
      </w:r>
      <w:r w:rsidR="00A86D8C" w:rsidRPr="007C3396">
        <w:rPr>
          <w:bCs/>
          <w:iCs/>
          <w:sz w:val="22"/>
          <w:szCs w:val="22"/>
        </w:rPr>
        <w:t xml:space="preserve">xploratória de Dados Espaciais (AEDE). </w:t>
      </w:r>
      <w:r w:rsidR="00087B00" w:rsidRPr="007C3396">
        <w:rPr>
          <w:bCs/>
          <w:iCs/>
          <w:sz w:val="22"/>
          <w:szCs w:val="22"/>
        </w:rPr>
        <w:t xml:space="preserve">Posteriormente, </w:t>
      </w:r>
      <w:r w:rsidRPr="007C3396">
        <w:rPr>
          <w:bCs/>
          <w:iCs/>
          <w:sz w:val="22"/>
          <w:szCs w:val="22"/>
        </w:rPr>
        <w:t>verificou-se</w:t>
      </w:r>
      <w:r w:rsidR="00087B00" w:rsidRPr="007C3396">
        <w:rPr>
          <w:bCs/>
          <w:iCs/>
          <w:sz w:val="22"/>
          <w:szCs w:val="22"/>
        </w:rPr>
        <w:t xml:space="preserve"> qual dos modelos apresenta</w:t>
      </w:r>
      <w:r w:rsidR="0006329A" w:rsidRPr="007C3396">
        <w:rPr>
          <w:bCs/>
          <w:iCs/>
          <w:sz w:val="22"/>
          <w:szCs w:val="22"/>
        </w:rPr>
        <w:t>va</w:t>
      </w:r>
      <w:r w:rsidR="00087B00" w:rsidRPr="007C3396">
        <w:rPr>
          <w:bCs/>
          <w:iCs/>
          <w:sz w:val="22"/>
          <w:szCs w:val="22"/>
        </w:rPr>
        <w:t xml:space="preserve"> maior pode</w:t>
      </w:r>
      <w:r w:rsidRPr="007C3396">
        <w:rPr>
          <w:bCs/>
          <w:iCs/>
          <w:sz w:val="22"/>
          <w:szCs w:val="22"/>
        </w:rPr>
        <w:t>r de explicação sobre este</w:t>
      </w:r>
      <w:r w:rsidR="00087B00" w:rsidRPr="007C3396">
        <w:rPr>
          <w:bCs/>
          <w:iCs/>
          <w:sz w:val="22"/>
          <w:szCs w:val="22"/>
        </w:rPr>
        <w:t xml:space="preserve"> crescimento</w:t>
      </w:r>
      <w:r w:rsidR="0006329A" w:rsidRPr="007C3396">
        <w:rPr>
          <w:bCs/>
          <w:iCs/>
          <w:sz w:val="22"/>
          <w:szCs w:val="22"/>
        </w:rPr>
        <w:t xml:space="preserve"> no período analisado</w:t>
      </w:r>
      <w:r w:rsidR="00087B00" w:rsidRPr="007C3396">
        <w:rPr>
          <w:bCs/>
          <w:iCs/>
          <w:sz w:val="22"/>
          <w:szCs w:val="22"/>
        </w:rPr>
        <w:t xml:space="preserve">. </w:t>
      </w:r>
      <w:r w:rsidR="00087B00" w:rsidRPr="007C3396">
        <w:rPr>
          <w:sz w:val="22"/>
          <w:szCs w:val="22"/>
        </w:rPr>
        <w:t>Por fim,</w:t>
      </w:r>
      <w:r w:rsidR="00D77F20" w:rsidRPr="007C3396">
        <w:rPr>
          <w:sz w:val="22"/>
          <w:szCs w:val="22"/>
        </w:rPr>
        <w:t xml:space="preserve"> </w:t>
      </w:r>
      <w:r w:rsidR="006B3CF5" w:rsidRPr="007C3396">
        <w:rPr>
          <w:sz w:val="22"/>
          <w:szCs w:val="22"/>
        </w:rPr>
        <w:t>foram</w:t>
      </w:r>
      <w:r w:rsidR="00D77F20" w:rsidRPr="007C3396">
        <w:rPr>
          <w:sz w:val="22"/>
          <w:szCs w:val="22"/>
        </w:rPr>
        <w:t xml:space="preserve"> incluídas variáveis </w:t>
      </w:r>
      <w:r w:rsidR="006B3CF5" w:rsidRPr="007C3396">
        <w:rPr>
          <w:sz w:val="22"/>
          <w:szCs w:val="22"/>
        </w:rPr>
        <w:t>para captar</w:t>
      </w:r>
      <w:r w:rsidR="00D77F20" w:rsidRPr="007C3396">
        <w:rPr>
          <w:sz w:val="22"/>
          <w:szCs w:val="22"/>
        </w:rPr>
        <w:t xml:space="preserve"> os efeitos </w:t>
      </w:r>
      <w:r w:rsidR="0006329A" w:rsidRPr="007C3396">
        <w:rPr>
          <w:sz w:val="22"/>
          <w:szCs w:val="22"/>
        </w:rPr>
        <w:t>espaciais sobre o modelo mais ajustado</w:t>
      </w:r>
      <w:r w:rsidR="00087B00" w:rsidRPr="007C3396">
        <w:rPr>
          <w:sz w:val="22"/>
          <w:szCs w:val="22"/>
        </w:rPr>
        <w:t>.</w:t>
      </w:r>
      <w:r w:rsidR="00D77F20" w:rsidRPr="007C3396">
        <w:rPr>
          <w:sz w:val="22"/>
          <w:szCs w:val="22"/>
        </w:rPr>
        <w:t xml:space="preserve"> </w:t>
      </w:r>
      <w:r w:rsidR="009B60E1" w:rsidRPr="007C3396">
        <w:rPr>
          <w:sz w:val="22"/>
          <w:szCs w:val="22"/>
        </w:rPr>
        <w:t xml:space="preserve">Os resultados indicaram que o modelo de MRW (1992) é o mais indicado para explicar o crescimento. Além disso, a </w:t>
      </w:r>
      <w:r w:rsidR="009B60E1" w:rsidRPr="007C3396">
        <w:rPr>
          <w:i/>
          <w:sz w:val="22"/>
          <w:szCs w:val="22"/>
        </w:rPr>
        <w:t>proxy</w:t>
      </w:r>
      <w:r w:rsidR="009B60E1" w:rsidRPr="007C3396">
        <w:rPr>
          <w:sz w:val="22"/>
          <w:szCs w:val="22"/>
        </w:rPr>
        <w:t xml:space="preserve"> para capital humano proposta por Nabakashi (2005) mostrou-se </w:t>
      </w:r>
      <w:r w:rsidR="00C6051B" w:rsidRPr="007C3396">
        <w:rPr>
          <w:sz w:val="22"/>
          <w:szCs w:val="22"/>
        </w:rPr>
        <w:t>menos aderente em relação</w:t>
      </w:r>
      <w:r w:rsidR="009B60E1" w:rsidRPr="007C3396">
        <w:rPr>
          <w:sz w:val="22"/>
          <w:szCs w:val="22"/>
        </w:rPr>
        <w:t xml:space="preserve"> à calculada pelo </w:t>
      </w:r>
      <w:r w:rsidR="00621650" w:rsidRPr="007C3396">
        <w:rPr>
          <w:sz w:val="22"/>
          <w:szCs w:val="22"/>
        </w:rPr>
        <w:t>IPEA (2008</w:t>
      </w:r>
      <w:r w:rsidR="009B60E1" w:rsidRPr="007C3396">
        <w:rPr>
          <w:sz w:val="22"/>
          <w:szCs w:val="22"/>
        </w:rPr>
        <w:t>).</w:t>
      </w:r>
      <w:r w:rsidR="006738CE" w:rsidRPr="007C3396">
        <w:rPr>
          <w:sz w:val="22"/>
          <w:szCs w:val="22"/>
        </w:rPr>
        <w:t xml:space="preserve"> A AEDE e os modelos estimados por MQO revelaram indícios de autocorrelação espacial. Tal problema foi solucionado com a estimação de um modelo de erro espacial </w:t>
      </w:r>
      <w:r w:rsidR="00C848E4">
        <w:rPr>
          <w:sz w:val="22"/>
          <w:szCs w:val="22"/>
        </w:rPr>
        <w:t>em que</w:t>
      </w:r>
      <w:r w:rsidR="006738CE" w:rsidRPr="007C3396">
        <w:rPr>
          <w:sz w:val="22"/>
          <w:szCs w:val="22"/>
        </w:rPr>
        <w:t xml:space="preserve"> os coeficientes das variáveis explicativas </w:t>
      </w:r>
      <w:r w:rsidR="00C6088F" w:rsidRPr="007C3396">
        <w:rPr>
          <w:sz w:val="22"/>
          <w:szCs w:val="22"/>
        </w:rPr>
        <w:t>- trabalho, capital físico e capital humano - apresentaram</w:t>
      </w:r>
      <w:r w:rsidR="006738CE" w:rsidRPr="007C3396">
        <w:rPr>
          <w:sz w:val="22"/>
          <w:szCs w:val="22"/>
        </w:rPr>
        <w:t xml:space="preserve"> valores muito próximos</w:t>
      </w:r>
      <w:r w:rsidR="00C6088F" w:rsidRPr="007C3396">
        <w:rPr>
          <w:sz w:val="22"/>
          <w:szCs w:val="22"/>
        </w:rPr>
        <w:t xml:space="preserve">, 0.301, 0.344 e 0.374 respectivamente. No entanto, </w:t>
      </w:r>
      <w:r w:rsidR="00CE3E97" w:rsidRPr="007C3396">
        <w:rPr>
          <w:sz w:val="22"/>
          <w:szCs w:val="22"/>
        </w:rPr>
        <w:t>esta regressão</w:t>
      </w:r>
      <w:r w:rsidR="00C6088F" w:rsidRPr="007C3396">
        <w:rPr>
          <w:sz w:val="22"/>
          <w:szCs w:val="22"/>
        </w:rPr>
        <w:t xml:space="preserve"> ainda apresentava heterogeneidade espacial e um modelo de erro espacial com regimes espaciais precisou ser estimado com base na análise de </w:t>
      </w:r>
      <w:r w:rsidR="00C6088F" w:rsidRPr="007C3396">
        <w:rPr>
          <w:i/>
          <w:sz w:val="22"/>
          <w:szCs w:val="22"/>
        </w:rPr>
        <w:t>clusters</w:t>
      </w:r>
      <w:r w:rsidR="00C6088F" w:rsidRPr="007C3396">
        <w:rPr>
          <w:sz w:val="22"/>
          <w:szCs w:val="22"/>
        </w:rPr>
        <w:t xml:space="preserve"> obtida na AEDE. Os resultados revelaram que o conjunto de municípios que apresentou alto crescimento (AA) </w:t>
      </w:r>
      <w:r w:rsidR="00A03C14" w:rsidRPr="007C3396">
        <w:rPr>
          <w:sz w:val="22"/>
          <w:szCs w:val="22"/>
        </w:rPr>
        <w:t>foi</w:t>
      </w:r>
      <w:r w:rsidR="00C6088F" w:rsidRPr="007C3396">
        <w:rPr>
          <w:sz w:val="22"/>
          <w:szCs w:val="22"/>
        </w:rPr>
        <w:t xml:space="preserve"> o que mais depende</w:t>
      </w:r>
      <w:r w:rsidR="00A03C14" w:rsidRPr="007C3396">
        <w:rPr>
          <w:sz w:val="22"/>
          <w:szCs w:val="22"/>
        </w:rPr>
        <w:t>u de capital humano, 0.408,</w:t>
      </w:r>
      <w:r w:rsidR="00C6088F" w:rsidRPr="007C3396">
        <w:rPr>
          <w:sz w:val="22"/>
          <w:szCs w:val="22"/>
        </w:rPr>
        <w:t xml:space="preserve"> </w:t>
      </w:r>
      <w:r w:rsidR="00A03C14" w:rsidRPr="007C3396">
        <w:rPr>
          <w:sz w:val="22"/>
          <w:szCs w:val="22"/>
        </w:rPr>
        <w:t>e o que menos necessitou de capital físico, 0.272</w:t>
      </w:r>
      <w:r w:rsidR="00C6088F" w:rsidRPr="007C3396">
        <w:rPr>
          <w:sz w:val="22"/>
          <w:szCs w:val="22"/>
        </w:rPr>
        <w:t xml:space="preserve">. Por outro lado o </w:t>
      </w:r>
      <w:r w:rsidR="00C6088F" w:rsidRPr="007C3396">
        <w:rPr>
          <w:i/>
          <w:sz w:val="22"/>
          <w:szCs w:val="22"/>
        </w:rPr>
        <w:t>cluster</w:t>
      </w:r>
      <w:r w:rsidR="00C6088F" w:rsidRPr="007C3396">
        <w:rPr>
          <w:sz w:val="22"/>
          <w:szCs w:val="22"/>
        </w:rPr>
        <w:t xml:space="preserve"> de municípios </w:t>
      </w:r>
      <w:r w:rsidR="00A03C14" w:rsidRPr="007C3396">
        <w:rPr>
          <w:sz w:val="22"/>
          <w:szCs w:val="22"/>
        </w:rPr>
        <w:t>de baixo crescimento (</w:t>
      </w:r>
      <w:r w:rsidR="00C6088F" w:rsidRPr="007C3396">
        <w:rPr>
          <w:sz w:val="22"/>
          <w:szCs w:val="22"/>
        </w:rPr>
        <w:t>BB</w:t>
      </w:r>
      <w:r w:rsidR="00A03C14" w:rsidRPr="007C3396">
        <w:rPr>
          <w:sz w:val="22"/>
          <w:szCs w:val="22"/>
        </w:rPr>
        <w:t>)</w:t>
      </w:r>
      <w:r w:rsidR="00C6088F" w:rsidRPr="007C3396">
        <w:rPr>
          <w:sz w:val="22"/>
          <w:szCs w:val="22"/>
        </w:rPr>
        <w:t xml:space="preserve"> </w:t>
      </w:r>
      <w:r w:rsidR="00A03C14" w:rsidRPr="007C3396">
        <w:rPr>
          <w:sz w:val="22"/>
          <w:szCs w:val="22"/>
        </w:rPr>
        <w:t>foi</w:t>
      </w:r>
      <w:r w:rsidR="00C6088F" w:rsidRPr="007C3396">
        <w:rPr>
          <w:sz w:val="22"/>
          <w:szCs w:val="22"/>
        </w:rPr>
        <w:t xml:space="preserve"> o que mais depende</w:t>
      </w:r>
      <w:r w:rsidR="00A03C14" w:rsidRPr="007C3396">
        <w:rPr>
          <w:sz w:val="22"/>
          <w:szCs w:val="22"/>
        </w:rPr>
        <w:t>u</w:t>
      </w:r>
      <w:r w:rsidR="00C6088F" w:rsidRPr="007C3396">
        <w:rPr>
          <w:sz w:val="22"/>
          <w:szCs w:val="22"/>
        </w:rPr>
        <w:t xml:space="preserve"> de capital físico</w:t>
      </w:r>
      <w:r w:rsidR="00A03C14" w:rsidRPr="007C3396">
        <w:rPr>
          <w:sz w:val="22"/>
          <w:szCs w:val="22"/>
        </w:rPr>
        <w:t>, 0.426, e o que menos necessitou de capital humano, 0.3</w:t>
      </w:r>
      <w:r w:rsidR="00C6088F" w:rsidRPr="007C3396">
        <w:rPr>
          <w:sz w:val="22"/>
          <w:szCs w:val="22"/>
        </w:rPr>
        <w:t>.</w:t>
      </w:r>
    </w:p>
    <w:p w:rsidR="007C3396" w:rsidRPr="007C3396" w:rsidRDefault="007C3396" w:rsidP="007C3396">
      <w:pPr>
        <w:jc w:val="both"/>
        <w:rPr>
          <w:bCs/>
          <w:iCs/>
          <w:sz w:val="22"/>
          <w:szCs w:val="22"/>
        </w:rPr>
      </w:pPr>
      <w:r w:rsidRPr="007C3396">
        <w:rPr>
          <w:b/>
          <w:bCs/>
          <w:iCs/>
          <w:sz w:val="22"/>
          <w:szCs w:val="22"/>
        </w:rPr>
        <w:t>Palavras Chave</w:t>
      </w:r>
      <w:r w:rsidRPr="007C3396">
        <w:rPr>
          <w:bCs/>
          <w:iCs/>
          <w:sz w:val="22"/>
          <w:szCs w:val="22"/>
        </w:rPr>
        <w:t>: Econometria Espacial; Economia Regional; Modelos de Crescimento Econômico.</w:t>
      </w:r>
    </w:p>
    <w:p w:rsidR="007C3396" w:rsidRPr="007C3396" w:rsidRDefault="007C3396" w:rsidP="005C30A8">
      <w:pPr>
        <w:jc w:val="both"/>
        <w:rPr>
          <w:sz w:val="22"/>
          <w:szCs w:val="22"/>
        </w:rPr>
      </w:pPr>
    </w:p>
    <w:p w:rsidR="00AC40E6" w:rsidRPr="007C3396" w:rsidRDefault="007C3396" w:rsidP="007C3396">
      <w:pPr>
        <w:jc w:val="center"/>
        <w:rPr>
          <w:b/>
        </w:rPr>
      </w:pPr>
      <w:r w:rsidRPr="007C3396">
        <w:rPr>
          <w:rStyle w:val="longtext"/>
          <w:b/>
          <w:shd w:val="clear" w:color="auto" w:fill="FFFFFF"/>
        </w:rPr>
        <w:t>Summary</w:t>
      </w:r>
    </w:p>
    <w:p w:rsidR="00AC40E6" w:rsidRPr="00042440" w:rsidRDefault="00AC40E6" w:rsidP="005C30A8">
      <w:pPr>
        <w:jc w:val="both"/>
        <w:rPr>
          <w:sz w:val="22"/>
          <w:szCs w:val="22"/>
        </w:rPr>
      </w:pPr>
      <w:r w:rsidRPr="00042440">
        <w:rPr>
          <w:rStyle w:val="longtext"/>
          <w:sz w:val="22"/>
          <w:szCs w:val="22"/>
          <w:shd w:val="clear" w:color="auto" w:fill="FFFFFF"/>
        </w:rPr>
        <w:t>This study aimed to confront the economic growth model devised by Robert Solow (1956) with its extended version proposed by Mankiw, Romer and Weil - MRW (1992), where there is incorporation of human capital. To that end, we conducted an empirical study using the municipalities of Minas Gerais between the period 1991 to 2000. First carried out an analysis of the dependent variable, GDP growth per capita, through the techniques of Exploratory Analysis of Spatial Data (ESDA). Later it was found that the models had greater power to explain this growth in this period. Finally, we added variables to capture the spatial effects on the best adjusted model. The results indicated that the model of MRW (1992) is the most suitable to explain the growth. In addition, the proxy for human capital proposed by Nabakashi (2005) was less adherent compared to the calculated by IPEA (2008). The ESDA and the models estimated by OLS revealed evidence of spatial autocorrelation. This problem was solved by estimating a spatial error model where the coefficients of the explanatory variables - labor, physical capital and human capital - produced very similar values, 0301, 0344 and 0374 respectively. However, this regression also showed spatial heterogeneity and a spatial error model with spatial regimes had to be estimated based on cluster analysis obtained from ESDA. The results revealed that the number of municipalities that had high growth (AA) was the most reliant on human capital, 0408, and that required less physical capital, in 0272. Moreover the cluster of low growth counties (BB) was the most reliant on physical capital, 0426, and which required less human capital, 0.3.</w:t>
      </w:r>
    </w:p>
    <w:p w:rsidR="005F5BA4" w:rsidRPr="004207D3" w:rsidRDefault="007C3396" w:rsidP="004207D3">
      <w:pPr>
        <w:jc w:val="both"/>
        <w:rPr>
          <w:bCs/>
          <w:iCs/>
          <w:sz w:val="22"/>
          <w:szCs w:val="22"/>
        </w:rPr>
      </w:pPr>
      <w:r w:rsidRPr="00042440">
        <w:rPr>
          <w:rStyle w:val="hps"/>
          <w:b/>
          <w:sz w:val="22"/>
          <w:szCs w:val="22"/>
        </w:rPr>
        <w:t>Keywords</w:t>
      </w:r>
      <w:r w:rsidRPr="00042440">
        <w:rPr>
          <w:rStyle w:val="longtext"/>
          <w:sz w:val="22"/>
          <w:szCs w:val="22"/>
        </w:rPr>
        <w:t xml:space="preserve">: </w:t>
      </w:r>
      <w:r w:rsidRPr="00042440">
        <w:rPr>
          <w:rStyle w:val="hps"/>
          <w:sz w:val="22"/>
          <w:szCs w:val="22"/>
        </w:rPr>
        <w:t>Spatial</w:t>
      </w:r>
      <w:r w:rsidRPr="00042440">
        <w:rPr>
          <w:rStyle w:val="longtext"/>
          <w:sz w:val="22"/>
          <w:szCs w:val="22"/>
        </w:rPr>
        <w:t xml:space="preserve"> </w:t>
      </w:r>
      <w:r w:rsidRPr="00042440">
        <w:rPr>
          <w:rStyle w:val="hps"/>
          <w:sz w:val="22"/>
          <w:szCs w:val="22"/>
        </w:rPr>
        <w:t>Econometrics</w:t>
      </w:r>
      <w:r w:rsidRPr="00042440">
        <w:rPr>
          <w:rStyle w:val="longtext"/>
          <w:sz w:val="22"/>
          <w:szCs w:val="22"/>
        </w:rPr>
        <w:t xml:space="preserve">, </w:t>
      </w:r>
      <w:r w:rsidRPr="00042440">
        <w:rPr>
          <w:rStyle w:val="hps"/>
          <w:sz w:val="22"/>
          <w:szCs w:val="22"/>
        </w:rPr>
        <w:t>Regional Economics</w:t>
      </w:r>
      <w:r w:rsidRPr="00042440">
        <w:rPr>
          <w:rStyle w:val="longtext"/>
          <w:sz w:val="22"/>
          <w:szCs w:val="22"/>
        </w:rPr>
        <w:t xml:space="preserve">, </w:t>
      </w:r>
      <w:r w:rsidRPr="00042440">
        <w:rPr>
          <w:rStyle w:val="hps"/>
          <w:sz w:val="22"/>
          <w:szCs w:val="22"/>
        </w:rPr>
        <w:t>Economic Growth</w:t>
      </w:r>
      <w:r w:rsidRPr="00042440">
        <w:rPr>
          <w:rStyle w:val="longtext"/>
          <w:sz w:val="22"/>
          <w:szCs w:val="22"/>
        </w:rPr>
        <w:t xml:space="preserve"> </w:t>
      </w:r>
      <w:r w:rsidRPr="00042440">
        <w:rPr>
          <w:rStyle w:val="hps"/>
          <w:sz w:val="22"/>
          <w:szCs w:val="22"/>
        </w:rPr>
        <w:t>Models</w:t>
      </w:r>
      <w:r w:rsidRPr="00042440">
        <w:rPr>
          <w:rStyle w:val="longtext"/>
          <w:sz w:val="22"/>
          <w:szCs w:val="22"/>
        </w:rPr>
        <w:t>.</w:t>
      </w:r>
    </w:p>
    <w:p w:rsidR="0096598E" w:rsidRDefault="00B94A5B" w:rsidP="0096598E">
      <w:pPr>
        <w:spacing w:line="360" w:lineRule="auto"/>
        <w:rPr>
          <w:b/>
        </w:rPr>
      </w:pPr>
      <w:r w:rsidRPr="0096598E">
        <w:rPr>
          <w:b/>
        </w:rPr>
        <w:lastRenderedPageBreak/>
        <w:t>1. Introdução</w:t>
      </w:r>
    </w:p>
    <w:p w:rsidR="00B94A5B" w:rsidRDefault="00C848E4" w:rsidP="00000A8D">
      <w:pPr>
        <w:ind w:firstLine="357"/>
        <w:jc w:val="both"/>
      </w:pPr>
      <w:r>
        <w:t>Explicar o</w:t>
      </w:r>
      <w:r w:rsidR="00B94A5B" w:rsidRPr="00944A43">
        <w:t xml:space="preserve"> crescimento econômico e sua sustentabilidade no decorrer do tempo estão entre os principais desafios da ciência econômica. Esta questão sempre esteve presente na pauta de discussão </w:t>
      </w:r>
      <w:r>
        <w:t>dos</w:t>
      </w:r>
      <w:r w:rsidR="00B94A5B" w:rsidRPr="00944A43">
        <w:t xml:space="preserve"> economistas. Adam Smith (1776), em seu livro “</w:t>
      </w:r>
      <w:r w:rsidR="00B94A5B" w:rsidRPr="00944A43">
        <w:rPr>
          <w:i/>
        </w:rPr>
        <w:t>Um inquérito sobre a natureza e as causas da riqueza das nações</w:t>
      </w:r>
      <w:r w:rsidR="00B94A5B" w:rsidRPr="00944A43">
        <w:t xml:space="preserve">”, apesar de abordar vários aspectos econômicos, já demonstrava interesse sobre o crescimento diferenciado entre nações.  Porém, foi apenas em 1956, que surgiu um modelo matemático capaz de explicar o crescimento através do comportamento das firmas e famílias e não apenas a partir de hipóteses </w:t>
      </w:r>
      <w:r w:rsidR="00B94A5B" w:rsidRPr="00944A43">
        <w:rPr>
          <w:i/>
        </w:rPr>
        <w:t>ad hoc</w:t>
      </w:r>
      <w:r w:rsidR="00B94A5B" w:rsidRPr="00944A43">
        <w:t xml:space="preserve"> sobre a relação entre agregados econômicos. Modelo este, desenvolvido por Robert Solow em seu artigo “</w:t>
      </w:r>
      <w:r w:rsidR="00B94A5B" w:rsidRPr="00944A43">
        <w:rPr>
          <w:i/>
        </w:rPr>
        <w:t>A contribuition to the theory of economic growth</w:t>
      </w:r>
      <w:r w:rsidR="00B94A5B" w:rsidRPr="00944A43">
        <w:t>”</w:t>
      </w:r>
      <w:r w:rsidR="003D38B2">
        <w:t xml:space="preserve"> (1956)</w:t>
      </w:r>
      <w:r w:rsidR="00B94A5B" w:rsidRPr="00944A43">
        <w:t xml:space="preserve">, conhecido como “Modelo de Crescimento de Solow”. </w:t>
      </w:r>
      <w:r w:rsidR="00AC6A60">
        <w:t>Segundo o</w:t>
      </w:r>
      <w:r w:rsidR="00CB2BFB">
        <w:t xml:space="preserve"> autor, o crescimento econômico “</w:t>
      </w:r>
      <w:r>
        <w:sym w:font="Symbol" w:char="F044"/>
      </w:r>
      <w:r w:rsidR="00CB2BFB">
        <w:t>Y”</w:t>
      </w:r>
      <w:r w:rsidR="00AC6A60">
        <w:t>,</w:t>
      </w:r>
      <w:r w:rsidR="00CB2BFB">
        <w:t xml:space="preserve"> dependia basicamente da variação de capital </w:t>
      </w:r>
      <w:r w:rsidR="008D2D69">
        <w:t xml:space="preserve">físico </w:t>
      </w:r>
      <w:r w:rsidR="00CB2BFB">
        <w:t xml:space="preserve">“K”, força de trabalho “L” e tecnologia “A”. </w:t>
      </w:r>
      <w:r w:rsidR="00B94A5B" w:rsidRPr="00944A43">
        <w:t>Tratava-se de uma tentativa de responder à pergunta: “Por quê alguns países são ricos e outros não?”.</w:t>
      </w:r>
    </w:p>
    <w:p w:rsidR="004F2390" w:rsidRPr="00944A43" w:rsidRDefault="004F2390" w:rsidP="00000A8D">
      <w:pPr>
        <w:ind w:firstLine="357"/>
        <w:jc w:val="both"/>
      </w:pPr>
    </w:p>
    <w:p w:rsidR="00B94A5B" w:rsidRDefault="00B94A5B" w:rsidP="00000A8D">
      <w:pPr>
        <w:ind w:firstLine="357"/>
        <w:jc w:val="both"/>
      </w:pPr>
      <w:r w:rsidRPr="00944A43">
        <w:t xml:space="preserve">Analisando o modelo de Solow, pode-se perceber que a taxa de crescimento </w:t>
      </w:r>
      <w:r w:rsidRPr="00944A43">
        <w:rPr>
          <w:i/>
        </w:rPr>
        <w:t>per capta</w:t>
      </w:r>
      <w:r w:rsidRPr="00944A43">
        <w:t xml:space="preserve"> de uma economia no longo prazo é determinada, basicamente, pelo crescimento da produtividade, ou seja, depende da incorporação de tecnologia. O grande problema é que até então não havia sido desenvolvido nenhum meio de mensurar este ganho de produtividade. Portanto, Solow (1957) propôs que a produtividade fosse calculada como um resíduo da função de produção. Seria, portanto o diferencial entre a variação percentual da produção de uma economia e os insumos utilizados pela mesma, este método ficou conhecido como o “Resíduo de Solow”. O problema da mensuração através do resíduo de Solow consiste em sua incapacidade de determinar os fatores que explicariam os ganhos de produtividade. </w:t>
      </w:r>
    </w:p>
    <w:p w:rsidR="004F2390" w:rsidRPr="00944A43" w:rsidRDefault="004F2390" w:rsidP="00000A8D">
      <w:pPr>
        <w:ind w:firstLine="357"/>
        <w:jc w:val="both"/>
      </w:pPr>
    </w:p>
    <w:p w:rsidR="007805CD" w:rsidRDefault="004F52A9" w:rsidP="00000A8D">
      <w:pPr>
        <w:ind w:firstLine="357"/>
        <w:jc w:val="both"/>
      </w:pPr>
      <w:r>
        <w:t>Seguindo esta linha</w:t>
      </w:r>
      <w:r w:rsidR="00B94A5B" w:rsidRPr="00944A43">
        <w:t xml:space="preserve">, </w:t>
      </w:r>
      <w:r w:rsidR="00C76BCB">
        <w:t>foi desenvolvida uma “versão ampliada” do modelo de Solow (</w:t>
      </w:r>
      <w:r w:rsidR="00E33418">
        <w:t>MANKIW</w:t>
      </w:r>
      <w:r w:rsidR="00C76BCB">
        <w:t>, ROMER E WEIL, 1992)</w:t>
      </w:r>
      <w:r w:rsidR="00885508">
        <w:t xml:space="preserve">, que será </w:t>
      </w:r>
      <w:r w:rsidR="00B27153">
        <w:t xml:space="preserve">aqui </w:t>
      </w:r>
      <w:r w:rsidR="00885508">
        <w:t>denominada “Modelo MRW”</w:t>
      </w:r>
      <w:r w:rsidR="00C76BCB">
        <w:t xml:space="preserve">. </w:t>
      </w:r>
      <w:r w:rsidR="00C848E4">
        <w:t>Este modelo</w:t>
      </w:r>
      <w:r w:rsidR="00C76BCB">
        <w:t xml:space="preserve"> considerava a importância do capital humano como insumo gerador de renda.</w:t>
      </w:r>
      <w:r w:rsidR="008A76B1">
        <w:t xml:space="preserve"> </w:t>
      </w:r>
      <w:r w:rsidR="007805CD">
        <w:t>MRW</w:t>
      </w:r>
      <w:r w:rsidR="00C6051B">
        <w:t xml:space="preserve"> (1992)</w:t>
      </w:r>
      <w:r w:rsidR="007805CD">
        <w:t xml:space="preserve"> incluem a variável capital humano de maneira explícita no modelo formal, que eles chamam de modelo ampliado de Solow, além de considerarem as distintas taxas de crescimento da força de trabalho entre os países.</w:t>
      </w:r>
    </w:p>
    <w:p w:rsidR="004F2390" w:rsidRDefault="004F2390" w:rsidP="00000A8D">
      <w:pPr>
        <w:ind w:firstLine="357"/>
        <w:jc w:val="both"/>
      </w:pPr>
    </w:p>
    <w:p w:rsidR="008A76B1" w:rsidRDefault="008A76B1" w:rsidP="00000A8D">
      <w:pPr>
        <w:ind w:firstLine="357"/>
        <w:jc w:val="both"/>
      </w:pPr>
      <w:r>
        <w:t>Os efeitos do capital humano sobre o crescimento já vinham sendo estudados</w:t>
      </w:r>
      <w:r w:rsidR="00885508">
        <w:t xml:space="preserve"> há</w:t>
      </w:r>
      <w:r w:rsidR="009709E5">
        <w:t xml:space="preserve"> algum </w:t>
      </w:r>
      <w:r>
        <w:t xml:space="preserve">tempo. </w:t>
      </w:r>
      <w:r w:rsidRPr="008A76B1">
        <w:t>Krueger (1968)</w:t>
      </w:r>
      <w:r w:rsidR="009709E5">
        <w:t xml:space="preserve"> </w:t>
      </w:r>
      <w:r>
        <w:t xml:space="preserve">já havia feito </w:t>
      </w:r>
      <w:r w:rsidRPr="008A76B1">
        <w:t>uma análise sobre o diferencial do nível de renda dos Estados</w:t>
      </w:r>
      <w:r>
        <w:t xml:space="preserve"> </w:t>
      </w:r>
      <w:r w:rsidRPr="008A76B1">
        <w:t>Unidos em relação a alguns países subdesenvolvidos n</w:t>
      </w:r>
      <w:r>
        <w:t xml:space="preserve">o intuito de verificar quais os </w:t>
      </w:r>
      <w:r w:rsidRPr="008A76B1">
        <w:t>fatores</w:t>
      </w:r>
      <w:r>
        <w:t xml:space="preserve"> </w:t>
      </w:r>
      <w:r w:rsidRPr="008A76B1">
        <w:t>relevantes na explicação da disparidade de re</w:t>
      </w:r>
      <w:r>
        <w:t xml:space="preserve">nda existente entre eles, com a </w:t>
      </w:r>
      <w:r w:rsidRPr="008A76B1">
        <w:t>conclusão de que</w:t>
      </w:r>
      <w:r>
        <w:t xml:space="preserve"> </w:t>
      </w:r>
      <w:r w:rsidRPr="008A76B1">
        <w:t xml:space="preserve">as </w:t>
      </w:r>
      <w:r>
        <w:t>“</w:t>
      </w:r>
      <w:r w:rsidRPr="008A76B1">
        <w:rPr>
          <w:i/>
          <w:iCs/>
        </w:rPr>
        <w:t>proxies</w:t>
      </w:r>
      <w:r>
        <w:t>”</w:t>
      </w:r>
      <w:r w:rsidR="00B10A42">
        <w:t xml:space="preserve"> utilizadas</w:t>
      </w:r>
      <w:r w:rsidRPr="008A76B1">
        <w:t xml:space="preserve"> para capital humano explicam mais de cinqüenta por cento da mesma.</w:t>
      </w:r>
      <w:r>
        <w:t xml:space="preserve"> </w:t>
      </w:r>
    </w:p>
    <w:p w:rsidR="004F2390" w:rsidRDefault="004F2390" w:rsidP="00000A8D">
      <w:pPr>
        <w:ind w:firstLine="357"/>
        <w:jc w:val="both"/>
      </w:pPr>
    </w:p>
    <w:p w:rsidR="00CE491C" w:rsidRDefault="00CE491C" w:rsidP="00000A8D">
      <w:pPr>
        <w:autoSpaceDE w:val="0"/>
        <w:autoSpaceDN w:val="0"/>
        <w:adjustRightInd w:val="0"/>
        <w:ind w:firstLine="360"/>
        <w:jc w:val="both"/>
      </w:pPr>
      <w:r>
        <w:t>Além disso, Barro (1991), fazendo uso dos da</w:t>
      </w:r>
      <w:r w:rsidR="00E33418">
        <w:t>dos de Summers e Heston (1988)</w:t>
      </w:r>
      <w:r>
        <w:t>, utiliza várias regressões para analisar o papel do capital humano no processo de crescimento. Os resultados encontrados não rejeitam a hipótese de que o capital humano, medido pelas taxas de matrícula n</w:t>
      </w:r>
      <w:r w:rsidR="003575C5">
        <w:t>os ensino primário e secundário</w:t>
      </w:r>
      <w:r>
        <w:t xml:space="preserve"> afeta positiva e significativamente a taxa de crescimento da renda per capita </w:t>
      </w:r>
      <w:r w:rsidR="003575C5">
        <w:t>no período de 1960-1985</w:t>
      </w:r>
      <w:r>
        <w:t xml:space="preserve">. A taxa de alfabetização também apresenta coeficiente positivo e significativo, mas apenas quando as duas </w:t>
      </w:r>
      <w:r w:rsidR="00885508">
        <w:t>“</w:t>
      </w:r>
      <w:r>
        <w:rPr>
          <w:i/>
          <w:iCs/>
        </w:rPr>
        <w:t>proxies</w:t>
      </w:r>
      <w:r w:rsidR="00885508" w:rsidRPr="00885508">
        <w:rPr>
          <w:iCs/>
        </w:rPr>
        <w:t>”</w:t>
      </w:r>
      <w:r>
        <w:rPr>
          <w:i/>
          <w:iCs/>
        </w:rPr>
        <w:t xml:space="preserve"> </w:t>
      </w:r>
      <w:r>
        <w:t>para capital humano anteriores não são consideradas.</w:t>
      </w:r>
    </w:p>
    <w:p w:rsidR="004F2390" w:rsidRPr="008A76B1" w:rsidRDefault="004F2390" w:rsidP="00000A8D">
      <w:pPr>
        <w:autoSpaceDE w:val="0"/>
        <w:autoSpaceDN w:val="0"/>
        <w:adjustRightInd w:val="0"/>
        <w:ind w:firstLine="360"/>
        <w:jc w:val="both"/>
      </w:pPr>
    </w:p>
    <w:p w:rsidR="00AE0D78" w:rsidRDefault="004F1F27" w:rsidP="00000A8D">
      <w:pPr>
        <w:ind w:firstLine="360"/>
        <w:jc w:val="both"/>
      </w:pPr>
      <w:r w:rsidRPr="00694362">
        <w:t xml:space="preserve">O estoque de capital humano reflete a capacidade, habilidade e conhecimento utilizado pelos trabalhadores de modo a produzir com maior eficiência. </w:t>
      </w:r>
      <w:r w:rsidR="00885508" w:rsidRPr="00694362">
        <w:t xml:space="preserve">Segundo </w:t>
      </w:r>
      <w:r w:rsidR="00893732" w:rsidRPr="00694362">
        <w:t>Solow, Romer e Weil (1992), o</w:t>
      </w:r>
      <w:r w:rsidR="00885508" w:rsidRPr="00694362">
        <w:t xml:space="preserve"> modelo </w:t>
      </w:r>
      <w:r w:rsidR="00893732" w:rsidRPr="00694362">
        <w:t xml:space="preserve">“MRW”, </w:t>
      </w:r>
      <w:r w:rsidR="009E7671" w:rsidRPr="00694362">
        <w:t>partindo da</w:t>
      </w:r>
      <w:r w:rsidR="00885508" w:rsidRPr="00694362">
        <w:t xml:space="preserve"> estrutura do modelo de Solow (1956)</w:t>
      </w:r>
      <w:r w:rsidR="00893732" w:rsidRPr="00694362">
        <w:t>, conclui</w:t>
      </w:r>
      <w:r w:rsidR="00885508" w:rsidRPr="00694362">
        <w:t xml:space="preserve"> que </w:t>
      </w:r>
      <w:r w:rsidR="00885508" w:rsidRPr="00694362">
        <w:lastRenderedPageBreak/>
        <w:t>moderadas m</w:t>
      </w:r>
      <w:r w:rsidR="00AE0D78" w:rsidRPr="00694362">
        <w:t>udanças nos recursos devotados à</w:t>
      </w:r>
      <w:r w:rsidR="00885508" w:rsidRPr="00694362">
        <w:t xml:space="preserve"> acumul</w:t>
      </w:r>
      <w:r w:rsidR="00AE0D78" w:rsidRPr="00694362">
        <w:t>ação de capital físico e humano</w:t>
      </w:r>
      <w:r w:rsidR="00885508" w:rsidRPr="00694362">
        <w:t xml:space="preserve"> pode acarretar em grandes mudanças no produto </w:t>
      </w:r>
      <w:r w:rsidR="00885508" w:rsidRPr="00694362">
        <w:rPr>
          <w:i/>
        </w:rPr>
        <w:t>per capita</w:t>
      </w:r>
      <w:r w:rsidR="00885508" w:rsidRPr="00694362">
        <w:t>.</w:t>
      </w:r>
      <w:r w:rsidR="00AE0D78" w:rsidRPr="00694362">
        <w:t xml:space="preserve"> </w:t>
      </w:r>
      <w:r w:rsidR="00FC1D58" w:rsidRPr="00694362">
        <w:t>Este fato</w:t>
      </w:r>
      <w:r w:rsidR="00AE0D78" w:rsidRPr="00694362">
        <w:t xml:space="preserve"> torna o modelo apto para mostrar as diferenças de renda entre regiões</w:t>
      </w:r>
      <w:r w:rsidR="00FC1D58" w:rsidRPr="00694362">
        <w:t xml:space="preserve"> (Romer, p. 128, 1996).</w:t>
      </w:r>
    </w:p>
    <w:p w:rsidR="004F2390" w:rsidRPr="00694362" w:rsidRDefault="004F2390" w:rsidP="00000A8D">
      <w:pPr>
        <w:ind w:firstLine="360"/>
        <w:jc w:val="both"/>
      </w:pPr>
    </w:p>
    <w:p w:rsidR="00FC1D58" w:rsidRDefault="009E7671" w:rsidP="009E7671">
      <w:pPr>
        <w:ind w:firstLine="360"/>
        <w:jc w:val="both"/>
      </w:pPr>
      <w:r w:rsidRPr="00694362">
        <w:t xml:space="preserve">Neste </w:t>
      </w:r>
      <w:r w:rsidRPr="00694362">
        <w:rPr>
          <w:i/>
        </w:rPr>
        <w:t>paper</w:t>
      </w:r>
      <w:r w:rsidRPr="00694362">
        <w:t xml:space="preserve"> foram mensurados e comparados os modelos propostos por Solow (1956) e</w:t>
      </w:r>
      <w:r w:rsidR="0088177D">
        <w:t xml:space="preserve"> sua ver</w:t>
      </w:r>
      <w:r w:rsidR="00B64B44">
        <w:t>s</w:t>
      </w:r>
      <w:r w:rsidR="0088177D">
        <w:t xml:space="preserve">ão ampliada MRW (1992) </w:t>
      </w:r>
      <w:r w:rsidR="00694362" w:rsidRPr="00694362">
        <w:t>com</w:t>
      </w:r>
      <w:r w:rsidR="00893732" w:rsidRPr="00694362">
        <w:t xml:space="preserve"> base nos dados obtidos </w:t>
      </w:r>
      <w:r w:rsidR="00605ECA" w:rsidRPr="00694362">
        <w:t xml:space="preserve">para os municípios do estado de Minas Gerais, no período de </w:t>
      </w:r>
      <w:smartTag w:uri="urn:schemas-microsoft-com:office:smarttags" w:element="metricconverter">
        <w:smartTagPr>
          <w:attr w:name="ProductID" w:val="1991 a"/>
        </w:smartTagPr>
        <w:r w:rsidR="00605ECA" w:rsidRPr="00694362">
          <w:t>1991 a</w:t>
        </w:r>
      </w:smartTag>
      <w:r w:rsidR="00605ECA" w:rsidRPr="00694362">
        <w:t xml:space="preserve"> 2000. </w:t>
      </w:r>
      <w:r w:rsidR="00B96DD8">
        <w:t>O trabalho está subdividido da seguinte forma</w:t>
      </w:r>
      <w:r w:rsidR="00B64B44">
        <w:t>,</w:t>
      </w:r>
      <w:r w:rsidR="0088177D">
        <w:t xml:space="preserve"> além desta introdução</w:t>
      </w:r>
      <w:r w:rsidR="00B96DD8">
        <w:t xml:space="preserve">: </w:t>
      </w:r>
      <w:r w:rsidR="00004075">
        <w:t xml:space="preserve">Na seção </w:t>
      </w:r>
      <w:r w:rsidR="0088177D">
        <w:t xml:space="preserve">2 são apresentados os métodos formais de estimação dos modelos de Solow (1956) e MRW (1992). A seção 3 </w:t>
      </w:r>
      <w:r w:rsidR="00B64B44">
        <w:t>descreve</w:t>
      </w:r>
      <w:r w:rsidR="0088177D">
        <w:t xml:space="preserve"> a base de dados e a forma que os mesmos foram trabalhados. Na seção 4 </w:t>
      </w:r>
      <w:r w:rsidR="00B64B44">
        <w:t>foi</w:t>
      </w:r>
      <w:r w:rsidR="0088177D">
        <w:t xml:space="preserve"> realizada a análise espacial da variável dependente – renda per capta dos municípios “Y”- através das técnicas de AEDE.</w:t>
      </w:r>
      <w:r w:rsidR="00004075">
        <w:t xml:space="preserve"> Logo após, seção 5, foram estimados os modelos e verificou-se a necessidade de ajustes espaciais. Por fim, encontram-se as considerações finais e referências.</w:t>
      </w:r>
    </w:p>
    <w:p w:rsidR="00B96DD8" w:rsidRDefault="00B96DD8" w:rsidP="009E7671">
      <w:pPr>
        <w:ind w:firstLine="360"/>
        <w:jc w:val="both"/>
      </w:pPr>
    </w:p>
    <w:p w:rsidR="00B96DD8" w:rsidRDefault="00B96DD8" w:rsidP="00B96DD8">
      <w:pPr>
        <w:jc w:val="both"/>
        <w:rPr>
          <w:b/>
        </w:rPr>
      </w:pPr>
      <w:r>
        <w:rPr>
          <w:b/>
        </w:rPr>
        <w:t>2</w:t>
      </w:r>
      <w:r w:rsidRPr="00701F04">
        <w:rPr>
          <w:b/>
        </w:rPr>
        <w:t>. Metodologia</w:t>
      </w:r>
      <w:r>
        <w:rPr>
          <w:b/>
        </w:rPr>
        <w:t xml:space="preserve"> dos modelos de Crescimento</w:t>
      </w:r>
      <w:r w:rsidR="00787F94">
        <w:rPr>
          <w:rStyle w:val="Refdenotaderodap"/>
          <w:b/>
        </w:rPr>
        <w:footnoteReference w:id="4"/>
      </w:r>
    </w:p>
    <w:p w:rsidR="00B96DD8" w:rsidRDefault="00B96DD8" w:rsidP="00B96DD8">
      <w:pPr>
        <w:jc w:val="both"/>
      </w:pPr>
    </w:p>
    <w:p w:rsidR="00B96DD8" w:rsidRDefault="00B96DD8" w:rsidP="00B96DD8">
      <w:pPr>
        <w:ind w:firstLine="360"/>
        <w:jc w:val="both"/>
      </w:pPr>
      <w:r w:rsidRPr="00716B30">
        <w:t xml:space="preserve">Primeiramente, </w:t>
      </w:r>
      <w:r w:rsidR="00004075" w:rsidRPr="00716B30">
        <w:t>será examinado</w:t>
      </w:r>
      <w:r w:rsidRPr="00716B30">
        <w:t>, através do modelo de Solow (1956), como os aumentos nos fatores de produção contribue</w:t>
      </w:r>
      <w:r w:rsidR="00D22196" w:rsidRPr="00716B30">
        <w:t>m para o crescimento do produto, s</w:t>
      </w:r>
      <w:r w:rsidRPr="00716B30">
        <w:t>upondo que não há mudanças técnicas. Logo a função de produção que relaciona o produto “Y”,</w:t>
      </w:r>
      <w:r w:rsidR="00EA5189" w:rsidRPr="00716B30">
        <w:t xml:space="preserve"> apenas</w:t>
      </w:r>
      <w:r w:rsidRPr="00716B30">
        <w:t xml:space="preserve"> a</w:t>
      </w:r>
      <w:r w:rsidR="00EA5189" w:rsidRPr="00716B30">
        <w:t>o capital “K” e ao trabalho “L”.</w:t>
      </w:r>
      <w:r w:rsidRPr="00716B30">
        <w:t xml:space="preserve"> Portanto:</w:t>
      </w:r>
    </w:p>
    <w:p w:rsidR="00B96DD8" w:rsidRDefault="00D2285D" w:rsidP="00B96DD8">
      <w:pPr>
        <w:ind w:firstLine="360"/>
        <w:jc w:val="both"/>
      </w:pPr>
      <w:r>
        <w:rPr>
          <w:noProof/>
        </w:rPr>
        <w:pict>
          <v:shape id="_x0000_s1044" type="#_x0000_t75" style="position:absolute;left:0;text-align:left;margin-left:-1.9pt;margin-top:11.8pt;width:63pt;height:16pt;z-index:251663360">
            <v:imagedata r:id="rId8" o:title=""/>
          </v:shape>
          <o:OLEObject Type="Embed" ProgID="Equation.3" ShapeID="_x0000_s1044" DrawAspect="Content" ObjectID="_1372651343" r:id="rId9"/>
        </w:pict>
      </w:r>
    </w:p>
    <w:p w:rsidR="00B96DD8" w:rsidRDefault="00E67202" w:rsidP="00B96DD8">
      <w:pPr>
        <w:jc w:val="both"/>
      </w:pPr>
      <w:r>
        <w:t xml:space="preserve">                    </w:t>
      </w:r>
      <w:r w:rsidR="00B96DD8">
        <w:t xml:space="preserve">                                                                                                </w:t>
      </w:r>
      <w:r w:rsidR="00437106">
        <w:t xml:space="preserve">                              (1</w:t>
      </w:r>
      <w:r w:rsidR="00B96DD8">
        <w:t>)</w:t>
      </w:r>
    </w:p>
    <w:p w:rsidR="00B96DD8" w:rsidRDefault="00B96DD8" w:rsidP="00B96DD8">
      <w:pPr>
        <w:jc w:val="both"/>
      </w:pPr>
      <w:r>
        <w:tab/>
      </w:r>
    </w:p>
    <w:p w:rsidR="00B96DD8" w:rsidRDefault="00B96DD8" w:rsidP="00B96DD8">
      <w:pPr>
        <w:ind w:firstLine="360"/>
        <w:jc w:val="both"/>
      </w:pPr>
      <w:r>
        <w:t xml:space="preserve">Neste caso, a quantidade de produto muda unicamente em função de alterações nas quantidades de capital ou trabalho. Porém, na prática o progresso tecnológico melhora a função de produção. Com a mesma quantidade de insumos, obtemos hoje mais produto que no passado. Portanto, uma análise empírica deve levar esta variável </w:t>
      </w:r>
      <w:smartTag w:uri="urn:schemas-microsoft-com:office:smarttags" w:element="PersonName">
        <w:smartTagPr>
          <w:attr w:name="ProductID" w:val="em considera￧￣o. Para"/>
        </w:smartTagPr>
        <w:r>
          <w:t>em consideração. Para</w:t>
        </w:r>
      </w:smartTag>
      <w:r>
        <w:t xml:space="preserve"> tanto, deve-se adotar a seguinte função:</w:t>
      </w:r>
    </w:p>
    <w:p w:rsidR="00B96DD8" w:rsidRDefault="00D2285D" w:rsidP="00B96DD8">
      <w:pPr>
        <w:ind w:firstLine="360"/>
        <w:jc w:val="both"/>
      </w:pPr>
      <w:r>
        <w:rPr>
          <w:noProof/>
        </w:rPr>
        <w:pict>
          <v:shape id="_x0000_s1045" type="#_x0000_t75" style="position:absolute;left:0;text-align:left;margin-left:-1.9pt;margin-top:11.25pt;width:71pt;height:16pt;z-index:251664384">
            <v:imagedata r:id="rId10" o:title=""/>
          </v:shape>
          <o:OLEObject Type="Embed" ProgID="Equation.3" ShapeID="_x0000_s1045" DrawAspect="Content" ObjectID="_1372651344" r:id="rId11"/>
        </w:pict>
      </w:r>
    </w:p>
    <w:p w:rsidR="00B96DD8" w:rsidRDefault="00E67202" w:rsidP="00B96DD8">
      <w:pPr>
        <w:jc w:val="both"/>
      </w:pPr>
      <w:r>
        <w:t xml:space="preserve">                        </w:t>
      </w:r>
      <w:r w:rsidR="00B96DD8">
        <w:t xml:space="preserve">                                                                                            </w:t>
      </w:r>
      <w:r w:rsidR="00437106">
        <w:t xml:space="preserve">                              (2</w:t>
      </w:r>
      <w:r w:rsidR="00B96DD8">
        <w:t>)</w:t>
      </w:r>
    </w:p>
    <w:p w:rsidR="00B96DD8" w:rsidRDefault="00B96DD8" w:rsidP="00B96DD8">
      <w:pPr>
        <w:jc w:val="both"/>
      </w:pPr>
    </w:p>
    <w:p w:rsidR="00D702E2" w:rsidRDefault="00B96DD8" w:rsidP="00A33397">
      <w:pPr>
        <w:ind w:firstLine="360"/>
        <w:jc w:val="both"/>
      </w:pPr>
      <w:r>
        <w:t xml:space="preserve">Onde “A” é a medida utilizada como nível corrente de tecnologia, denominado “produtividade total dos fatores”. Nesta formulação, o parâmetro de eficiência </w:t>
      </w:r>
      <w:r w:rsidRPr="009B77E6">
        <w:rPr>
          <w:i/>
        </w:rPr>
        <w:t>Hicks Neutral</w:t>
      </w:r>
      <w:r>
        <w:t xml:space="preserve"> “A</w:t>
      </w:r>
      <w:r w:rsidRPr="009B77E6">
        <w:t>”</w:t>
      </w:r>
      <w:r>
        <w:t xml:space="preserve">, </w:t>
      </w:r>
      <w:r w:rsidR="00A33397">
        <w:t>capta a</w:t>
      </w:r>
      <w:r>
        <w:t xml:space="preserve"> muda</w:t>
      </w:r>
      <w:r w:rsidR="00A33397">
        <w:t xml:space="preserve">nça na função de produção, </w:t>
      </w:r>
      <w:r w:rsidR="00D22196">
        <w:t>quando</w:t>
      </w:r>
      <w:r>
        <w:t xml:space="preserve"> os níveis de capital e trabalho</w:t>
      </w:r>
      <w:r w:rsidR="00D22196">
        <w:t xml:space="preserve"> se mantêm constantes</w:t>
      </w:r>
      <w:r>
        <w:t xml:space="preserve">. </w:t>
      </w:r>
    </w:p>
    <w:p w:rsidR="00D702E2" w:rsidRDefault="00D702E2" w:rsidP="00A33397">
      <w:pPr>
        <w:ind w:firstLine="360"/>
        <w:jc w:val="both"/>
      </w:pPr>
    </w:p>
    <w:p w:rsidR="00A33397" w:rsidRPr="00A33397" w:rsidRDefault="00D702E2" w:rsidP="00A33397">
      <w:pPr>
        <w:ind w:firstLine="360"/>
        <w:jc w:val="both"/>
        <w:rPr>
          <w:color w:val="FF0000"/>
        </w:rPr>
      </w:pPr>
      <w:r>
        <w:t>Este coeficiente</w:t>
      </w:r>
      <w:r w:rsidR="00B96DD8">
        <w:t xml:space="preserve"> é quase sempre identificado como mudanças tecnológicas, mas isto não é, normalmente, uma interpretação apropriada, pois, segundo Tavares, Ataliba e Castelar (2001</w:t>
      </w:r>
      <w:r w:rsidR="00B96DD8" w:rsidRPr="00A33397">
        <w:t>), outros elementos podem ser importantes como mudanças na forma organizacional de produção ou no esforço do trabalhador.</w:t>
      </w:r>
      <w:r w:rsidR="00A33397">
        <w:t xml:space="preserve"> </w:t>
      </w:r>
      <w:r w:rsidR="00A33397" w:rsidRPr="00A33397">
        <w:t>Além disso, a literatura de crescimento econômico menciona alguns fatores</w:t>
      </w:r>
      <w:r w:rsidR="00A33397">
        <w:t xml:space="preserve"> que podem</w:t>
      </w:r>
      <w:r w:rsidR="00A33397">
        <w:rPr>
          <w:color w:val="FF0000"/>
        </w:rPr>
        <w:t xml:space="preserve"> </w:t>
      </w:r>
      <w:r w:rsidR="00A33397">
        <w:t xml:space="preserve">influenciar esta medida de produtividade, tais como: </w:t>
      </w:r>
      <w:r w:rsidR="00A33397" w:rsidRPr="00795AA7">
        <w:t>inflação (J</w:t>
      </w:r>
      <w:r w:rsidR="00A51803">
        <w:t>ARRET</w:t>
      </w:r>
      <w:r w:rsidR="00A33397" w:rsidRPr="00795AA7">
        <w:t>, 1982), grau de</w:t>
      </w:r>
      <w:r w:rsidR="00A33397">
        <w:t xml:space="preserve"> abertura</w:t>
      </w:r>
      <w:r w:rsidR="00A33397">
        <w:rPr>
          <w:color w:val="FF0000"/>
        </w:rPr>
        <w:t xml:space="preserve"> </w:t>
      </w:r>
      <w:r w:rsidR="00A33397" w:rsidRPr="00E23DBF">
        <w:t>econômica (H</w:t>
      </w:r>
      <w:r w:rsidR="00A51803" w:rsidRPr="00E23DBF">
        <w:t>ARRISON</w:t>
      </w:r>
      <w:r w:rsidR="00A33397" w:rsidRPr="00E23DBF">
        <w:t>, 1996), educação</w:t>
      </w:r>
      <w:r w:rsidR="00A33397">
        <w:t xml:space="preserve"> </w:t>
      </w:r>
      <w:r w:rsidR="00A33397" w:rsidRPr="006D0300">
        <w:t>(M</w:t>
      </w:r>
      <w:r w:rsidR="006D0300" w:rsidRPr="006D0300">
        <w:t xml:space="preserve">ILLER </w:t>
      </w:r>
      <w:r w:rsidR="006D0300" w:rsidRPr="006D0300">
        <w:rPr>
          <w:i/>
        </w:rPr>
        <w:t>et al</w:t>
      </w:r>
      <w:r w:rsidR="006D0300" w:rsidRPr="006D0300">
        <w:t>,</w:t>
      </w:r>
      <w:r w:rsidR="00A33397" w:rsidRPr="006D0300">
        <w:t xml:space="preserve"> 2000),</w:t>
      </w:r>
      <w:r w:rsidR="00A33397">
        <w:t xml:space="preserve"> desigualdade de renda (</w:t>
      </w:r>
      <w:r w:rsidR="00A33397" w:rsidRPr="00C03257">
        <w:t>K</w:t>
      </w:r>
      <w:r w:rsidR="006D0300" w:rsidRPr="00C03257">
        <w:t xml:space="preserve">HASNOBIS </w:t>
      </w:r>
      <w:r w:rsidR="00C03257" w:rsidRPr="00C03257">
        <w:t>E BARI</w:t>
      </w:r>
      <w:r w:rsidR="00A33397" w:rsidRPr="00C03257">
        <w:t>,</w:t>
      </w:r>
      <w:r w:rsidR="00A33397" w:rsidRPr="00C03257">
        <w:rPr>
          <w:color w:val="FF0000"/>
        </w:rPr>
        <w:t xml:space="preserve"> </w:t>
      </w:r>
      <w:r w:rsidR="00A33397" w:rsidRPr="00C03257">
        <w:t>2000),</w:t>
      </w:r>
      <w:r w:rsidR="00A33397">
        <w:t xml:space="preserve"> investimentos públicos em infra-estrutura </w:t>
      </w:r>
      <w:r w:rsidR="00A33397" w:rsidRPr="00C03257">
        <w:t>(V</w:t>
      </w:r>
      <w:r w:rsidR="00C03257" w:rsidRPr="00C03257">
        <w:t>ALLEJOS E VALDIVIA</w:t>
      </w:r>
      <w:r w:rsidR="00A33397" w:rsidRPr="00C03257">
        <w:t>, 2000), desenvolvimento</w:t>
      </w:r>
      <w:r w:rsidR="00A33397">
        <w:t xml:space="preserve"> do</w:t>
      </w:r>
      <w:r w:rsidR="00A33397">
        <w:rPr>
          <w:color w:val="FF0000"/>
        </w:rPr>
        <w:t xml:space="preserve"> </w:t>
      </w:r>
      <w:r w:rsidR="00A33397">
        <w:t xml:space="preserve">sistema financeiro </w:t>
      </w:r>
      <w:r w:rsidR="00A33397" w:rsidRPr="00C03257">
        <w:t>(</w:t>
      </w:r>
      <w:r w:rsidR="00C03257" w:rsidRPr="00C03257">
        <w:t xml:space="preserve">EVANS </w:t>
      </w:r>
      <w:r w:rsidR="00C03257" w:rsidRPr="00C03257">
        <w:rPr>
          <w:i/>
        </w:rPr>
        <w:t>et al</w:t>
      </w:r>
      <w:r w:rsidR="00C03257" w:rsidRPr="00C03257">
        <w:t>,</w:t>
      </w:r>
      <w:r w:rsidR="00A33397" w:rsidRPr="00C03257">
        <w:t xml:space="preserve"> 2000), dentre outros</w:t>
      </w:r>
      <w:r w:rsidR="00A33397">
        <w:t>. Note que o próprio capital humano seria um destes componentes geradores de produtividade.</w:t>
      </w:r>
    </w:p>
    <w:p w:rsidR="00B96DD8" w:rsidRDefault="00B96DD8" w:rsidP="00A33397">
      <w:pPr>
        <w:jc w:val="both"/>
      </w:pPr>
    </w:p>
    <w:p w:rsidR="00B96DD8" w:rsidRDefault="00B96DD8" w:rsidP="00B96DD8">
      <w:pPr>
        <w:ind w:firstLine="360"/>
        <w:jc w:val="both"/>
      </w:pPr>
      <w:r>
        <w:lastRenderedPageBreak/>
        <w:t xml:space="preserve">Uma vez que a “produtividade total dos fatores” </w:t>
      </w:r>
      <w:r w:rsidR="00D702E2">
        <w:t xml:space="preserve">(variável A) </w:t>
      </w:r>
      <w:r>
        <w:t>não pode ser observada diretamente. Terá de ser medida de outra forma. A maneira encontrada por Solow foi, obtê-la através do resíduo da função de produção, ou seja, a tecnologia seria representada pelo crescimento não explicado da função.</w:t>
      </w:r>
    </w:p>
    <w:p w:rsidR="00B96DD8" w:rsidRDefault="00B96DD8" w:rsidP="00B96DD8">
      <w:pPr>
        <w:ind w:firstLine="360"/>
        <w:jc w:val="both"/>
      </w:pPr>
    </w:p>
    <w:p w:rsidR="00B96DD8" w:rsidRDefault="00B96DD8" w:rsidP="00B96DD8">
      <w:pPr>
        <w:ind w:firstLine="360"/>
        <w:jc w:val="both"/>
      </w:pPr>
      <w:r>
        <w:t xml:space="preserve">Para mensurar a variação tecnológica, fez-se a regressão por Mínimos Quadrados Ordinários (MQO) das variáveis: Capital “K” e trabalho “L” contra a renda </w:t>
      </w:r>
      <w:r w:rsidRPr="00FD2D4E">
        <w:rPr>
          <w:i/>
        </w:rPr>
        <w:t>per capta</w:t>
      </w:r>
      <w:r w:rsidR="00EA5189">
        <w:t xml:space="preserve"> “Y”. Para tanto, utilizou-se uma função de produção do tipo Cobb Douglas, como se segue:</w:t>
      </w:r>
    </w:p>
    <w:p w:rsidR="00EA5189" w:rsidRDefault="00D2285D" w:rsidP="00B96DD8">
      <w:pPr>
        <w:ind w:firstLine="360"/>
        <w:jc w:val="both"/>
      </w:pPr>
      <w:r>
        <w:rPr>
          <w:noProof/>
        </w:rPr>
        <w:pict>
          <v:shape id="_x0000_s1036" type="#_x0000_t75" style="position:absolute;left:0;text-align:left;margin-left:-1.9pt;margin-top:10.9pt;width:153pt;height:18pt;z-index:251658240">
            <v:imagedata r:id="rId12" o:title=""/>
          </v:shape>
          <o:OLEObject Type="Embed" ProgID="Equation.3" ShapeID="_x0000_s1036" DrawAspect="Content" ObjectID="_1372651345" r:id="rId13"/>
        </w:pict>
      </w:r>
    </w:p>
    <w:p w:rsidR="009A70AC" w:rsidRDefault="009A70AC" w:rsidP="009A70AC">
      <w:pPr>
        <w:jc w:val="both"/>
      </w:pPr>
    </w:p>
    <w:p w:rsidR="00EA5189" w:rsidRDefault="009A70AC" w:rsidP="00B96DD8">
      <w:pPr>
        <w:jc w:val="both"/>
      </w:pPr>
      <w:r>
        <w:t xml:space="preserve">                                                                                                                    </w:t>
      </w:r>
      <w:r w:rsidR="00437106">
        <w:t xml:space="preserve">                              (3</w:t>
      </w:r>
      <w:r>
        <w:t>)</w:t>
      </w:r>
    </w:p>
    <w:p w:rsidR="00B96DD8" w:rsidRDefault="00EA5189" w:rsidP="00B96DD8">
      <w:pPr>
        <w:jc w:val="both"/>
      </w:pPr>
      <w:r>
        <w:t>Aplicando-se logaritmo</w:t>
      </w:r>
      <w:r w:rsidR="009A70AC">
        <w:t>, o modelo estimado para captar o resíduo de Solow foi</w:t>
      </w:r>
      <w:r>
        <w:t>:</w:t>
      </w:r>
    </w:p>
    <w:p w:rsidR="00EA5189" w:rsidRDefault="00D2285D" w:rsidP="00B96DD8">
      <w:pPr>
        <w:jc w:val="both"/>
      </w:pPr>
      <w:r>
        <w:rPr>
          <w:noProof/>
        </w:rPr>
        <w:pict>
          <v:shape id="_x0000_s1037" type="#_x0000_t75" style="position:absolute;left:0;text-align:left;margin-left:-1.9pt;margin-top:5.8pt;width:153pt;height:18pt;z-index:251659264">
            <v:imagedata r:id="rId14" o:title=""/>
          </v:shape>
          <o:OLEObject Type="Embed" ProgID="Equation.3" ShapeID="_x0000_s1037" DrawAspect="Content" ObjectID="_1372651346" r:id="rId15"/>
        </w:pict>
      </w:r>
    </w:p>
    <w:p w:rsidR="00B96DD8" w:rsidRDefault="009A70AC" w:rsidP="00B96DD8">
      <w:pPr>
        <w:jc w:val="both"/>
      </w:pPr>
      <w:r>
        <w:t xml:space="preserve">                                                                                                                    </w:t>
      </w:r>
      <w:r w:rsidR="00437106">
        <w:t xml:space="preserve">                              (4</w:t>
      </w:r>
      <w:r>
        <w:t>)</w:t>
      </w:r>
    </w:p>
    <w:p w:rsidR="00042440" w:rsidRDefault="00042440" w:rsidP="00B96DD8">
      <w:pPr>
        <w:jc w:val="both"/>
      </w:pPr>
    </w:p>
    <w:p w:rsidR="00B96DD8" w:rsidRPr="00D702E2" w:rsidRDefault="00B96DD8" w:rsidP="00B96DD8">
      <w:pPr>
        <w:ind w:firstLine="360"/>
        <w:jc w:val="both"/>
      </w:pPr>
      <w:r w:rsidRPr="00D702E2">
        <w:t>Onde o termo de erro</w:t>
      </w:r>
      <w:r w:rsidR="00D702E2" w:rsidRPr="00D702E2">
        <w:t>,</w:t>
      </w:r>
      <w:r w:rsidRPr="00D702E2">
        <w:t xml:space="preserve"> representado por “</w:t>
      </w:r>
      <w:r w:rsidRPr="00D702E2">
        <w:sym w:font="Symbol" w:char="F065"/>
      </w:r>
      <w:r w:rsidRPr="00D702E2">
        <w:t>”</w:t>
      </w:r>
      <w:r w:rsidR="00D702E2" w:rsidRPr="00D702E2">
        <w:t>,</w:t>
      </w:r>
      <w:r w:rsidRPr="00D702E2">
        <w:t xml:space="preserve"> serviu de </w:t>
      </w:r>
      <w:r w:rsidRPr="00D702E2">
        <w:rPr>
          <w:i/>
        </w:rPr>
        <w:t>proxy</w:t>
      </w:r>
      <w:r w:rsidRPr="00D702E2">
        <w:t xml:space="preserve"> para a variação tecnológica “A”, obtida em cada município “i” de Minas Gerais entre o período de </w:t>
      </w:r>
      <w:smartTag w:uri="urn:schemas-microsoft-com:office:smarttags" w:element="metricconverter">
        <w:smartTagPr>
          <w:attr w:name="ProductID" w:val="1991 a"/>
        </w:smartTagPr>
        <w:r w:rsidRPr="00D702E2">
          <w:t>1991 a</w:t>
        </w:r>
      </w:smartTag>
      <w:r w:rsidRPr="00D702E2">
        <w:t xml:space="preserve"> 2000.</w:t>
      </w:r>
      <w:r w:rsidR="009A70AC" w:rsidRPr="00D702E2">
        <w:t xml:space="preserve"> Logo, o modelo de Solow estimado com a incorporação do avanço</w:t>
      </w:r>
      <w:r w:rsidR="00D702E2" w:rsidRPr="00D702E2">
        <w:t xml:space="preserve"> tecnológico ficou especificado da seguinte forma:</w:t>
      </w:r>
    </w:p>
    <w:p w:rsidR="00D702E2" w:rsidRDefault="00D2285D" w:rsidP="00D702E2">
      <w:pPr>
        <w:jc w:val="both"/>
        <w:rPr>
          <w:color w:val="FF0000"/>
        </w:rPr>
      </w:pPr>
      <w:r>
        <w:rPr>
          <w:noProof/>
          <w:color w:val="FF0000"/>
        </w:rPr>
        <w:pict>
          <v:shape id="_x0000_s1039" type="#_x0000_t75" style="position:absolute;left:0;text-align:left;margin-left:-1.9pt;margin-top:9.55pt;width:170pt;height:18pt;z-index:251660288">
            <v:imagedata r:id="rId16" o:title=""/>
          </v:shape>
          <o:OLEObject Type="Embed" ProgID="Equation.3" ShapeID="_x0000_s1039" DrawAspect="Content" ObjectID="_1372651347" r:id="rId17"/>
        </w:pict>
      </w:r>
    </w:p>
    <w:p w:rsidR="00D702E2" w:rsidRDefault="00437106" w:rsidP="00D702E2">
      <w:pPr>
        <w:jc w:val="both"/>
      </w:pPr>
      <w:r w:rsidRPr="00437106">
        <w:t xml:space="preserve">                                                                                                                                                  (5)</w:t>
      </w:r>
    </w:p>
    <w:p w:rsidR="00692710" w:rsidRDefault="00692710" w:rsidP="00D702E2">
      <w:pPr>
        <w:jc w:val="both"/>
      </w:pPr>
    </w:p>
    <w:p w:rsidR="00692710" w:rsidRPr="00437106" w:rsidRDefault="00692710" w:rsidP="00692710">
      <w:pPr>
        <w:ind w:firstLine="360"/>
        <w:jc w:val="both"/>
      </w:pPr>
      <w:r>
        <w:t xml:space="preserve">Onde AK e AL correspondem ao capital e trabalho com a incorporação do avanço tecnológico.  </w:t>
      </w:r>
      <w:r>
        <w:sym w:font="Symbol" w:char="F06A"/>
      </w:r>
      <w:r>
        <w:t xml:space="preserve"> é o termo de erro.</w:t>
      </w:r>
    </w:p>
    <w:p w:rsidR="00D702E2" w:rsidRDefault="00D702E2" w:rsidP="00D702E2">
      <w:pPr>
        <w:jc w:val="both"/>
      </w:pPr>
    </w:p>
    <w:p w:rsidR="00B96DD8" w:rsidRPr="00437106" w:rsidRDefault="00B96DD8" w:rsidP="00B96DD8">
      <w:pPr>
        <w:ind w:firstLine="360"/>
        <w:jc w:val="both"/>
        <w:rPr>
          <w:b/>
        </w:rPr>
      </w:pPr>
      <w:r w:rsidRPr="00437106">
        <w:t>O Modelo de Solow Ampliado segue o trabalho de Mankiw, Romer e Weil (1992), e assemelha-se ao modelo de Solow. Porém agora será incluída a variável correspondente ao capital humano “H” da seguinte forma:</w:t>
      </w:r>
    </w:p>
    <w:p w:rsidR="00B96DD8" w:rsidRPr="00437106" w:rsidRDefault="00B96DD8" w:rsidP="00B96DD8">
      <w:pPr>
        <w:ind w:firstLine="360"/>
        <w:jc w:val="both"/>
      </w:pPr>
    </w:p>
    <w:p w:rsidR="00B96DD8" w:rsidRDefault="00B96DD8" w:rsidP="00B96DD8">
      <w:pPr>
        <w:jc w:val="both"/>
        <w:rPr>
          <w:iCs/>
        </w:rPr>
      </w:pPr>
      <w:r w:rsidRPr="00437106">
        <w:rPr>
          <w:iCs/>
        </w:rPr>
        <w:t xml:space="preserve">Y = F(K, H, AL)                                                                                                                    </w:t>
      </w:r>
      <w:r w:rsidR="00437106" w:rsidRPr="00437106">
        <w:rPr>
          <w:iCs/>
        </w:rPr>
        <w:t xml:space="preserve">   (6</w:t>
      </w:r>
      <w:r w:rsidRPr="00437106">
        <w:rPr>
          <w:iCs/>
        </w:rPr>
        <w:t>)</w:t>
      </w:r>
    </w:p>
    <w:p w:rsidR="00B96DD8" w:rsidRDefault="00B96DD8" w:rsidP="00B96DD8">
      <w:pPr>
        <w:jc w:val="both"/>
        <w:rPr>
          <w:iCs/>
        </w:rPr>
      </w:pPr>
    </w:p>
    <w:p w:rsidR="00B96DD8" w:rsidRDefault="00B96DD8" w:rsidP="00B96DD8">
      <w:pPr>
        <w:ind w:firstLine="360"/>
        <w:jc w:val="both"/>
      </w:pPr>
      <w:r w:rsidRPr="00BB4FF8">
        <w:rPr>
          <w:iCs/>
        </w:rPr>
        <w:t xml:space="preserve">Onde o progresso tecnológico é considerado </w:t>
      </w:r>
      <w:r w:rsidRPr="00437106">
        <w:rPr>
          <w:i/>
          <w:iCs/>
        </w:rPr>
        <w:t>Harrod Neutral</w:t>
      </w:r>
      <w:r w:rsidRPr="00BB4FF8">
        <w:rPr>
          <w:iCs/>
        </w:rPr>
        <w:t>, ou seja</w:t>
      </w:r>
      <w:r>
        <w:rPr>
          <w:iCs/>
        </w:rPr>
        <w:t>,</w:t>
      </w:r>
      <w:r w:rsidRPr="00BB4FF8">
        <w:rPr>
          <w:iCs/>
        </w:rPr>
        <w:t xml:space="preserve"> o </w:t>
      </w:r>
      <w:r w:rsidRPr="00BB4FF8">
        <w:t>avanço tecnológico tem o mesmo efeito sobre a produção de um aumento na quantidade de trabalho</w:t>
      </w:r>
      <w:r w:rsidR="00437106">
        <w:t>.</w:t>
      </w:r>
    </w:p>
    <w:p w:rsidR="00437106" w:rsidRDefault="00437106" w:rsidP="00B96DD8">
      <w:pPr>
        <w:ind w:firstLine="360"/>
        <w:jc w:val="both"/>
      </w:pPr>
    </w:p>
    <w:p w:rsidR="00437106" w:rsidRDefault="00437106" w:rsidP="00B96DD8">
      <w:pPr>
        <w:ind w:firstLine="360"/>
        <w:jc w:val="both"/>
      </w:pPr>
      <w:r>
        <w:t xml:space="preserve">Portanto, considerando uma função do tipo Cobb Douglas para especificar a </w:t>
      </w:r>
      <w:r w:rsidR="000F248D">
        <w:t>equação</w:t>
      </w:r>
      <w:r>
        <w:t xml:space="preserve"> 6, tem-se que:</w:t>
      </w:r>
    </w:p>
    <w:p w:rsidR="00437106" w:rsidRDefault="00D2285D" w:rsidP="00B96DD8">
      <w:pPr>
        <w:ind w:firstLine="360"/>
        <w:jc w:val="both"/>
      </w:pPr>
      <w:r>
        <w:rPr>
          <w:noProof/>
        </w:rPr>
        <w:pict>
          <v:shape id="_x0000_s1040" type="#_x0000_t75" style="position:absolute;left:0;text-align:left;margin-left:-1.9pt;margin-top:9.8pt;width:219pt;height:19pt;z-index:251661312">
            <v:imagedata r:id="rId18" o:title=""/>
          </v:shape>
          <o:OLEObject Type="Embed" ProgID="Equation.3" ShapeID="_x0000_s1040" DrawAspect="Content" ObjectID="_1372651348" r:id="rId19"/>
        </w:pict>
      </w:r>
    </w:p>
    <w:p w:rsidR="00437106" w:rsidRDefault="00437106" w:rsidP="00B96DD8">
      <w:pPr>
        <w:ind w:firstLine="360"/>
        <w:jc w:val="both"/>
      </w:pPr>
      <w:r>
        <w:t xml:space="preserve">                                                                                                                                            (7)</w:t>
      </w:r>
    </w:p>
    <w:p w:rsidR="00437106" w:rsidRDefault="00437106" w:rsidP="00B96DD8">
      <w:pPr>
        <w:ind w:firstLine="360"/>
        <w:jc w:val="both"/>
      </w:pPr>
    </w:p>
    <w:p w:rsidR="00437106" w:rsidRDefault="000F248D" w:rsidP="00B96DD8">
      <w:pPr>
        <w:ind w:firstLine="360"/>
        <w:jc w:val="both"/>
      </w:pPr>
      <w:r>
        <w:t xml:space="preserve">Para comparar os dois modelos (Equações 6 e 2) adotou-se algumas modificações na versão inicial (Equação 7), proposta por </w:t>
      </w:r>
      <w:r w:rsidRPr="00437106">
        <w:t>Mankiw, Romer e Weil (1992)</w:t>
      </w:r>
      <w:r>
        <w:t xml:space="preserve">. Primeiramente, considerou-se a versão </w:t>
      </w:r>
      <w:r w:rsidRPr="009B77E6">
        <w:rPr>
          <w:i/>
        </w:rPr>
        <w:t>Hicks Neutral</w:t>
      </w:r>
      <w:r>
        <w:t xml:space="preserve"> para ambos. Além disso, o termo que acompanha o </w:t>
      </w:r>
      <w:r w:rsidR="00796F80">
        <w:t>trabalho e o avanço tecnológico – AL</w:t>
      </w:r>
      <w:r w:rsidR="009B2140">
        <w:t xml:space="preserve">, foi substituído por </w:t>
      </w:r>
      <w:r w:rsidR="009B2140">
        <w:sym w:font="Symbol" w:char="F071"/>
      </w:r>
      <w:r w:rsidR="009B2140">
        <w:t xml:space="preserve">, de modo que </w:t>
      </w:r>
      <w:r w:rsidR="009B2140">
        <w:sym w:font="Symbol" w:char="F061"/>
      </w:r>
      <w:r w:rsidR="009B2140">
        <w:t xml:space="preserve"> &gt; 0; </w:t>
      </w:r>
      <w:r w:rsidR="009B2140">
        <w:sym w:font="Symbol" w:char="F062"/>
      </w:r>
      <w:r w:rsidR="009B2140">
        <w:t xml:space="preserve"> &gt; 0; </w:t>
      </w:r>
      <w:r w:rsidR="009B2140">
        <w:sym w:font="Symbol" w:char="F071"/>
      </w:r>
      <w:r w:rsidR="009B2140">
        <w:t xml:space="preserve"> &gt; 0                                e não necessariamente há retornos constantes de escala.</w:t>
      </w:r>
      <w:r w:rsidR="009B2140">
        <w:rPr>
          <w:rStyle w:val="Refdenotaderodap"/>
        </w:rPr>
        <w:footnoteReference w:id="5"/>
      </w:r>
      <w:r w:rsidR="009B2140">
        <w:t xml:space="preserve"> Por fim, aplicou-se logaritmo em ambos os lados da equação 7. Como resultado, o modelo estimado foi:</w:t>
      </w:r>
    </w:p>
    <w:p w:rsidR="009B2140" w:rsidRDefault="00D2285D" w:rsidP="009B2140">
      <w:pPr>
        <w:jc w:val="both"/>
      </w:pPr>
      <w:r>
        <w:rPr>
          <w:noProof/>
        </w:rPr>
        <w:pict>
          <v:shape id="_x0000_s1042" type="#_x0000_t75" style="position:absolute;left:0;text-align:left;margin-left:-1.9pt;margin-top:11.85pt;width:314pt;height:18pt;z-index:251662336">
            <v:imagedata r:id="rId20" o:title=""/>
          </v:shape>
          <o:OLEObject Type="Embed" ProgID="Equation.3" ShapeID="_x0000_s1042" DrawAspect="Content" ObjectID="_1372651349" r:id="rId21"/>
        </w:pict>
      </w:r>
    </w:p>
    <w:p w:rsidR="009B2140" w:rsidRPr="000F248D" w:rsidRDefault="008079E8" w:rsidP="009B2140">
      <w:pPr>
        <w:jc w:val="both"/>
      </w:pPr>
      <w:r>
        <w:t xml:space="preserve">                                                                                                                                                  (8)</w:t>
      </w:r>
    </w:p>
    <w:p w:rsidR="00893732" w:rsidRPr="005F7015" w:rsidRDefault="00893732" w:rsidP="00000A8D">
      <w:pPr>
        <w:ind w:firstLine="360"/>
        <w:jc w:val="both"/>
      </w:pPr>
    </w:p>
    <w:p w:rsidR="009E1CA3" w:rsidRDefault="0088177D" w:rsidP="00000A8D">
      <w:pPr>
        <w:autoSpaceDE w:val="0"/>
        <w:autoSpaceDN w:val="0"/>
        <w:adjustRightInd w:val="0"/>
        <w:jc w:val="both"/>
        <w:rPr>
          <w:b/>
          <w:bCs/>
        </w:rPr>
      </w:pPr>
      <w:r>
        <w:rPr>
          <w:b/>
          <w:bCs/>
        </w:rPr>
        <w:lastRenderedPageBreak/>
        <w:t>3</w:t>
      </w:r>
      <w:r w:rsidR="004F52A9" w:rsidRPr="009E1CA3">
        <w:rPr>
          <w:b/>
          <w:bCs/>
        </w:rPr>
        <w:t xml:space="preserve">. </w:t>
      </w:r>
      <w:r w:rsidR="008D2D69">
        <w:rPr>
          <w:b/>
          <w:bCs/>
        </w:rPr>
        <w:t xml:space="preserve">Especificação das Variáveis e Fonte de Dados </w:t>
      </w:r>
    </w:p>
    <w:p w:rsidR="00500BC9" w:rsidRDefault="00500BC9" w:rsidP="00000A8D">
      <w:pPr>
        <w:autoSpaceDE w:val="0"/>
        <w:autoSpaceDN w:val="0"/>
        <w:adjustRightInd w:val="0"/>
        <w:jc w:val="both"/>
        <w:rPr>
          <w:b/>
          <w:bCs/>
        </w:rPr>
      </w:pPr>
    </w:p>
    <w:p w:rsidR="006D3A3D" w:rsidRDefault="00500BC9" w:rsidP="008F0328">
      <w:pPr>
        <w:autoSpaceDE w:val="0"/>
        <w:autoSpaceDN w:val="0"/>
        <w:adjustRightInd w:val="0"/>
        <w:ind w:firstLine="360"/>
        <w:jc w:val="both"/>
      </w:pPr>
      <w:r w:rsidRPr="00694362">
        <w:t>A estimação do Modelo de Crescimento proposto por Solow (1956) e sua versão ampliada “MRW”</w:t>
      </w:r>
      <w:r w:rsidR="00DD6634" w:rsidRPr="00694362">
        <w:t xml:space="preserve"> (1992)</w:t>
      </w:r>
      <w:r w:rsidRPr="00694362">
        <w:t xml:space="preserve"> </w:t>
      </w:r>
      <w:r w:rsidR="00EE3860" w:rsidRPr="00694362">
        <w:t xml:space="preserve">foram </w:t>
      </w:r>
      <w:r w:rsidR="00694362" w:rsidRPr="00694362">
        <w:t xml:space="preserve">realizadas </w:t>
      </w:r>
      <w:r w:rsidR="00EE3860" w:rsidRPr="00694362">
        <w:t xml:space="preserve">utilizando dados </w:t>
      </w:r>
      <w:r w:rsidR="00EE3860" w:rsidRPr="00694362">
        <w:rPr>
          <w:i/>
        </w:rPr>
        <w:t>cross-section</w:t>
      </w:r>
      <w:r w:rsidR="00EE3860" w:rsidRPr="00694362">
        <w:t xml:space="preserve"> </w:t>
      </w:r>
      <w:r w:rsidRPr="00694362">
        <w:t xml:space="preserve">para os 853 municípios de Minas Gerais, no período </w:t>
      </w:r>
      <w:smartTag w:uri="urn:schemas-microsoft-com:office:smarttags" w:element="metricconverter">
        <w:smartTagPr>
          <w:attr w:name="ProductID" w:val="1991 a"/>
        </w:smartTagPr>
        <w:r w:rsidRPr="00694362">
          <w:t>1991 a</w:t>
        </w:r>
      </w:smartTag>
      <w:r w:rsidR="00EE3860" w:rsidRPr="00694362">
        <w:t xml:space="preserve"> 2000. Para tanto, utilizou-se as</w:t>
      </w:r>
      <w:r w:rsidRPr="00694362">
        <w:t xml:space="preserve"> seguintes variáveis para cada município: produto interno bruto (Y), estoque de capital físico da economia </w:t>
      </w:r>
      <w:r w:rsidR="006D3A3D" w:rsidRPr="00694362">
        <w:t>(K), força de trabalho (L), estoque de capital humano (H), e nível tecnológico (A). A escolha do período se justifica pela disponibilidade de informações.</w:t>
      </w:r>
      <w:r w:rsidR="008F0328">
        <w:t xml:space="preserve"> </w:t>
      </w:r>
      <w:r w:rsidR="006D3A3D">
        <w:t>Cabe ressaltar que todas as variáveis apresentadas estão na forma de variação percentual, ou seja, considerando uma variável genérica “X”, para cada município “i” temos:</w:t>
      </w:r>
    </w:p>
    <w:p w:rsidR="004F2390" w:rsidRDefault="004F2390" w:rsidP="00000A8D">
      <w:pPr>
        <w:autoSpaceDE w:val="0"/>
        <w:autoSpaceDN w:val="0"/>
        <w:adjustRightInd w:val="0"/>
        <w:ind w:firstLine="360"/>
        <w:jc w:val="both"/>
      </w:pPr>
    </w:p>
    <w:p w:rsidR="006D3A3D" w:rsidRDefault="00D2285D" w:rsidP="00000A8D">
      <w:pPr>
        <w:autoSpaceDE w:val="0"/>
        <w:autoSpaceDN w:val="0"/>
        <w:adjustRightInd w:val="0"/>
        <w:jc w:val="both"/>
      </w:pPr>
      <w:r>
        <w:rPr>
          <w:noProof/>
        </w:rPr>
        <w:pict>
          <v:shape id="_x0000_s1034" type="#_x0000_t75" style="position:absolute;left:0;text-align:left;margin-left:0;margin-top:5.55pt;width:96.95pt;height:36pt;z-index:251657216">
            <v:imagedata r:id="rId22" o:title=""/>
          </v:shape>
          <o:OLEObject Type="Embed" ProgID="Equation.3" ShapeID="_x0000_s1034" DrawAspect="Content" ObjectID="_1372651350" r:id="rId23"/>
        </w:pict>
      </w:r>
    </w:p>
    <w:p w:rsidR="00B3685B" w:rsidRDefault="006D3A3D" w:rsidP="00000A8D">
      <w:pPr>
        <w:autoSpaceDE w:val="0"/>
        <w:autoSpaceDN w:val="0"/>
        <w:adjustRightInd w:val="0"/>
        <w:ind w:firstLine="360"/>
        <w:jc w:val="both"/>
      </w:pPr>
      <w:r>
        <w:t xml:space="preserve">                                                                                                                                 </w:t>
      </w:r>
      <w:r w:rsidR="00157A96">
        <w:t xml:space="preserve">         </w:t>
      </w:r>
      <w:r w:rsidR="00787F94">
        <w:t xml:space="preserve">  (9</w:t>
      </w:r>
      <w:r>
        <w:t>)</w:t>
      </w:r>
    </w:p>
    <w:p w:rsidR="006D3A3D" w:rsidRDefault="006D3A3D" w:rsidP="00000A8D">
      <w:pPr>
        <w:autoSpaceDE w:val="0"/>
        <w:autoSpaceDN w:val="0"/>
        <w:adjustRightInd w:val="0"/>
        <w:jc w:val="both"/>
      </w:pPr>
    </w:p>
    <w:p w:rsidR="004F2390" w:rsidRDefault="004F2390" w:rsidP="00694362">
      <w:pPr>
        <w:autoSpaceDE w:val="0"/>
        <w:autoSpaceDN w:val="0"/>
        <w:adjustRightInd w:val="0"/>
        <w:ind w:firstLine="426"/>
        <w:jc w:val="both"/>
      </w:pPr>
    </w:p>
    <w:p w:rsidR="00694362" w:rsidRPr="009B0400" w:rsidRDefault="004F2390" w:rsidP="00694362">
      <w:pPr>
        <w:autoSpaceDE w:val="0"/>
        <w:autoSpaceDN w:val="0"/>
        <w:adjustRightInd w:val="0"/>
        <w:ind w:firstLine="426"/>
        <w:jc w:val="both"/>
      </w:pPr>
      <w:r>
        <w:t>Trabalhar com variáveis em</w:t>
      </w:r>
      <w:r w:rsidR="008F0328">
        <w:t xml:space="preserve"> termos de </w:t>
      </w:r>
      <w:r>
        <w:t>variação percentual pode ser</w:t>
      </w:r>
      <w:r w:rsidR="00694362">
        <w:t xml:space="preserve"> um problema. Pois alguns dados podem apresentar variação negativa, o que impossibilitaria a linearização </w:t>
      </w:r>
      <w:r w:rsidR="000A4A41">
        <w:t xml:space="preserve">dos parâmetros </w:t>
      </w:r>
      <w:r w:rsidR="00694362">
        <w:t>das variáveis</w:t>
      </w:r>
      <w:r w:rsidR="000A4A41">
        <w:t>, no caso de funções do tipo Cobb Douglas,</w:t>
      </w:r>
      <w:r w:rsidR="00694362">
        <w:t xml:space="preserve"> atrav</w:t>
      </w:r>
      <w:r w:rsidR="00313B71">
        <w:t>és da</w:t>
      </w:r>
      <w:r w:rsidR="00694362">
        <w:t xml:space="preserve"> logarit</w:t>
      </w:r>
      <w:r w:rsidR="00313B71">
        <w:t>mização</w:t>
      </w:r>
      <w:r>
        <w:t xml:space="preserve"> e conseqüentemente a estimação por mínimos quadrados ordinários não poderia ser realizada</w:t>
      </w:r>
      <w:r w:rsidR="000A4A41">
        <w:rPr>
          <w:rStyle w:val="Refdenotaderodap"/>
        </w:rPr>
        <w:footnoteReference w:id="6"/>
      </w:r>
      <w:r>
        <w:t>.</w:t>
      </w:r>
      <w:r w:rsidR="00694362">
        <w:t xml:space="preserve"> Neste caso, a seguinte transformação monotônica</w:t>
      </w:r>
      <w:r w:rsidR="000A4A41">
        <w:rPr>
          <w:rStyle w:val="Refdenotaderodap"/>
        </w:rPr>
        <w:footnoteReference w:id="7"/>
      </w:r>
      <w:r w:rsidR="00694362">
        <w:t xml:space="preserve"> crescente precisou ser efetuada nas variáveis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m:rPr>
            <m:sty m:val="p"/>
          </m:rPr>
          <w:rPr>
            <w:rFonts w:ascii="Cambria Math" w:hAnsi="Cambria Math"/>
          </w:rPr>
          <m:t>+1</m:t>
        </m:r>
      </m:oMath>
      <w:r>
        <w:t xml:space="preserve">. </w:t>
      </w:r>
      <w:r w:rsidR="009B0400">
        <w:t>E</w:t>
      </w:r>
      <w:r>
        <w:t xml:space="preserve">ste procedimento </w:t>
      </w:r>
      <w:r w:rsidR="009B0400">
        <w:t>garante a</w:t>
      </w:r>
      <w:r w:rsidR="00313B71">
        <w:t xml:space="preserve"> não negatividade das variáveis e </w:t>
      </w:r>
      <w:r>
        <w:t>mant</w:t>
      </w:r>
      <w:r w:rsidR="009B0400">
        <w:t>ém</w:t>
      </w:r>
      <w:r>
        <w:t xml:space="preserve"> as características ordinais das séries.</w:t>
      </w:r>
      <w:r w:rsidR="00313B71">
        <w:t xml:space="preserve"> </w:t>
      </w:r>
      <w:r w:rsidR="00313B71" w:rsidRPr="009B0400">
        <w:t xml:space="preserve">Além disso, como </w:t>
      </w:r>
      <w:r w:rsidR="009B0400" w:rsidRPr="009B0400">
        <w:t>tanto a variável dependente quanto as explicativas foram transformadas, o resultado não é afetado.</w:t>
      </w:r>
    </w:p>
    <w:p w:rsidR="004F2390" w:rsidRDefault="004F2390" w:rsidP="00694362">
      <w:pPr>
        <w:autoSpaceDE w:val="0"/>
        <w:autoSpaceDN w:val="0"/>
        <w:adjustRightInd w:val="0"/>
        <w:ind w:firstLine="426"/>
        <w:jc w:val="both"/>
      </w:pPr>
    </w:p>
    <w:p w:rsidR="006D3A3D" w:rsidRDefault="00EE3860" w:rsidP="00000A8D">
      <w:pPr>
        <w:autoSpaceDE w:val="0"/>
        <w:autoSpaceDN w:val="0"/>
        <w:adjustRightInd w:val="0"/>
        <w:jc w:val="both"/>
      </w:pPr>
      <w:r>
        <w:t xml:space="preserve">Os tópicos a seguir apresentam </w:t>
      </w:r>
      <w:r w:rsidR="006D3A3D" w:rsidRPr="00A569D6">
        <w:t>uma breve descrição das variáveis utilizadas</w:t>
      </w:r>
      <w:r w:rsidR="00FB3208">
        <w:rPr>
          <w:rStyle w:val="Refdenotaderodap"/>
        </w:rPr>
        <w:footnoteReference w:id="8"/>
      </w:r>
      <w:r w:rsidR="006D3A3D" w:rsidRPr="00A569D6">
        <w:t>.</w:t>
      </w:r>
    </w:p>
    <w:p w:rsidR="004F2390" w:rsidRPr="00FB3208" w:rsidRDefault="004F2390" w:rsidP="00000A8D">
      <w:pPr>
        <w:autoSpaceDE w:val="0"/>
        <w:autoSpaceDN w:val="0"/>
        <w:adjustRightInd w:val="0"/>
        <w:jc w:val="both"/>
        <w:rPr>
          <w:highlight w:val="yellow"/>
        </w:rPr>
      </w:pPr>
    </w:p>
    <w:p w:rsidR="008D2D69" w:rsidRDefault="0088177D" w:rsidP="00000A8D">
      <w:pPr>
        <w:autoSpaceDE w:val="0"/>
        <w:autoSpaceDN w:val="0"/>
        <w:adjustRightInd w:val="0"/>
        <w:jc w:val="both"/>
        <w:rPr>
          <w:color w:val="000000"/>
        </w:rPr>
      </w:pPr>
      <w:r>
        <w:rPr>
          <w:b/>
          <w:bCs/>
        </w:rPr>
        <w:t>a</w:t>
      </w:r>
      <w:r w:rsidR="006D3A3D">
        <w:rPr>
          <w:b/>
          <w:bCs/>
        </w:rPr>
        <w:t>) Y</w:t>
      </w:r>
      <w:r w:rsidR="006D3A3D" w:rsidRPr="00A569D6">
        <w:rPr>
          <w:b/>
          <w:bCs/>
        </w:rPr>
        <w:t xml:space="preserve"> </w:t>
      </w:r>
      <w:r w:rsidR="006D3A3D" w:rsidRPr="00A569D6">
        <w:t xml:space="preserve">corresponde </w:t>
      </w:r>
      <w:r w:rsidR="006D3A3D">
        <w:rPr>
          <w:bCs/>
          <w:color w:val="000000"/>
        </w:rPr>
        <w:t>à</w:t>
      </w:r>
      <w:r w:rsidR="006D3A3D" w:rsidRPr="00A569D6">
        <w:rPr>
          <w:color w:val="000000"/>
        </w:rPr>
        <w:t xml:space="preserve"> </w:t>
      </w:r>
      <w:r w:rsidR="006D3A3D">
        <w:t>variação percentual</w:t>
      </w:r>
      <w:r w:rsidR="006D3A3D">
        <w:rPr>
          <w:color w:val="000000"/>
        </w:rPr>
        <w:t xml:space="preserve"> da renda </w:t>
      </w:r>
      <w:r w:rsidR="006D3A3D" w:rsidRPr="006A4D6B">
        <w:rPr>
          <w:i/>
          <w:color w:val="000000"/>
        </w:rPr>
        <w:t>per capta</w:t>
      </w:r>
      <w:r w:rsidR="006D3A3D">
        <w:rPr>
          <w:color w:val="000000"/>
        </w:rPr>
        <w:t xml:space="preserve"> das famílias, ou seja, é a </w:t>
      </w:r>
      <w:r w:rsidR="006D3A3D" w:rsidRPr="00A569D6">
        <w:rPr>
          <w:color w:val="000000"/>
        </w:rPr>
        <w:t xml:space="preserve">razão entre o somatório da renda familiar </w:t>
      </w:r>
      <w:r w:rsidR="006D3A3D" w:rsidRPr="006A4D6B">
        <w:rPr>
          <w:i/>
          <w:color w:val="000000"/>
        </w:rPr>
        <w:t>per capita</w:t>
      </w:r>
      <w:r w:rsidR="006D3A3D" w:rsidRPr="00A569D6">
        <w:rPr>
          <w:color w:val="000000"/>
        </w:rPr>
        <w:t xml:space="preserve"> de todos os domicílios e o número total de domicílios no município. A renda familiar </w:t>
      </w:r>
      <w:r w:rsidR="006D3A3D" w:rsidRPr="006A4D6B">
        <w:rPr>
          <w:i/>
          <w:color w:val="000000"/>
        </w:rPr>
        <w:t>per capita</w:t>
      </w:r>
      <w:r w:rsidR="006D3A3D" w:rsidRPr="00A569D6">
        <w:rPr>
          <w:color w:val="000000"/>
        </w:rPr>
        <w:t xml:space="preserve"> de cada domicílio é definida como a razão entre a soma da renda mensal de todos os indivíduos da família residentes no domicilio e o número dos mesmos. </w:t>
      </w:r>
      <w:r w:rsidR="006D3A3D" w:rsidRPr="00B96DD8">
        <w:rPr>
          <w:color w:val="000000"/>
        </w:rPr>
        <w:t>Valores expressos em reais de 1º de</w:t>
      </w:r>
      <w:r w:rsidR="00B96DD8" w:rsidRPr="00B96DD8">
        <w:rPr>
          <w:color w:val="000000"/>
        </w:rPr>
        <w:t xml:space="preserve"> agosto de 2000.</w:t>
      </w:r>
    </w:p>
    <w:p w:rsidR="004F2390" w:rsidRPr="001E1E1C" w:rsidRDefault="004F2390" w:rsidP="00000A8D">
      <w:pPr>
        <w:jc w:val="both"/>
        <w:rPr>
          <w:b/>
          <w:bCs/>
          <w:color w:val="000000"/>
        </w:rPr>
      </w:pPr>
    </w:p>
    <w:p w:rsidR="004F52A9" w:rsidRDefault="0088177D" w:rsidP="00000A8D">
      <w:pPr>
        <w:jc w:val="both"/>
        <w:rPr>
          <w:iCs/>
        </w:rPr>
      </w:pPr>
      <w:r>
        <w:rPr>
          <w:b/>
          <w:bCs/>
        </w:rPr>
        <w:t>b</w:t>
      </w:r>
      <w:r w:rsidR="00CB30B2">
        <w:rPr>
          <w:b/>
          <w:bCs/>
        </w:rPr>
        <w:t xml:space="preserve">) </w:t>
      </w:r>
      <w:r w:rsidR="00BB3430">
        <w:rPr>
          <w:b/>
          <w:bCs/>
        </w:rPr>
        <w:t>K</w:t>
      </w:r>
      <w:r w:rsidR="004F52A9" w:rsidRPr="00542175">
        <w:rPr>
          <w:b/>
          <w:bCs/>
        </w:rPr>
        <w:t xml:space="preserve"> </w:t>
      </w:r>
      <w:r w:rsidR="00A03965">
        <w:t>equivale à variação percentual</w:t>
      </w:r>
      <w:r w:rsidR="004F52A9" w:rsidRPr="00542175">
        <w:t xml:space="preserve"> </w:t>
      </w:r>
      <w:r w:rsidR="00A03965">
        <w:t xml:space="preserve">do </w:t>
      </w:r>
      <w:r w:rsidR="004F52A9" w:rsidRPr="00542175">
        <w:t xml:space="preserve">estoque de capital físico </w:t>
      </w:r>
      <w:r w:rsidR="006A4D6B" w:rsidRPr="00542175">
        <w:rPr>
          <w:i/>
        </w:rPr>
        <w:t>per capta</w:t>
      </w:r>
      <w:r w:rsidR="006A4D6B" w:rsidRPr="00542175">
        <w:t xml:space="preserve"> </w:t>
      </w:r>
      <w:r w:rsidR="004F52A9" w:rsidRPr="00542175">
        <w:t>da economia. Como "</w:t>
      </w:r>
      <w:r w:rsidR="004F52A9" w:rsidRPr="00542175">
        <w:rPr>
          <w:i/>
        </w:rPr>
        <w:t>proxy</w:t>
      </w:r>
      <w:r w:rsidR="004F52A9" w:rsidRPr="00542175">
        <w:t>", foi utilizado</w:t>
      </w:r>
      <w:r w:rsidR="006A4D6B" w:rsidRPr="00542175">
        <w:t xml:space="preserve"> o capital residencial total</w:t>
      </w:r>
      <w:r w:rsidR="004F52A9" w:rsidRPr="00542175">
        <w:t xml:space="preserve"> </w:t>
      </w:r>
      <w:r w:rsidR="006A4D6B" w:rsidRPr="00542175">
        <w:rPr>
          <w:bCs/>
          <w:color w:val="000000"/>
        </w:rPr>
        <w:t>que seria o</w:t>
      </w:r>
      <w:r w:rsidR="006A4D6B" w:rsidRPr="00542175">
        <w:rPr>
          <w:color w:val="000000"/>
        </w:rPr>
        <w:t xml:space="preserve"> valor presente do</w:t>
      </w:r>
      <w:r w:rsidR="00542175">
        <w:rPr>
          <w:color w:val="000000"/>
        </w:rPr>
        <w:t>s</w:t>
      </w:r>
      <w:r w:rsidR="006A4D6B" w:rsidRPr="00542175">
        <w:rPr>
          <w:color w:val="000000"/>
        </w:rPr>
        <w:t xml:space="preserve"> fluxo</w:t>
      </w:r>
      <w:r w:rsidR="00542175">
        <w:rPr>
          <w:color w:val="000000"/>
        </w:rPr>
        <w:t>s</w:t>
      </w:r>
      <w:r w:rsidR="006A4D6B" w:rsidRPr="00542175">
        <w:rPr>
          <w:color w:val="000000"/>
        </w:rPr>
        <w:t xml:space="preserve"> perpétuo</w:t>
      </w:r>
      <w:r w:rsidR="00542175">
        <w:rPr>
          <w:color w:val="000000"/>
        </w:rPr>
        <w:t>s</w:t>
      </w:r>
      <w:r w:rsidR="006A4D6B" w:rsidRPr="00542175">
        <w:rPr>
          <w:color w:val="000000"/>
        </w:rPr>
        <w:t xml:space="preserve"> constantes dos aluguéis mensais descontado </w:t>
      </w:r>
      <w:r w:rsidR="00542175">
        <w:rPr>
          <w:color w:val="000000"/>
        </w:rPr>
        <w:t>à taxa de desconto de 0,75% a.m.</w:t>
      </w:r>
      <w:r w:rsidR="006A4D6B" w:rsidRPr="00542175">
        <w:rPr>
          <w:color w:val="000000"/>
        </w:rPr>
        <w:t xml:space="preserve"> O </w:t>
      </w:r>
      <w:r w:rsidR="00542175">
        <w:rPr>
          <w:color w:val="000000"/>
        </w:rPr>
        <w:t xml:space="preserve">aluguel dos imóveis, inclusive </w:t>
      </w:r>
      <w:r w:rsidR="006A4D6B" w:rsidRPr="00542175">
        <w:rPr>
          <w:color w:val="000000"/>
        </w:rPr>
        <w:t xml:space="preserve">os próprios, foi simulado por um modelo hedônico cujos argumentos são os atributos dos imóveis inclusive sua localização captada pela renda mediana do setor censitário. Em todos os anos utilizou-se as estimativas dos preços hedônicos referentes a 1999 obtendo-se, portanto, um índice de base fixa. Foram utilizados dados do Censo Demográfico. Deflacionado pelo IGP-DI. </w:t>
      </w:r>
      <w:r w:rsidR="006A4D6B" w:rsidRPr="00542175">
        <w:t>Esta</w:t>
      </w:r>
      <w:r w:rsidR="004F52A9" w:rsidRPr="00542175">
        <w:t xml:space="preserve"> “</w:t>
      </w:r>
      <w:r w:rsidR="004F52A9" w:rsidRPr="00542175">
        <w:rPr>
          <w:i/>
        </w:rPr>
        <w:t>proxy</w:t>
      </w:r>
      <w:r w:rsidR="004F52A9" w:rsidRPr="00542175">
        <w:t xml:space="preserve">” </w:t>
      </w:r>
      <w:r w:rsidR="006A4D6B" w:rsidRPr="00542175">
        <w:t>pode ter suas</w:t>
      </w:r>
      <w:r w:rsidR="004F52A9" w:rsidRPr="00542175">
        <w:t xml:space="preserve"> limitações</w:t>
      </w:r>
      <w:r w:rsidR="006A4D6B" w:rsidRPr="00542175">
        <w:t>, porém torna-se necessário utilizá-la visto que</w:t>
      </w:r>
      <w:r w:rsidR="004F52A9" w:rsidRPr="00542175">
        <w:t xml:space="preserve"> não existem séries </w:t>
      </w:r>
      <w:r w:rsidR="001E1E1C" w:rsidRPr="00542175">
        <w:t xml:space="preserve">desagregadas de </w:t>
      </w:r>
      <w:r w:rsidR="001E1E1C" w:rsidRPr="00915FFB">
        <w:t xml:space="preserve">investimento </w:t>
      </w:r>
      <w:r w:rsidR="00CA0285">
        <w:t xml:space="preserve">físico </w:t>
      </w:r>
      <w:r w:rsidR="001E1E1C" w:rsidRPr="00915FFB">
        <w:t xml:space="preserve">no </w:t>
      </w:r>
      <w:r w:rsidR="004F52A9" w:rsidRPr="00915FFB">
        <w:t>Brasil.</w:t>
      </w:r>
      <w:r w:rsidR="005A113C" w:rsidRPr="00915FFB">
        <w:t xml:space="preserve"> Outros autores que a utilizaram para o mesmo fim foram: Coelho (2007), </w:t>
      </w:r>
      <w:r w:rsidR="00915FFB" w:rsidRPr="00915FFB">
        <w:rPr>
          <w:iCs/>
        </w:rPr>
        <w:t>Cassuce</w:t>
      </w:r>
      <w:r w:rsidR="00915FFB">
        <w:rPr>
          <w:iCs/>
        </w:rPr>
        <w:t xml:space="preserve"> </w:t>
      </w:r>
      <w:r w:rsidR="00915FFB" w:rsidRPr="00915FFB">
        <w:rPr>
          <w:i/>
          <w:iCs/>
        </w:rPr>
        <w:t>et al</w:t>
      </w:r>
      <w:r w:rsidR="00915FFB">
        <w:rPr>
          <w:iCs/>
        </w:rPr>
        <w:t xml:space="preserve"> (2007) e Pereira </w:t>
      </w:r>
      <w:r w:rsidR="00915FFB" w:rsidRPr="00915FFB">
        <w:rPr>
          <w:i/>
          <w:iCs/>
        </w:rPr>
        <w:t>et al</w:t>
      </w:r>
      <w:r w:rsidR="00915FFB">
        <w:rPr>
          <w:iCs/>
        </w:rPr>
        <w:t xml:space="preserve"> (2010).</w:t>
      </w:r>
    </w:p>
    <w:p w:rsidR="00E02EF7" w:rsidRDefault="00E02EF7" w:rsidP="00000A8D">
      <w:pPr>
        <w:jc w:val="both"/>
        <w:rPr>
          <w:iCs/>
        </w:rPr>
      </w:pPr>
    </w:p>
    <w:p w:rsidR="00E02EF7" w:rsidRPr="00CB185E" w:rsidRDefault="00E02EF7" w:rsidP="00CB185E">
      <w:pPr>
        <w:autoSpaceDE w:val="0"/>
        <w:autoSpaceDN w:val="0"/>
        <w:adjustRightInd w:val="0"/>
        <w:jc w:val="both"/>
      </w:pPr>
      <w:r w:rsidRPr="00CB185E">
        <w:rPr>
          <w:iCs/>
        </w:rPr>
        <w:t xml:space="preserve">Outra </w:t>
      </w:r>
      <w:r w:rsidRPr="00CB185E">
        <w:rPr>
          <w:i/>
          <w:iCs/>
        </w:rPr>
        <w:t>proxy</w:t>
      </w:r>
      <w:r w:rsidRPr="00CB185E">
        <w:rPr>
          <w:iCs/>
        </w:rPr>
        <w:t xml:space="preserve"> largamente utilizada para capital físico refere-se ao consumo de energia elétrica. Uma vez que a elevação do mesmo seria um indício da maior utilização de máquinas e equipamentos. No entanto, segundo </w:t>
      </w:r>
      <w:r w:rsidR="00CB185E" w:rsidRPr="00CB185E">
        <w:rPr>
          <w:iCs/>
        </w:rPr>
        <w:t>Barreto</w:t>
      </w:r>
      <w:r w:rsidR="00CB185E">
        <w:rPr>
          <w:iCs/>
        </w:rPr>
        <w:t xml:space="preserve"> (2001</w:t>
      </w:r>
      <w:r w:rsidR="00CB185E" w:rsidRPr="00CB185E">
        <w:rPr>
          <w:iCs/>
        </w:rPr>
        <w:t>, p. 7): “</w:t>
      </w:r>
      <w:r w:rsidR="00CB185E" w:rsidRPr="00CB185E">
        <w:t xml:space="preserve">O consumo de energia elétrica pode fornecer uma aproximação enganosa do estoque de capital de uma economia uma vez que, ao longo do tempo, o progresso técnico possibilita a utilização de equipamentos e processos produtivos que gastam proporcionalmente menos energia que os utilizados anteriormente”. </w:t>
      </w:r>
    </w:p>
    <w:p w:rsidR="004F2390" w:rsidRPr="00915FFB" w:rsidRDefault="004F2390" w:rsidP="00000A8D">
      <w:pPr>
        <w:jc w:val="both"/>
        <w:rPr>
          <w:b/>
          <w:bCs/>
          <w:color w:val="000000"/>
        </w:rPr>
      </w:pPr>
    </w:p>
    <w:p w:rsidR="00542175" w:rsidRDefault="0088177D" w:rsidP="00000A8D">
      <w:pPr>
        <w:autoSpaceDE w:val="0"/>
        <w:autoSpaceDN w:val="0"/>
        <w:adjustRightInd w:val="0"/>
        <w:jc w:val="both"/>
      </w:pPr>
      <w:r>
        <w:rPr>
          <w:b/>
          <w:bCs/>
        </w:rPr>
        <w:t>c</w:t>
      </w:r>
      <w:r w:rsidR="00CB30B2">
        <w:rPr>
          <w:b/>
          <w:bCs/>
        </w:rPr>
        <w:t xml:space="preserve">) </w:t>
      </w:r>
      <w:r w:rsidR="00BB3430">
        <w:rPr>
          <w:b/>
          <w:bCs/>
        </w:rPr>
        <w:t>L</w:t>
      </w:r>
      <w:r w:rsidR="004F52A9" w:rsidRPr="00A569D6">
        <w:rPr>
          <w:b/>
          <w:bCs/>
        </w:rPr>
        <w:t xml:space="preserve"> </w:t>
      </w:r>
      <w:r w:rsidR="00542175">
        <w:t>corresponde à</w:t>
      </w:r>
      <w:r w:rsidR="004F52A9" w:rsidRPr="00A569D6">
        <w:t xml:space="preserve"> </w:t>
      </w:r>
      <w:r w:rsidR="00A03965">
        <w:t>variação percentual</w:t>
      </w:r>
      <w:r w:rsidR="00A03965" w:rsidRPr="00A569D6">
        <w:t xml:space="preserve"> </w:t>
      </w:r>
      <w:r w:rsidR="00A03965">
        <w:t xml:space="preserve">da </w:t>
      </w:r>
      <w:r w:rsidR="004F52A9" w:rsidRPr="00A569D6">
        <w:t>força de trabalho. Esta variável foi ana</w:t>
      </w:r>
      <w:r w:rsidR="001E1E1C">
        <w:t xml:space="preserve">lisada utilizando-se a </w:t>
      </w:r>
      <w:r w:rsidR="004F52A9" w:rsidRPr="00A569D6">
        <w:t>população</w:t>
      </w:r>
      <w:r w:rsidR="001E1E1C">
        <w:t xml:space="preserve"> </w:t>
      </w:r>
      <w:r w:rsidR="00542175">
        <w:t>economicamente ativa (PEA) dividida pela população total de cada município</w:t>
      </w:r>
      <w:r w:rsidR="004F52A9" w:rsidRPr="00A569D6">
        <w:t xml:space="preserve"> como "</w:t>
      </w:r>
      <w:r w:rsidR="004F52A9" w:rsidRPr="00542175">
        <w:rPr>
          <w:i/>
        </w:rPr>
        <w:t>proxy</w:t>
      </w:r>
      <w:r w:rsidR="004F52A9" w:rsidRPr="00A569D6">
        <w:t xml:space="preserve">". </w:t>
      </w:r>
      <w:r w:rsidR="00CA0285">
        <w:t xml:space="preserve">Segundo </w:t>
      </w:r>
      <w:r w:rsidR="00CA0285">
        <w:rPr>
          <w:rFonts w:ascii="TimesNewRoman" w:hAnsi="TimesNewRoman" w:cs="TimesNewRoman"/>
          <w:sz w:val="21"/>
          <w:szCs w:val="21"/>
        </w:rPr>
        <w:t xml:space="preserve">HALL e JONES (1996), </w:t>
      </w:r>
      <w:r w:rsidR="00CA0285">
        <w:t>o ideal seria utilizar as horas trabalhadas per capta, no entanto, tais dados não existem para os municípios de Minas Gerais. Logo, optou-se por esta variável que já vinha sendo utilizada na literatura pelos autores supracitados.</w:t>
      </w:r>
    </w:p>
    <w:p w:rsidR="004F2390" w:rsidRDefault="004F2390" w:rsidP="00000A8D">
      <w:pPr>
        <w:autoSpaceDE w:val="0"/>
        <w:autoSpaceDN w:val="0"/>
        <w:adjustRightInd w:val="0"/>
        <w:jc w:val="both"/>
      </w:pPr>
    </w:p>
    <w:p w:rsidR="00CB30B2" w:rsidRDefault="0088177D" w:rsidP="00000A8D">
      <w:pPr>
        <w:autoSpaceDE w:val="0"/>
        <w:autoSpaceDN w:val="0"/>
        <w:adjustRightInd w:val="0"/>
        <w:jc w:val="both"/>
      </w:pPr>
      <w:r>
        <w:rPr>
          <w:b/>
          <w:bCs/>
        </w:rPr>
        <w:t>d</w:t>
      </w:r>
      <w:r w:rsidR="00CB30B2">
        <w:rPr>
          <w:b/>
          <w:bCs/>
        </w:rPr>
        <w:t xml:space="preserve">) </w:t>
      </w:r>
      <w:r w:rsidR="00AB105F">
        <w:rPr>
          <w:b/>
          <w:bCs/>
        </w:rPr>
        <w:t>A</w:t>
      </w:r>
      <w:r w:rsidR="00CB30B2" w:rsidRPr="00A569D6">
        <w:rPr>
          <w:b/>
          <w:bCs/>
        </w:rPr>
        <w:t xml:space="preserve"> </w:t>
      </w:r>
      <w:r w:rsidR="00CB30B2" w:rsidRPr="00A569D6">
        <w:t xml:space="preserve">representa </w:t>
      </w:r>
      <w:r w:rsidR="00A03965">
        <w:t>a variação d</w:t>
      </w:r>
      <w:r w:rsidR="00CB30B2" w:rsidRPr="00A569D6">
        <w:t>o nível tecnológico presente na função de produção utilizada para a</w:t>
      </w:r>
      <w:r w:rsidR="00CB30B2">
        <w:t xml:space="preserve"> </w:t>
      </w:r>
      <w:r w:rsidR="00CB30B2" w:rsidRPr="00A569D6">
        <w:t>estimação</w:t>
      </w:r>
      <w:r w:rsidR="00CB30B2">
        <w:t>.</w:t>
      </w:r>
      <w:r w:rsidR="003D679D">
        <w:t xml:space="preserve"> Foi obtida através </w:t>
      </w:r>
      <w:r w:rsidR="006E7CD1">
        <w:t xml:space="preserve">da estimação </w:t>
      </w:r>
      <w:r w:rsidR="003D679D">
        <w:t>do método do proposto por Solow (1957) denominado “Resíduo de Solow”.</w:t>
      </w:r>
      <w:r w:rsidR="002E75BF">
        <w:t xml:space="preserve"> Para esta variável seguiu-se a especificação proposta por Tavares, Ataliba e Castelar (2001</w:t>
      </w:r>
      <w:r w:rsidR="002E75BF" w:rsidRPr="00A33397">
        <w:t>)</w:t>
      </w:r>
    </w:p>
    <w:p w:rsidR="004F2390" w:rsidRDefault="004F2390" w:rsidP="00000A8D">
      <w:pPr>
        <w:autoSpaceDE w:val="0"/>
        <w:autoSpaceDN w:val="0"/>
        <w:adjustRightInd w:val="0"/>
        <w:jc w:val="both"/>
      </w:pPr>
    </w:p>
    <w:p w:rsidR="00DD35B3" w:rsidRDefault="0088177D" w:rsidP="00000A8D">
      <w:pPr>
        <w:autoSpaceDE w:val="0"/>
        <w:autoSpaceDN w:val="0"/>
        <w:adjustRightInd w:val="0"/>
        <w:jc w:val="both"/>
      </w:pPr>
      <w:r>
        <w:rPr>
          <w:b/>
          <w:bCs/>
        </w:rPr>
        <w:t>e</w:t>
      </w:r>
      <w:r w:rsidR="00CB30B2">
        <w:rPr>
          <w:b/>
          <w:bCs/>
        </w:rPr>
        <w:t xml:space="preserve">) </w:t>
      </w:r>
      <w:r w:rsidR="00BB3430">
        <w:rPr>
          <w:b/>
          <w:bCs/>
        </w:rPr>
        <w:t>H</w:t>
      </w:r>
      <w:r w:rsidR="004F52A9" w:rsidRPr="00A569D6">
        <w:rPr>
          <w:b/>
          <w:bCs/>
        </w:rPr>
        <w:t xml:space="preserve"> </w:t>
      </w:r>
      <w:r w:rsidR="00A03965">
        <w:t>representa a</w:t>
      </w:r>
      <w:r w:rsidR="004F52A9" w:rsidRPr="00A569D6">
        <w:t xml:space="preserve"> </w:t>
      </w:r>
      <w:r w:rsidR="00A03965">
        <w:t>variação percentual</w:t>
      </w:r>
      <w:r w:rsidR="00A03965" w:rsidRPr="00A569D6">
        <w:t xml:space="preserve"> </w:t>
      </w:r>
      <w:r w:rsidR="00A03965">
        <w:t xml:space="preserve">de </w:t>
      </w:r>
      <w:r w:rsidR="004F52A9" w:rsidRPr="00A569D6">
        <w:t>capital humano</w:t>
      </w:r>
      <w:r w:rsidR="00542175">
        <w:t xml:space="preserve"> </w:t>
      </w:r>
      <w:r w:rsidR="00542175" w:rsidRPr="00542175">
        <w:rPr>
          <w:i/>
        </w:rPr>
        <w:t>per capta</w:t>
      </w:r>
      <w:r w:rsidR="004F52A9" w:rsidRPr="00A569D6">
        <w:t xml:space="preserve">. </w:t>
      </w:r>
      <w:r w:rsidR="00542175">
        <w:t xml:space="preserve">Para esta variável foram utilizadas duas </w:t>
      </w:r>
      <w:r w:rsidR="00542175" w:rsidRPr="00542175">
        <w:t>“</w:t>
      </w:r>
      <w:r w:rsidR="008A76B1">
        <w:rPr>
          <w:i/>
        </w:rPr>
        <w:t>proxie</w:t>
      </w:r>
      <w:r w:rsidR="00542175" w:rsidRPr="00542175">
        <w:rPr>
          <w:i/>
        </w:rPr>
        <w:t>s</w:t>
      </w:r>
      <w:r w:rsidR="00542175" w:rsidRPr="00542175">
        <w:t>”</w:t>
      </w:r>
      <w:r w:rsidR="00764AF3">
        <w:t xml:space="preserve"> diferentes. Visto que, de acordo com Nakabashi (2005), </w:t>
      </w:r>
      <w:r w:rsidR="00764AF3" w:rsidRPr="00764AF3">
        <w:t>vários estudos n</w:t>
      </w:r>
      <w:r w:rsidR="00CF1E01">
        <w:t>ão encontraram</w:t>
      </w:r>
      <w:r w:rsidR="00764AF3">
        <w:t xml:space="preserve"> relações positivas</w:t>
      </w:r>
      <w:r w:rsidR="00764AF3" w:rsidRPr="00764AF3">
        <w:t xml:space="preserve"> e/ou significativas entre o nível capital humano e crescimento, por utilizarem </w:t>
      </w:r>
      <w:r w:rsidR="00BB3430">
        <w:t>“</w:t>
      </w:r>
      <w:r w:rsidR="008A76B1">
        <w:rPr>
          <w:i/>
        </w:rPr>
        <w:t>proxie</w:t>
      </w:r>
      <w:r w:rsidR="00764AF3" w:rsidRPr="00BB3430">
        <w:rPr>
          <w:i/>
        </w:rPr>
        <w:t>s</w:t>
      </w:r>
      <w:r w:rsidR="00BB3430">
        <w:t>”</w:t>
      </w:r>
      <w:r w:rsidR="00764AF3" w:rsidRPr="00764AF3">
        <w:t xml:space="preserve"> que não levam em conta os fatores quantitativos e qualitativos que envolvem a questão do capital humano.</w:t>
      </w:r>
      <w:r w:rsidR="00BB3430">
        <w:t xml:space="preserve"> Logo, </w:t>
      </w:r>
      <w:r w:rsidR="00CF1E01">
        <w:t>a</w:t>
      </w:r>
      <w:r w:rsidR="0090294A">
        <w:t>s</w:t>
      </w:r>
      <w:r w:rsidR="00CF1E01">
        <w:t xml:space="preserve"> “</w:t>
      </w:r>
      <w:r w:rsidR="008A76B1">
        <w:rPr>
          <w:i/>
        </w:rPr>
        <w:t>proxie</w:t>
      </w:r>
      <w:r w:rsidR="0090294A">
        <w:rPr>
          <w:i/>
        </w:rPr>
        <w:t>s</w:t>
      </w:r>
      <w:r w:rsidR="00CF1E01">
        <w:t>” que ser</w:t>
      </w:r>
      <w:r w:rsidR="0090294A">
        <w:t>ão</w:t>
      </w:r>
      <w:r w:rsidR="00CF1E01">
        <w:t xml:space="preserve"> </w:t>
      </w:r>
      <w:r w:rsidR="002E75BF">
        <w:t xml:space="preserve">utilizadas foram </w:t>
      </w:r>
      <w:r w:rsidR="00CF1E01">
        <w:t>denominada</w:t>
      </w:r>
      <w:r w:rsidR="0090294A">
        <w:t>s</w:t>
      </w:r>
      <w:r w:rsidR="002E75BF">
        <w:t xml:space="preserve"> da seguinte forma</w:t>
      </w:r>
      <w:r w:rsidR="0090294A">
        <w:t>:</w:t>
      </w:r>
      <w:r w:rsidR="00CF1E01">
        <w:t xml:space="preserve"> </w:t>
      </w:r>
    </w:p>
    <w:p w:rsidR="004F2390" w:rsidRDefault="004F2390" w:rsidP="00000A8D">
      <w:pPr>
        <w:autoSpaceDE w:val="0"/>
        <w:autoSpaceDN w:val="0"/>
        <w:adjustRightInd w:val="0"/>
        <w:jc w:val="both"/>
      </w:pPr>
    </w:p>
    <w:p w:rsidR="00CF1E01" w:rsidRDefault="0090294A" w:rsidP="00000A8D">
      <w:pPr>
        <w:autoSpaceDE w:val="0"/>
        <w:autoSpaceDN w:val="0"/>
        <w:adjustRightInd w:val="0"/>
        <w:jc w:val="both"/>
      </w:pPr>
      <w:r w:rsidRPr="0090294A">
        <w:rPr>
          <w:b/>
        </w:rPr>
        <w:sym w:font="Symbol" w:char="F0AE"/>
      </w:r>
      <w:r>
        <w:t xml:space="preserve"> </w:t>
      </w:r>
      <w:r w:rsidR="00CF1E01" w:rsidRPr="00CF1E01">
        <w:rPr>
          <w:b/>
        </w:rPr>
        <w:t>H(a)</w:t>
      </w:r>
      <w:r w:rsidR="00CF1E01">
        <w:t>, será dada pela</w:t>
      </w:r>
      <w:r w:rsidR="004F52A9" w:rsidRPr="00A569D6">
        <w:t xml:space="preserve"> </w:t>
      </w:r>
      <w:r w:rsidR="00D37773">
        <w:t xml:space="preserve">variação percentual da </w:t>
      </w:r>
      <w:r w:rsidR="004F52A9" w:rsidRPr="00A569D6">
        <w:t>escolaridade média da</w:t>
      </w:r>
      <w:r w:rsidR="001E1E1C">
        <w:t xml:space="preserve"> </w:t>
      </w:r>
      <w:r w:rsidR="004F52A9" w:rsidRPr="00A569D6">
        <w:t>população</w:t>
      </w:r>
      <w:r w:rsidR="00CF1E01">
        <w:t>,</w:t>
      </w:r>
      <w:r w:rsidR="004F52A9" w:rsidRPr="00A569D6">
        <w:t xml:space="preserve"> </w:t>
      </w:r>
      <w:r w:rsidR="00BB3430">
        <w:t>acima dos 25 anos</w:t>
      </w:r>
      <w:r w:rsidR="004F52A9" w:rsidRPr="00A569D6">
        <w:t>, ou seja, a média dos anos de estudo</w:t>
      </w:r>
      <w:r w:rsidR="00CF1E01">
        <w:t>,</w:t>
      </w:r>
      <w:r w:rsidR="00BB3430" w:rsidRPr="00BB3430">
        <w:t xml:space="preserve"> </w:t>
      </w:r>
      <w:r w:rsidR="00D37773">
        <w:t>multiplicada pela variação percentual do</w:t>
      </w:r>
      <w:r w:rsidR="00CF1E01">
        <w:t xml:space="preserve"> IDH</w:t>
      </w:r>
      <w:r w:rsidR="004F52A9" w:rsidRPr="00A569D6">
        <w:t xml:space="preserve">. </w:t>
      </w:r>
      <w:r w:rsidR="00530EE2">
        <w:t>Pois, de acordo com</w:t>
      </w:r>
      <w:r w:rsidR="00530EE2" w:rsidRPr="00A569D6">
        <w:t xml:space="preserve"> Khasno</w:t>
      </w:r>
      <w:r w:rsidR="00530EE2">
        <w:t xml:space="preserve">bis e Bari (2000), considerar somente </w:t>
      </w:r>
      <w:r w:rsidR="00DD2B7F">
        <w:t>a média d</w:t>
      </w:r>
      <w:r w:rsidR="00530EE2">
        <w:t>os ano</w:t>
      </w:r>
      <w:r w:rsidR="00DD2B7F">
        <w:t>s</w:t>
      </w:r>
      <w:r w:rsidR="00530EE2">
        <w:t xml:space="preserve"> de estudo </w:t>
      </w:r>
      <w:r w:rsidR="00530EE2" w:rsidRPr="00A569D6">
        <w:t>não é uma “</w:t>
      </w:r>
      <w:r w:rsidR="00530EE2" w:rsidRPr="00542175">
        <w:rPr>
          <w:i/>
        </w:rPr>
        <w:t>proxy</w:t>
      </w:r>
      <w:r w:rsidR="00530EE2" w:rsidRPr="00A569D6">
        <w:t>” ideal para regiões em desenvolvimento devido a qualidade de</w:t>
      </w:r>
      <w:r w:rsidR="00530EE2">
        <w:t xml:space="preserve"> </w:t>
      </w:r>
      <w:r w:rsidR="00530EE2" w:rsidRPr="00A569D6">
        <w:t>educação, no sentido de que a qualidade desta diminui</w:t>
      </w:r>
      <w:r w:rsidR="00530EE2">
        <w:t xml:space="preserve"> quando os anos de estudo médio </w:t>
      </w:r>
      <w:r w:rsidR="00530EE2" w:rsidRPr="00A569D6">
        <w:t>da</w:t>
      </w:r>
      <w:r w:rsidR="00530EE2">
        <w:t xml:space="preserve"> </w:t>
      </w:r>
      <w:r w:rsidR="00530EE2" w:rsidRPr="00A569D6">
        <w:t>população aumenta, o que superestimaria a contribuição do capital humano.</w:t>
      </w:r>
      <w:r w:rsidR="00DD2B7F">
        <w:t xml:space="preserve"> </w:t>
      </w:r>
      <w:r w:rsidR="00CF1E01">
        <w:t>A suposição por trás d</w:t>
      </w:r>
      <w:r w:rsidR="00530EE2">
        <w:t>a</w:t>
      </w:r>
      <w:r w:rsidR="00CF1E01">
        <w:t xml:space="preserve"> “</w:t>
      </w:r>
      <w:r w:rsidR="00CF1E01" w:rsidRPr="00CF1E01">
        <w:rPr>
          <w:i/>
        </w:rPr>
        <w:t>proxy</w:t>
      </w:r>
      <w:r w:rsidR="00CF1E01">
        <w:t xml:space="preserve">” </w:t>
      </w:r>
      <w:r w:rsidR="00530EE2">
        <w:t xml:space="preserve">utilizada </w:t>
      </w:r>
      <w:r w:rsidR="00CF1E01">
        <w:t>é de que a qualidade do sistema educacional depende do nível de desenvolvimento da município em questão, sendo o IDH a variável utilizada para tal questão</w:t>
      </w:r>
      <w:r w:rsidR="007541F3">
        <w:t xml:space="preserve"> (</w:t>
      </w:r>
      <w:r w:rsidR="007541F3" w:rsidRPr="0059597B">
        <w:t>NAKABASHI</w:t>
      </w:r>
      <w:r w:rsidR="007541F3">
        <w:t>, 2005)</w:t>
      </w:r>
      <w:r w:rsidR="00CF1E01">
        <w:t xml:space="preserve">. </w:t>
      </w:r>
    </w:p>
    <w:p w:rsidR="004F2390" w:rsidRDefault="004F2390" w:rsidP="00000A8D">
      <w:pPr>
        <w:autoSpaceDE w:val="0"/>
        <w:autoSpaceDN w:val="0"/>
        <w:adjustRightInd w:val="0"/>
        <w:jc w:val="both"/>
      </w:pPr>
    </w:p>
    <w:p w:rsidR="00042440" w:rsidRPr="00042440" w:rsidRDefault="0090294A" w:rsidP="00000A8D">
      <w:pPr>
        <w:jc w:val="both"/>
        <w:rPr>
          <w:iCs/>
        </w:rPr>
      </w:pPr>
      <w:r w:rsidRPr="00D37773">
        <w:rPr>
          <w:b/>
        </w:rPr>
        <w:sym w:font="Symbol" w:char="F0AE"/>
      </w:r>
      <w:r w:rsidRPr="00D37773">
        <w:rPr>
          <w:b/>
        </w:rPr>
        <w:t xml:space="preserve"> H(b)</w:t>
      </w:r>
      <w:r w:rsidRPr="00D37773">
        <w:t>,</w:t>
      </w:r>
      <w:r w:rsidR="00897710" w:rsidRPr="00D37773">
        <w:t xml:space="preserve"> </w:t>
      </w:r>
      <w:r w:rsidR="00F84DF4">
        <w:t xml:space="preserve">trata-se de uma variável calculada pelo IPEA, que </w:t>
      </w:r>
      <w:r w:rsidR="00D37773" w:rsidRPr="00D37773">
        <w:t xml:space="preserve">corresponde à variação percentual do </w:t>
      </w:r>
      <w:r w:rsidR="00D37773" w:rsidRPr="00D37773">
        <w:rPr>
          <w:color w:val="000000"/>
        </w:rPr>
        <w:t>valor esperado presente dos rendimentos anuais (descontados a 10% a.a.) associados à escolaridade e experiência (idade) da população em idade ativa (</w:t>
      </w:r>
      <w:smartTag w:uri="urn:schemas-microsoft-com:office:smarttags" w:element="metricconverter">
        <w:smartTagPr>
          <w:attr w:name="ProductID" w:val="15 a"/>
        </w:smartTagPr>
        <w:r w:rsidR="00D37773" w:rsidRPr="00D37773">
          <w:rPr>
            <w:color w:val="000000"/>
          </w:rPr>
          <w:t>15 a</w:t>
        </w:r>
      </w:smartTag>
      <w:r w:rsidR="00D37773" w:rsidRPr="00D37773">
        <w:rPr>
          <w:color w:val="000000"/>
        </w:rPr>
        <w:t xml:space="preserve"> 65 anos). O estoque de capital humano é calculado pela diferença entre o rendimento obtido no mercado de trabalho e a estimativa daquele obtido por um trabalhador sem escolaridade e experiência. Para se estimar os rendimentos futuros esperados utilizam-se os coeficientes de retorno à educação e à experiência, estimados pe</w:t>
      </w:r>
      <w:r w:rsidR="00D37773">
        <w:rPr>
          <w:color w:val="000000"/>
        </w:rPr>
        <w:t xml:space="preserve">los dados do Censo Demográficos. </w:t>
      </w:r>
      <w:r w:rsidR="00D37773" w:rsidRPr="00D37773">
        <w:rPr>
          <w:color w:val="000000"/>
        </w:rPr>
        <w:t xml:space="preserve">Deflacionado pelo IPCA. </w:t>
      </w:r>
      <w:r w:rsidR="0094592B">
        <w:rPr>
          <w:iCs/>
        </w:rPr>
        <w:t xml:space="preserve">Pereira </w:t>
      </w:r>
      <w:r w:rsidR="0094592B" w:rsidRPr="00915FFB">
        <w:rPr>
          <w:i/>
          <w:iCs/>
        </w:rPr>
        <w:t>et al</w:t>
      </w:r>
      <w:r w:rsidR="0094592B">
        <w:rPr>
          <w:iCs/>
        </w:rPr>
        <w:t xml:space="preserve"> (2010) foram alguns dos autores que utilizaram esta variável.</w:t>
      </w:r>
    </w:p>
    <w:p w:rsidR="00FF2B93" w:rsidRDefault="00FF2B93" w:rsidP="00000A8D">
      <w:pPr>
        <w:jc w:val="both"/>
        <w:rPr>
          <w:b/>
        </w:rPr>
      </w:pPr>
    </w:p>
    <w:p w:rsidR="00FF2B93" w:rsidRDefault="0088177D" w:rsidP="00000A8D">
      <w:pPr>
        <w:jc w:val="both"/>
        <w:rPr>
          <w:b/>
        </w:rPr>
      </w:pPr>
      <w:r>
        <w:rPr>
          <w:b/>
        </w:rPr>
        <w:t>4</w:t>
      </w:r>
      <w:r w:rsidR="00FF2B93">
        <w:rPr>
          <w:b/>
        </w:rPr>
        <w:t>. Análise Exploratória Espacial da Variável Dependente</w:t>
      </w:r>
    </w:p>
    <w:p w:rsidR="00FF2B93" w:rsidRDefault="00FF2B93" w:rsidP="00000A8D">
      <w:pPr>
        <w:jc w:val="both"/>
        <w:rPr>
          <w:b/>
        </w:rPr>
      </w:pPr>
    </w:p>
    <w:p w:rsidR="009164CE" w:rsidRDefault="00FF2B93" w:rsidP="00000A8D">
      <w:pPr>
        <w:ind w:firstLine="357"/>
        <w:jc w:val="both"/>
      </w:pPr>
      <w:r w:rsidRPr="00045FD6">
        <w:lastRenderedPageBreak/>
        <w:t xml:space="preserve">Nesta seção, será analisada se há presença de autocorrelação espacial na variação </w:t>
      </w:r>
      <w:r w:rsidR="00B968D5" w:rsidRPr="00045FD6">
        <w:t xml:space="preserve">percentual </w:t>
      </w:r>
      <w:r w:rsidRPr="00045FD6">
        <w:t xml:space="preserve">da renda </w:t>
      </w:r>
      <w:r w:rsidRPr="00045FD6">
        <w:rPr>
          <w:i/>
        </w:rPr>
        <w:t>per capta</w:t>
      </w:r>
      <w:r w:rsidRPr="00045FD6">
        <w:t xml:space="preserve"> nos municípios mineiros</w:t>
      </w:r>
      <w:r w:rsidR="0074276A" w:rsidRPr="00045FD6">
        <w:t xml:space="preserve"> “Y”</w:t>
      </w:r>
      <w:r w:rsidRPr="00045FD6">
        <w:t xml:space="preserve">, no período de </w:t>
      </w:r>
      <w:smartTag w:uri="urn:schemas-microsoft-com:office:smarttags" w:element="metricconverter">
        <w:smartTagPr>
          <w:attr w:name="ProductID" w:val="1991 a"/>
        </w:smartTagPr>
        <w:r w:rsidRPr="00045FD6">
          <w:t>1991 a</w:t>
        </w:r>
      </w:smartTag>
      <w:r w:rsidRPr="00045FD6">
        <w:t xml:space="preserve"> 2000. Ou seja, será verificada a hipótese de aleatoriedade espacial dos dados.</w:t>
      </w:r>
      <w:r w:rsidR="0074276A" w:rsidRPr="00045FD6">
        <w:t xml:space="preserve"> Para este fim, serão implementados instrumentos de AEDE (Análise Exploratória de Dados Espaciais).</w:t>
      </w:r>
      <w:r w:rsidR="00F80A14" w:rsidRPr="00045FD6">
        <w:t xml:space="preserve"> </w:t>
      </w:r>
      <w:r w:rsidR="009164CE" w:rsidRPr="00045FD6">
        <w:t xml:space="preserve">O primeiro passo para atingir o objetivo delineado acima, é a determinação de uma matriz de pesos espaciais. </w:t>
      </w:r>
      <w:r w:rsidR="00045FD6" w:rsidRPr="00045FD6">
        <w:t xml:space="preserve">Segundo Almeida (2007), a matriz de pesos é a forma de expressar a estrutura espacial dos dados. Há na literatura um grande número de matrizes de pesos espaciais. É possível implementar um AEDE com base em uma matriz de continuidade binária ou por meio de uma estrutura de conectividade mais complexa. A matriz de pesos espaciais </w:t>
      </w:r>
      <w:r w:rsidR="00045FD6" w:rsidRPr="00045FD6">
        <w:rPr>
          <w:i/>
          <w:iCs/>
        </w:rPr>
        <w:t>W</w:t>
      </w:r>
      <w:r w:rsidR="00045FD6" w:rsidRPr="00045FD6">
        <w:t xml:space="preserve">, utilizada neste trabalho, está baseada </w:t>
      </w:r>
      <w:r w:rsidR="0057438C">
        <w:t>no princípio</w:t>
      </w:r>
      <w:r w:rsidR="00045FD6" w:rsidRPr="00045FD6">
        <w:t xml:space="preserve"> dos </w:t>
      </w:r>
      <w:r w:rsidR="00045FD6" w:rsidRPr="00045FD6">
        <w:rPr>
          <w:i/>
          <w:iCs/>
        </w:rPr>
        <w:t>k</w:t>
      </w:r>
      <w:r w:rsidR="00045FD6" w:rsidRPr="00045FD6">
        <w:t xml:space="preserve"> vizinhos mais próximos. Ela foi calculada utilizando a idéia de grande círculo entre os centros das regiões. A escolha da matriz de pesos espaciais é muito importante em uma análise AEDE, pois todos os passos subseqüentes (ou resultados) dependerão desta seleção.</w:t>
      </w:r>
      <w:r w:rsidR="00045FD6">
        <w:t xml:space="preserve"> </w:t>
      </w:r>
      <w:r w:rsidR="009164CE" w:rsidRPr="00045FD6">
        <w:t>Neste caso, será utilizada a matriz de contigüidade de “K=5” vizinhos mais pr</w:t>
      </w:r>
      <w:r w:rsidR="00CF21A3" w:rsidRPr="00045FD6">
        <w:t xml:space="preserve">óximos, pois esta apresentou a maior </w:t>
      </w:r>
      <w:r w:rsidR="00CF21A3" w:rsidRPr="00045FD6">
        <w:rPr>
          <w:i/>
        </w:rPr>
        <w:t>I</w:t>
      </w:r>
      <w:r w:rsidR="00CF21A3" w:rsidRPr="00045FD6">
        <w:t xml:space="preserve"> de Moran, quando comparada com outras matrizes de pesos espaciais</w:t>
      </w:r>
      <w:r w:rsidR="00897D0F">
        <w:rPr>
          <w:rStyle w:val="Refdenotaderodap"/>
        </w:rPr>
        <w:footnoteReference w:id="9"/>
      </w:r>
      <w:r w:rsidR="00CF21A3" w:rsidRPr="00045FD6">
        <w:t>.</w:t>
      </w:r>
    </w:p>
    <w:p w:rsidR="004F2390" w:rsidRPr="00045FD6" w:rsidRDefault="004F2390" w:rsidP="00000A8D">
      <w:pPr>
        <w:ind w:firstLine="357"/>
        <w:jc w:val="both"/>
      </w:pPr>
    </w:p>
    <w:p w:rsidR="00B97F94" w:rsidRDefault="00CF21A3" w:rsidP="00000A8D">
      <w:pPr>
        <w:ind w:firstLine="360"/>
        <w:jc w:val="both"/>
      </w:pPr>
      <w:r w:rsidRPr="006D3A3D">
        <w:t>Inicialmente</w:t>
      </w:r>
      <w:r w:rsidR="0074276A" w:rsidRPr="006D3A3D">
        <w:t xml:space="preserve"> será analisado o índice </w:t>
      </w:r>
      <w:r w:rsidR="0074276A" w:rsidRPr="006D3A3D">
        <w:rPr>
          <w:i/>
          <w:iCs/>
        </w:rPr>
        <w:t xml:space="preserve">I </w:t>
      </w:r>
      <w:r w:rsidR="0074276A" w:rsidRPr="006D3A3D">
        <w:t>de Moran</w:t>
      </w:r>
      <w:r w:rsidR="006A4D5E">
        <w:rPr>
          <w:rStyle w:val="Refdenotaderodap"/>
        </w:rPr>
        <w:footnoteReference w:id="10"/>
      </w:r>
      <w:r w:rsidR="006A4D5E">
        <w:t>,</w:t>
      </w:r>
      <w:r w:rsidR="0074276A" w:rsidRPr="006D3A3D">
        <w:t xml:space="preserve"> onde valores </w:t>
      </w:r>
      <w:r w:rsidR="00E62D09" w:rsidRPr="006D3A3D">
        <w:t xml:space="preserve">de </w:t>
      </w:r>
      <w:r w:rsidR="00E62D09" w:rsidRPr="006D3A3D">
        <w:rPr>
          <w:i/>
        </w:rPr>
        <w:t>I</w:t>
      </w:r>
      <w:r w:rsidR="00E62D09" w:rsidRPr="006D3A3D">
        <w:t xml:space="preserve"> maiores (ou menores) do que o </w:t>
      </w:r>
      <w:r w:rsidR="00C35433" w:rsidRPr="006D3A3D">
        <w:t xml:space="preserve">seu </w:t>
      </w:r>
      <w:r w:rsidR="00E62D09" w:rsidRPr="006D3A3D">
        <w:t xml:space="preserve">valor </w:t>
      </w:r>
      <w:r w:rsidR="009164CE" w:rsidRPr="006D3A3D">
        <w:t>esperado</w:t>
      </w:r>
      <w:r w:rsidR="006A4D5E">
        <w:t xml:space="preserve"> </w:t>
      </w:r>
      <w:r w:rsidR="00E62D09" w:rsidRPr="006D3A3D">
        <w:rPr>
          <w:i/>
          <w:iCs/>
        </w:rPr>
        <w:t>E</w:t>
      </w:r>
      <w:r w:rsidR="00E62D09" w:rsidRPr="006D3A3D">
        <w:rPr>
          <w:rFonts w:eastAsia="SymbolMT"/>
        </w:rPr>
        <w:t>(</w:t>
      </w:r>
      <w:r w:rsidR="00E62D09" w:rsidRPr="006D3A3D">
        <w:rPr>
          <w:i/>
          <w:iCs/>
        </w:rPr>
        <w:t xml:space="preserve">I </w:t>
      </w:r>
      <w:r w:rsidR="00E62D09" w:rsidRPr="006D3A3D">
        <w:rPr>
          <w:rFonts w:eastAsia="SymbolMT"/>
        </w:rPr>
        <w:t>) = −</w:t>
      </w:r>
      <w:r w:rsidR="00E62D09" w:rsidRPr="006D3A3D">
        <w:t xml:space="preserve">1 </w:t>
      </w:r>
      <w:r w:rsidR="00E62D09" w:rsidRPr="006D3A3D">
        <w:rPr>
          <w:rFonts w:eastAsia="SymbolMT"/>
        </w:rPr>
        <w:t>(</w:t>
      </w:r>
      <w:r w:rsidR="00E62D09" w:rsidRPr="006D3A3D">
        <w:rPr>
          <w:i/>
          <w:iCs/>
        </w:rPr>
        <w:t xml:space="preserve">n </w:t>
      </w:r>
      <w:r w:rsidR="00E62D09" w:rsidRPr="006D3A3D">
        <w:rPr>
          <w:rFonts w:eastAsia="SymbolMT"/>
        </w:rPr>
        <w:t>−</w:t>
      </w:r>
      <w:r w:rsidR="00E62D09" w:rsidRPr="006D3A3D">
        <w:t>1</w:t>
      </w:r>
      <w:r w:rsidR="00E62D09" w:rsidRPr="006D3A3D">
        <w:rPr>
          <w:rFonts w:eastAsia="SymbolMT"/>
        </w:rPr>
        <w:t>)</w:t>
      </w:r>
      <w:r w:rsidR="00B968D5" w:rsidRPr="006D3A3D">
        <w:rPr>
          <w:rFonts w:eastAsia="SymbolMT"/>
        </w:rPr>
        <w:t xml:space="preserve">, significam que há autocorrelação positiva (negativa). </w:t>
      </w:r>
      <w:r w:rsidR="006A4D5E">
        <w:rPr>
          <w:rFonts w:eastAsia="SymbolMT"/>
        </w:rPr>
        <w:t>Logo</w:t>
      </w:r>
      <w:r w:rsidR="00B968D5" w:rsidRPr="006D3A3D">
        <w:rPr>
          <w:rFonts w:eastAsia="SymbolMT"/>
        </w:rPr>
        <w:t xml:space="preserve">, uma indicação de autocorrelação espacial positiva significa que os municípios mineiros que apresentaram um elevado índice de crescimento </w:t>
      </w:r>
      <w:r w:rsidR="00B968D5" w:rsidRPr="006D3A3D">
        <w:rPr>
          <w:rFonts w:eastAsia="SymbolMT"/>
          <w:i/>
        </w:rPr>
        <w:t>per capta</w:t>
      </w:r>
      <w:r w:rsidR="00B968D5" w:rsidRPr="006D3A3D">
        <w:rPr>
          <w:rFonts w:eastAsia="SymbolMT"/>
        </w:rPr>
        <w:t xml:space="preserve"> no período de 1991-2000, estão cercados de municípios que também obtiveram crescimento </w:t>
      </w:r>
      <w:r w:rsidR="00B968D5" w:rsidRPr="006D3A3D">
        <w:rPr>
          <w:rFonts w:eastAsia="SymbolMT"/>
          <w:i/>
        </w:rPr>
        <w:t>per capta</w:t>
      </w:r>
      <w:r w:rsidR="006A4D5E">
        <w:rPr>
          <w:rFonts w:eastAsia="SymbolMT"/>
        </w:rPr>
        <w:t xml:space="preserve"> elevado.</w:t>
      </w:r>
      <w:r w:rsidR="00B968D5" w:rsidRPr="006D3A3D">
        <w:rPr>
          <w:rFonts w:eastAsia="SymbolMT"/>
        </w:rPr>
        <w:t xml:space="preserve"> </w:t>
      </w:r>
      <w:r w:rsidR="006A4D5E">
        <w:rPr>
          <w:rFonts w:eastAsia="SymbolMT"/>
        </w:rPr>
        <w:t>Analogamente,</w:t>
      </w:r>
      <w:r w:rsidR="00B968D5" w:rsidRPr="006D3A3D">
        <w:rPr>
          <w:rFonts w:eastAsia="SymbolMT"/>
        </w:rPr>
        <w:t xml:space="preserve"> </w:t>
      </w:r>
      <w:r w:rsidR="006A4D5E">
        <w:rPr>
          <w:rFonts w:eastAsia="SymbolMT"/>
        </w:rPr>
        <w:t>um valor negativo indica que os</w:t>
      </w:r>
      <w:r w:rsidR="00B968D5" w:rsidRPr="006D3A3D">
        <w:rPr>
          <w:rFonts w:eastAsia="SymbolMT"/>
        </w:rPr>
        <w:t xml:space="preserve"> municípios com baixo índice de crescimento pe</w:t>
      </w:r>
      <w:r w:rsidR="00B968D5" w:rsidRPr="006D3A3D">
        <w:rPr>
          <w:rFonts w:eastAsia="SymbolMT"/>
          <w:i/>
        </w:rPr>
        <w:t xml:space="preserve">r capta </w:t>
      </w:r>
      <w:r w:rsidR="00B968D5" w:rsidRPr="006D3A3D">
        <w:rPr>
          <w:rFonts w:eastAsia="SymbolMT"/>
        </w:rPr>
        <w:t xml:space="preserve">estão cercados de municípios que também apresentaram índices pequenos. </w:t>
      </w:r>
      <w:r w:rsidR="00440914" w:rsidRPr="006D3A3D">
        <w:t xml:space="preserve">Segundo Cliff e Ord (1981), em termos formais, a estatística </w:t>
      </w:r>
      <w:r w:rsidR="00440914" w:rsidRPr="006D3A3D">
        <w:rPr>
          <w:i/>
        </w:rPr>
        <w:t>I</w:t>
      </w:r>
      <w:r w:rsidR="00440914" w:rsidRPr="006D3A3D">
        <w:t xml:space="preserve"> de Moran pode ser expressa como:</w:t>
      </w:r>
    </w:p>
    <w:p w:rsidR="004F2390" w:rsidRDefault="004F2390" w:rsidP="00000A8D">
      <w:pPr>
        <w:ind w:firstLine="360"/>
        <w:jc w:val="both"/>
      </w:pPr>
    </w:p>
    <w:p w:rsidR="00B3685B" w:rsidRPr="006D3A3D" w:rsidRDefault="00D2285D" w:rsidP="00000A8D">
      <w:pPr>
        <w:ind w:firstLine="360"/>
        <w:jc w:val="both"/>
      </w:pPr>
      <w:r>
        <w:rPr>
          <w:noProof/>
        </w:rPr>
        <w:pict>
          <v:shape id="_x0000_s1030" type="#_x0000_t75" style="position:absolute;left:0;text-align:left;margin-left:0;margin-top:4.4pt;width:92pt;height:38pt;z-index:251653120">
            <v:imagedata r:id="rId24" o:title=""/>
          </v:shape>
          <o:OLEObject Type="Embed" ProgID="Equation.3" ShapeID="_x0000_s1030" DrawAspect="Content" ObjectID="_1372651351" r:id="rId25"/>
        </w:pict>
      </w:r>
    </w:p>
    <w:p w:rsidR="00897307" w:rsidRDefault="00176CCA" w:rsidP="00000A8D">
      <w:pPr>
        <w:jc w:val="both"/>
        <w:rPr>
          <w:bCs/>
          <w:color w:val="000000"/>
        </w:rPr>
      </w:pPr>
      <w:r>
        <w:t xml:space="preserve">                                 </w:t>
      </w:r>
      <w:r>
        <w:rPr>
          <w:b/>
          <w:bCs/>
          <w:color w:val="000000"/>
        </w:rPr>
        <w:t xml:space="preserve"> </w:t>
      </w:r>
      <w:r>
        <w:rPr>
          <w:bCs/>
          <w:color w:val="000000"/>
        </w:rPr>
        <w:t xml:space="preserve">t </w:t>
      </w:r>
      <w:r w:rsidRPr="00176CCA">
        <w:rPr>
          <w:bCs/>
          <w:color w:val="000000"/>
        </w:rPr>
        <w:t>= 1,...n</w:t>
      </w:r>
      <w:r>
        <w:rPr>
          <w:bCs/>
          <w:color w:val="000000"/>
        </w:rPr>
        <w:t xml:space="preserve">                                                                                       </w:t>
      </w:r>
      <w:r w:rsidR="00157A96">
        <w:rPr>
          <w:bCs/>
          <w:color w:val="000000"/>
        </w:rPr>
        <w:t xml:space="preserve">          </w:t>
      </w:r>
      <w:r w:rsidR="00787F94">
        <w:rPr>
          <w:bCs/>
          <w:color w:val="000000"/>
        </w:rPr>
        <w:t>(10</w:t>
      </w:r>
      <w:r>
        <w:rPr>
          <w:bCs/>
          <w:color w:val="000000"/>
        </w:rPr>
        <w:t>)</w:t>
      </w:r>
    </w:p>
    <w:p w:rsidR="00FD151A" w:rsidRDefault="00FD151A" w:rsidP="00000A8D">
      <w:pPr>
        <w:autoSpaceDE w:val="0"/>
        <w:autoSpaceDN w:val="0"/>
        <w:adjustRightInd w:val="0"/>
        <w:jc w:val="both"/>
      </w:pPr>
    </w:p>
    <w:p w:rsidR="004F2390" w:rsidRDefault="004F2390" w:rsidP="00000A8D">
      <w:pPr>
        <w:autoSpaceDE w:val="0"/>
        <w:autoSpaceDN w:val="0"/>
        <w:adjustRightInd w:val="0"/>
        <w:ind w:firstLine="360"/>
        <w:jc w:val="both"/>
      </w:pPr>
    </w:p>
    <w:p w:rsidR="00897307" w:rsidRDefault="00897307" w:rsidP="00000A8D">
      <w:pPr>
        <w:autoSpaceDE w:val="0"/>
        <w:autoSpaceDN w:val="0"/>
        <w:adjustRightInd w:val="0"/>
        <w:ind w:firstLine="360"/>
        <w:jc w:val="both"/>
      </w:pPr>
      <w:r w:rsidRPr="00897307">
        <w:t xml:space="preserve">Onde </w:t>
      </w:r>
      <w:r w:rsidRPr="00897307">
        <w:rPr>
          <w:i/>
          <w:iCs/>
        </w:rPr>
        <w:t xml:space="preserve">zt </w:t>
      </w:r>
      <w:r w:rsidRPr="00897307">
        <w:t xml:space="preserve">é o vetor de </w:t>
      </w:r>
      <w:r w:rsidRPr="00897307">
        <w:rPr>
          <w:i/>
          <w:iCs/>
        </w:rPr>
        <w:t xml:space="preserve">n </w:t>
      </w:r>
      <w:r w:rsidRPr="00897307">
        <w:t xml:space="preserve">observações para o ano </w:t>
      </w:r>
      <w:r w:rsidRPr="00897307">
        <w:rPr>
          <w:i/>
          <w:iCs/>
        </w:rPr>
        <w:t xml:space="preserve">t </w:t>
      </w:r>
      <w:r w:rsidRPr="00897307">
        <w:t xml:space="preserve">na forma de desvio em relação à média. </w:t>
      </w:r>
      <w:r w:rsidRPr="00897307">
        <w:rPr>
          <w:i/>
          <w:iCs/>
        </w:rPr>
        <w:t xml:space="preserve">W </w:t>
      </w:r>
      <w:r w:rsidRPr="00897307">
        <w:t xml:space="preserve">é a matriz de pesos espaciais: os elementos </w:t>
      </w:r>
      <w:r w:rsidRPr="00897307">
        <w:rPr>
          <w:i/>
          <w:iCs/>
        </w:rPr>
        <w:t xml:space="preserve">wii </w:t>
      </w:r>
      <w:r w:rsidRPr="00897307">
        <w:t>na diagonal são</w:t>
      </w:r>
      <w:r>
        <w:t xml:space="preserve"> iguais à</w:t>
      </w:r>
      <w:r w:rsidRPr="00897307">
        <w:t xml:space="preserve"> zero, enquanto que os elementos </w:t>
      </w:r>
      <w:r w:rsidRPr="00897307">
        <w:rPr>
          <w:i/>
          <w:iCs/>
        </w:rPr>
        <w:t xml:space="preserve">wij </w:t>
      </w:r>
      <w:r w:rsidRPr="00897307">
        <w:t xml:space="preserve">indicam a forma como a região </w:t>
      </w:r>
      <w:r w:rsidRPr="00897307">
        <w:rPr>
          <w:i/>
          <w:iCs/>
        </w:rPr>
        <w:t xml:space="preserve">i </w:t>
      </w:r>
      <w:r w:rsidRPr="00897307">
        <w:t xml:space="preserve">está espacialmente conectada com a região </w:t>
      </w:r>
      <w:r w:rsidRPr="00897307">
        <w:rPr>
          <w:i/>
          <w:iCs/>
        </w:rPr>
        <w:t xml:space="preserve">j. </w:t>
      </w:r>
      <w:r w:rsidRPr="00897307">
        <w:t xml:space="preserve">O termo </w:t>
      </w:r>
      <w:r w:rsidRPr="00897307">
        <w:rPr>
          <w:i/>
          <w:iCs/>
        </w:rPr>
        <w:t xml:space="preserve">So </w:t>
      </w:r>
      <w:r w:rsidRPr="00897307">
        <w:t xml:space="preserve">é um escalar igual à soma de todos os elementos de </w:t>
      </w:r>
      <w:r w:rsidRPr="00897307">
        <w:rPr>
          <w:i/>
          <w:iCs/>
        </w:rPr>
        <w:t>W</w:t>
      </w:r>
      <w:r w:rsidRPr="00897307">
        <w:t xml:space="preserve">. Quando a matriz de pesos espaciais é normalizada na linha, isto é, quando os elementos de cada linha somam um, a expressão </w:t>
      </w:r>
      <w:r w:rsidR="00EF5174">
        <w:rPr>
          <w:color w:val="000000"/>
        </w:rPr>
        <w:t>(10</w:t>
      </w:r>
      <w:r w:rsidRPr="00FD151A">
        <w:rPr>
          <w:color w:val="000000"/>
        </w:rPr>
        <w:t>)</w:t>
      </w:r>
      <w:r w:rsidRPr="00897307">
        <w:t xml:space="preserve"> será da seguinte forma:</w:t>
      </w:r>
    </w:p>
    <w:p w:rsidR="00FD151A" w:rsidRDefault="00FD151A" w:rsidP="00000A8D">
      <w:pPr>
        <w:autoSpaceDE w:val="0"/>
        <w:autoSpaceDN w:val="0"/>
        <w:adjustRightInd w:val="0"/>
        <w:ind w:firstLine="360"/>
        <w:jc w:val="both"/>
      </w:pPr>
    </w:p>
    <w:p w:rsidR="00897307" w:rsidRDefault="00D2285D" w:rsidP="00000A8D">
      <w:pPr>
        <w:autoSpaceDE w:val="0"/>
        <w:autoSpaceDN w:val="0"/>
        <w:adjustRightInd w:val="0"/>
        <w:jc w:val="both"/>
      </w:pPr>
      <w:r>
        <w:rPr>
          <w:noProof/>
        </w:rPr>
        <w:pict>
          <v:shape id="_x0000_s1031" type="#_x0000_t75" style="position:absolute;left:0;text-align:left;margin-left:0;margin-top:-.55pt;width:66pt;height:38pt;z-index:251654144">
            <v:imagedata r:id="rId26" o:title=""/>
          </v:shape>
          <o:OLEObject Type="Embed" ProgID="Equation.3" ShapeID="_x0000_s1031" DrawAspect="Content" ObjectID="_1372651352" r:id="rId27"/>
        </w:pict>
      </w:r>
    </w:p>
    <w:p w:rsidR="00897307" w:rsidRDefault="00897307" w:rsidP="00000A8D">
      <w:pPr>
        <w:ind w:firstLine="360"/>
        <w:jc w:val="both"/>
        <w:rPr>
          <w:bCs/>
          <w:color w:val="000000"/>
        </w:rPr>
      </w:pPr>
      <w:r>
        <w:t xml:space="preserve">                   </w:t>
      </w:r>
      <w:r>
        <w:rPr>
          <w:b/>
          <w:bCs/>
          <w:color w:val="000000"/>
        </w:rPr>
        <w:t xml:space="preserve">  </w:t>
      </w:r>
      <w:r>
        <w:rPr>
          <w:bCs/>
          <w:color w:val="000000"/>
        </w:rPr>
        <w:t xml:space="preserve">t </w:t>
      </w:r>
      <w:r w:rsidRPr="00176CCA">
        <w:rPr>
          <w:bCs/>
          <w:color w:val="000000"/>
        </w:rPr>
        <w:t>= 1,...n</w:t>
      </w:r>
      <w:r>
        <w:rPr>
          <w:bCs/>
          <w:color w:val="000000"/>
        </w:rPr>
        <w:t xml:space="preserve">                                                                                            </w:t>
      </w:r>
      <w:r w:rsidR="00157A96">
        <w:rPr>
          <w:bCs/>
          <w:color w:val="000000"/>
        </w:rPr>
        <w:t xml:space="preserve">          </w:t>
      </w:r>
      <w:r w:rsidR="00787F94">
        <w:rPr>
          <w:bCs/>
          <w:color w:val="000000"/>
        </w:rPr>
        <w:t xml:space="preserve">  (11</w:t>
      </w:r>
      <w:r>
        <w:rPr>
          <w:bCs/>
          <w:color w:val="000000"/>
        </w:rPr>
        <w:t>)</w:t>
      </w:r>
    </w:p>
    <w:p w:rsidR="00FD151A" w:rsidRDefault="00FD151A" w:rsidP="00000A8D">
      <w:pPr>
        <w:jc w:val="both"/>
        <w:rPr>
          <w:bCs/>
          <w:color w:val="000000"/>
        </w:rPr>
      </w:pPr>
    </w:p>
    <w:p w:rsidR="004F2390" w:rsidRDefault="004F2390" w:rsidP="00000A8D">
      <w:pPr>
        <w:ind w:firstLine="360"/>
        <w:jc w:val="both"/>
      </w:pPr>
    </w:p>
    <w:p w:rsidR="00B3685B" w:rsidRDefault="00514C68" w:rsidP="00000A8D">
      <w:pPr>
        <w:ind w:firstLine="360"/>
        <w:jc w:val="both"/>
      </w:pPr>
      <w:r w:rsidRPr="006D3A3D">
        <w:t>Segundo Anselin (1996)</w:t>
      </w:r>
      <w:r w:rsidR="009F180F" w:rsidRPr="006D3A3D">
        <w:t>,</w:t>
      </w:r>
      <w:r w:rsidRPr="006D3A3D">
        <w:t xml:space="preserve"> pode</w:t>
      </w:r>
      <w:r w:rsidR="00787F94">
        <w:t>-se</w:t>
      </w:r>
      <w:r w:rsidRPr="006D3A3D">
        <w:t xml:space="preserve"> ana</w:t>
      </w:r>
      <w:r w:rsidR="00687334" w:rsidRPr="006D3A3D">
        <w:t>l</w:t>
      </w:r>
      <w:r w:rsidRPr="006D3A3D">
        <w:t xml:space="preserve">isar o </w:t>
      </w:r>
      <w:r w:rsidRPr="006D3A3D">
        <w:rPr>
          <w:i/>
        </w:rPr>
        <w:t>I</w:t>
      </w:r>
      <w:r w:rsidRPr="006D3A3D">
        <w:t xml:space="preserve"> de Moran </w:t>
      </w:r>
      <w:r w:rsidR="009F180F" w:rsidRPr="006D3A3D">
        <w:t xml:space="preserve"> através do Diagrama de Dispersão de Moran,</w:t>
      </w:r>
      <w:r w:rsidR="00831EE5" w:rsidRPr="006D3A3D">
        <w:t xml:space="preserve"> trata-se de uma representação do coeficiente de regressão e permite visualizar a</w:t>
      </w:r>
      <w:r w:rsidR="00831EE5" w:rsidRPr="006D3A3D">
        <w:rPr>
          <w:i/>
          <w:iCs/>
        </w:rPr>
        <w:t xml:space="preserve"> </w:t>
      </w:r>
      <w:r w:rsidR="00831EE5" w:rsidRPr="006D3A3D">
        <w:t xml:space="preserve">correlação linear entre </w:t>
      </w:r>
      <w:r w:rsidR="00831EE5" w:rsidRPr="006D3A3D">
        <w:rPr>
          <w:i/>
          <w:iCs/>
        </w:rPr>
        <w:t xml:space="preserve">z </w:t>
      </w:r>
      <w:r w:rsidR="00831EE5" w:rsidRPr="006D3A3D">
        <w:t xml:space="preserve">e </w:t>
      </w:r>
      <w:r w:rsidR="00831EE5" w:rsidRPr="006D3A3D">
        <w:rPr>
          <w:i/>
          <w:iCs/>
        </w:rPr>
        <w:t xml:space="preserve">Wz </w:t>
      </w:r>
      <w:r w:rsidR="00831EE5" w:rsidRPr="006D3A3D">
        <w:t xml:space="preserve">por meio do gráfico de duas variáveis. </w:t>
      </w:r>
      <w:r w:rsidR="00687334" w:rsidRPr="006D3A3D">
        <w:t xml:space="preserve">O coeficiente </w:t>
      </w:r>
      <w:r w:rsidR="00687334" w:rsidRPr="006D3A3D">
        <w:rPr>
          <w:i/>
          <w:iCs/>
        </w:rPr>
        <w:t xml:space="preserve">I </w:t>
      </w:r>
      <w:r w:rsidR="00687334" w:rsidRPr="006D3A3D">
        <w:t xml:space="preserve">de Moran será a inclinação da curva de regressão de </w:t>
      </w:r>
      <w:r w:rsidR="00687334" w:rsidRPr="006D3A3D">
        <w:rPr>
          <w:i/>
          <w:iCs/>
        </w:rPr>
        <w:t xml:space="preserve">Wz </w:t>
      </w:r>
      <w:r w:rsidR="00687334" w:rsidRPr="006D3A3D">
        <w:t xml:space="preserve">contra </w:t>
      </w:r>
      <w:r w:rsidR="00687334" w:rsidRPr="006D3A3D">
        <w:rPr>
          <w:i/>
          <w:iCs/>
        </w:rPr>
        <w:t xml:space="preserve">z </w:t>
      </w:r>
      <w:r w:rsidR="00687334" w:rsidRPr="006D3A3D">
        <w:t>e indicará o seu grau de ajustamento.</w:t>
      </w:r>
      <w:r w:rsidR="00140F86" w:rsidRPr="006D3A3D">
        <w:t xml:space="preserve"> </w:t>
      </w:r>
      <w:r w:rsidR="00831EE5" w:rsidRPr="006D3A3D">
        <w:t>O</w:t>
      </w:r>
      <w:r w:rsidR="009F180F" w:rsidRPr="006D3A3D">
        <w:t xml:space="preserve"> diagrama apresenta na abscissa a variável em análise (variação percentual da Renda </w:t>
      </w:r>
      <w:r w:rsidR="009F180F" w:rsidRPr="006D3A3D">
        <w:rPr>
          <w:i/>
        </w:rPr>
        <w:t>per capta</w:t>
      </w:r>
      <w:r w:rsidR="009F180F" w:rsidRPr="006D3A3D">
        <w:t xml:space="preserve"> dos municípios, “Y”) e na ordenada, a mesma variável defasada </w:t>
      </w:r>
      <w:r w:rsidR="009F180F" w:rsidRPr="006D3A3D">
        <w:lastRenderedPageBreak/>
        <w:t xml:space="preserve">espacialmente por uma matriz de pesos espaciais “z” </w:t>
      </w:r>
      <w:r w:rsidR="00886DE1" w:rsidRPr="006D3A3D">
        <w:t>(média dos vizinhos)</w:t>
      </w:r>
      <w:r w:rsidR="00687334" w:rsidRPr="006D3A3D">
        <w:t xml:space="preserve">. </w:t>
      </w:r>
      <w:r w:rsidR="009F180F" w:rsidRPr="006D3A3D">
        <w:t>Através deste diagrama é possível identificar quatro tipos de associação linear espacial: Alto-Alto (AA)</w:t>
      </w:r>
      <w:r w:rsidR="00140F86" w:rsidRPr="006D3A3D">
        <w:t xml:space="preserve"> denota que os municípios que</w:t>
      </w:r>
      <w:r w:rsidR="009F180F" w:rsidRPr="006D3A3D">
        <w:t xml:space="preserve"> </w:t>
      </w:r>
      <w:r w:rsidR="00687334" w:rsidRPr="006D3A3D">
        <w:t xml:space="preserve">obtiveram alto nível de crescimento da renda </w:t>
      </w:r>
      <w:r w:rsidR="00687334" w:rsidRPr="006D3A3D">
        <w:rPr>
          <w:i/>
        </w:rPr>
        <w:t>per capta</w:t>
      </w:r>
      <w:r w:rsidR="00687334" w:rsidRPr="006D3A3D">
        <w:t xml:space="preserve"> são vizinhos de municípios que também obtiveram crescimento elevado. </w:t>
      </w:r>
      <w:r w:rsidR="009F180F" w:rsidRPr="006D3A3D">
        <w:t>Baixo-Baixo (BB),</w:t>
      </w:r>
      <w:r w:rsidR="00687334" w:rsidRPr="006D3A3D">
        <w:t xml:space="preserve"> municípios com baixo índice de crescimento na renda </w:t>
      </w:r>
      <w:r w:rsidR="00687334" w:rsidRPr="006D3A3D">
        <w:rPr>
          <w:i/>
        </w:rPr>
        <w:t>per capta</w:t>
      </w:r>
      <w:r w:rsidR="00687334" w:rsidRPr="006D3A3D">
        <w:t xml:space="preserve"> são viz</w:t>
      </w:r>
      <w:r w:rsidR="00BB4F0C" w:rsidRPr="006D3A3D">
        <w:t>i</w:t>
      </w:r>
      <w:r w:rsidR="00687334" w:rsidRPr="006D3A3D">
        <w:t>nhos que municípios com baixo crescimento.</w:t>
      </w:r>
      <w:r w:rsidR="009F180F" w:rsidRPr="006D3A3D">
        <w:t xml:space="preserve"> Alto-Baixo (AB)</w:t>
      </w:r>
      <w:r w:rsidR="00687334" w:rsidRPr="006D3A3D">
        <w:t xml:space="preserve">, municípios com alto crescimento da renda </w:t>
      </w:r>
      <w:r w:rsidR="00687334" w:rsidRPr="006D3A3D">
        <w:rPr>
          <w:i/>
        </w:rPr>
        <w:t>per capta</w:t>
      </w:r>
      <w:r w:rsidR="00687334" w:rsidRPr="006D3A3D">
        <w:t xml:space="preserve"> são vizinhos de municípios que auferiram baixo crescimento.</w:t>
      </w:r>
      <w:r w:rsidR="00B3685B">
        <w:t xml:space="preserve"> E</w:t>
      </w:r>
      <w:r w:rsidR="009F180F" w:rsidRPr="006D3A3D">
        <w:t xml:space="preserve"> Baixo-Alto (</w:t>
      </w:r>
      <w:r w:rsidR="00F414FC" w:rsidRPr="006D3A3D">
        <w:t>BA)</w:t>
      </w:r>
      <w:r w:rsidR="00687334" w:rsidRPr="006D3A3D">
        <w:t>, municípios com baixo crescimento da renda per capta são vizinhos de municípios com elevado crescimento</w:t>
      </w:r>
      <w:r w:rsidR="00F414FC" w:rsidRPr="006D3A3D">
        <w:t>.</w:t>
      </w:r>
      <w:r w:rsidR="009F180F" w:rsidRPr="006D3A3D">
        <w:t xml:space="preserve"> Como a reta de regressão neste diagrama está inclinada positivamente</w:t>
      </w:r>
      <w:r w:rsidR="00EE37AA" w:rsidRPr="006D3A3D">
        <w:t xml:space="preserve"> (</w:t>
      </w:r>
      <w:r w:rsidR="00300EC1">
        <w:t>Gráfico</w:t>
      </w:r>
      <w:r w:rsidR="00EE37AA" w:rsidRPr="006D3A3D">
        <w:t xml:space="preserve"> 1)</w:t>
      </w:r>
      <w:r w:rsidR="009F180F" w:rsidRPr="006D3A3D">
        <w:t xml:space="preserve">, pode-se dizer que existe autocorrelação espacial positiva. </w:t>
      </w:r>
    </w:p>
    <w:p w:rsidR="00FD151A" w:rsidRPr="006D3A3D" w:rsidRDefault="00FD151A" w:rsidP="00000A8D">
      <w:pPr>
        <w:ind w:firstLine="360"/>
        <w:jc w:val="both"/>
      </w:pPr>
    </w:p>
    <w:p w:rsidR="0029544B" w:rsidRPr="006D3A3D" w:rsidRDefault="00300EC1" w:rsidP="00000A8D">
      <w:pPr>
        <w:ind w:firstLine="708"/>
        <w:jc w:val="center"/>
      </w:pPr>
      <w:r>
        <w:t>Gráfico</w:t>
      </w:r>
      <w:r w:rsidR="0029544B" w:rsidRPr="006D3A3D">
        <w:t xml:space="preserve"> 1</w:t>
      </w:r>
    </w:p>
    <w:p w:rsidR="00EE37AA" w:rsidRDefault="0029544B" w:rsidP="00000A8D">
      <w:pPr>
        <w:ind w:firstLine="708"/>
        <w:jc w:val="center"/>
      </w:pPr>
      <w:r w:rsidRPr="006D3A3D">
        <w:t>Diagrama de Dispersão de Moran do Crescimento de renda per capta, para os municípios de Minas Gerais no período 1991 – 2000.</w:t>
      </w:r>
    </w:p>
    <w:p w:rsidR="00F342B8" w:rsidRDefault="00147348" w:rsidP="00000A8D">
      <w:pPr>
        <w:ind w:firstLine="708"/>
        <w:jc w:val="center"/>
      </w:pPr>
      <w:r>
        <w:rPr>
          <w:noProof/>
        </w:rPr>
        <w:drawing>
          <wp:inline distT="0" distB="0" distL="0" distR="0">
            <wp:extent cx="2486025" cy="2466975"/>
            <wp:effectExtent l="19050" t="19050" r="28575" b="28575"/>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a:srcRect/>
                    <a:stretch>
                      <a:fillRect/>
                    </a:stretch>
                  </pic:blipFill>
                  <pic:spPr bwMode="auto">
                    <a:xfrm>
                      <a:off x="0" y="0"/>
                      <a:ext cx="2486025" cy="2466975"/>
                    </a:xfrm>
                    <a:prstGeom prst="rect">
                      <a:avLst/>
                    </a:prstGeom>
                    <a:noFill/>
                    <a:ln w="6350" cmpd="sng">
                      <a:solidFill>
                        <a:srgbClr val="000000"/>
                      </a:solidFill>
                      <a:miter lim="800000"/>
                      <a:headEnd/>
                      <a:tailEnd/>
                    </a:ln>
                    <a:effectLst/>
                  </pic:spPr>
                </pic:pic>
              </a:graphicData>
            </a:graphic>
          </wp:inline>
        </w:drawing>
      </w:r>
    </w:p>
    <w:p w:rsidR="00C678AE" w:rsidRDefault="0029544B" w:rsidP="00000A8D">
      <w:pPr>
        <w:jc w:val="both"/>
        <w:rPr>
          <w:bCs/>
          <w:color w:val="000000"/>
        </w:rPr>
      </w:pPr>
      <w:r>
        <w:rPr>
          <w:bCs/>
          <w:color w:val="000000"/>
        </w:rPr>
        <w:t xml:space="preserve">                            Fonte: Elaboração próp</w:t>
      </w:r>
      <w:r w:rsidR="00FA7E5A">
        <w:rPr>
          <w:bCs/>
          <w:color w:val="000000"/>
        </w:rPr>
        <w:t>ria do autor com base no GEODA.</w:t>
      </w:r>
    </w:p>
    <w:p w:rsidR="00C678AE" w:rsidRDefault="00C678AE" w:rsidP="00000A8D">
      <w:pPr>
        <w:autoSpaceDE w:val="0"/>
        <w:autoSpaceDN w:val="0"/>
        <w:adjustRightInd w:val="0"/>
        <w:jc w:val="both"/>
        <w:rPr>
          <w:sz w:val="23"/>
          <w:szCs w:val="23"/>
        </w:rPr>
      </w:pPr>
    </w:p>
    <w:p w:rsidR="007954D8" w:rsidRDefault="00FD1019" w:rsidP="00000A8D">
      <w:pPr>
        <w:autoSpaceDE w:val="0"/>
        <w:autoSpaceDN w:val="0"/>
        <w:adjustRightInd w:val="0"/>
        <w:ind w:firstLine="357"/>
        <w:jc w:val="both"/>
      </w:pPr>
      <w:r w:rsidRPr="006D3A3D">
        <w:t xml:space="preserve">O </w:t>
      </w:r>
      <w:r w:rsidRPr="006D3A3D">
        <w:rPr>
          <w:i/>
          <w:iCs/>
        </w:rPr>
        <w:t xml:space="preserve">I </w:t>
      </w:r>
      <w:r w:rsidRPr="006D3A3D">
        <w:t>de Moran apresenta valores positivos e</w:t>
      </w:r>
      <w:r w:rsidRPr="006D3A3D">
        <w:rPr>
          <w:i/>
          <w:iCs/>
        </w:rPr>
        <w:t xml:space="preserve"> </w:t>
      </w:r>
      <w:r w:rsidRPr="006D3A3D">
        <w:t>significativos estatisticamente, indicando a presença de autocorrelação espacial positiva de 0,23.</w:t>
      </w:r>
      <w:r w:rsidRPr="006D3A3D">
        <w:rPr>
          <w:i/>
          <w:iCs/>
        </w:rPr>
        <w:t xml:space="preserve"> </w:t>
      </w:r>
      <w:r w:rsidRPr="006D3A3D">
        <w:t>A autocorrelação positiva significa</w:t>
      </w:r>
      <w:r w:rsidR="007D62AC" w:rsidRPr="006D3A3D">
        <w:t xml:space="preserve"> </w:t>
      </w:r>
      <w:r w:rsidRPr="006D3A3D">
        <w:t xml:space="preserve">que a grande parte dos municípios mineiros está localizada nos quadrantes </w:t>
      </w:r>
      <w:r w:rsidRPr="006D3A3D">
        <w:rPr>
          <w:i/>
          <w:iCs/>
        </w:rPr>
        <w:t xml:space="preserve">AA </w:t>
      </w:r>
      <w:r w:rsidRPr="006D3A3D">
        <w:t xml:space="preserve">e </w:t>
      </w:r>
      <w:r w:rsidRPr="006D3A3D">
        <w:rPr>
          <w:i/>
          <w:iCs/>
        </w:rPr>
        <w:t xml:space="preserve">BB </w:t>
      </w:r>
      <w:r w:rsidR="007D62AC" w:rsidRPr="006D3A3D">
        <w:t xml:space="preserve">na </w:t>
      </w:r>
      <w:r w:rsidRPr="006D3A3D">
        <w:t xml:space="preserve">variação da renda </w:t>
      </w:r>
      <w:r w:rsidRPr="006D3A3D">
        <w:rPr>
          <w:i/>
        </w:rPr>
        <w:t>per capta</w:t>
      </w:r>
      <w:r w:rsidRPr="006D3A3D">
        <w:t xml:space="preserve">. </w:t>
      </w:r>
    </w:p>
    <w:p w:rsidR="004F2390" w:rsidRPr="006D3A3D" w:rsidRDefault="004F2390" w:rsidP="00000A8D">
      <w:pPr>
        <w:autoSpaceDE w:val="0"/>
        <w:autoSpaceDN w:val="0"/>
        <w:adjustRightInd w:val="0"/>
        <w:ind w:firstLine="357"/>
        <w:jc w:val="both"/>
      </w:pPr>
    </w:p>
    <w:p w:rsidR="00FD1019" w:rsidRDefault="00FD1019" w:rsidP="00000A8D">
      <w:pPr>
        <w:autoSpaceDE w:val="0"/>
        <w:autoSpaceDN w:val="0"/>
        <w:adjustRightInd w:val="0"/>
        <w:ind w:firstLine="357"/>
        <w:jc w:val="both"/>
      </w:pPr>
      <w:r w:rsidRPr="006D3A3D">
        <w:t xml:space="preserve">A estatística global do </w:t>
      </w:r>
      <w:r w:rsidRPr="006D3A3D">
        <w:rPr>
          <w:i/>
          <w:iCs/>
        </w:rPr>
        <w:t xml:space="preserve">I </w:t>
      </w:r>
      <w:r w:rsidRPr="006D3A3D">
        <w:t>de Mo</w:t>
      </w:r>
      <w:r w:rsidR="007D62AC" w:rsidRPr="006D3A3D">
        <w:t xml:space="preserve">ran, por sua vez, pode esconder </w:t>
      </w:r>
      <w:r w:rsidRPr="006D3A3D">
        <w:t>padrões locais de autocorrelação espacial.</w:t>
      </w:r>
      <w:r w:rsidR="007954D8" w:rsidRPr="006D3A3D">
        <w:rPr>
          <w:i/>
          <w:iCs/>
        </w:rPr>
        <w:t xml:space="preserve"> </w:t>
      </w:r>
      <w:r w:rsidRPr="006D3A3D">
        <w:t xml:space="preserve">A fim de observar a existência de </w:t>
      </w:r>
      <w:r w:rsidRPr="006D3A3D">
        <w:rPr>
          <w:i/>
          <w:iCs/>
        </w:rPr>
        <w:t xml:space="preserve">clusters </w:t>
      </w:r>
      <w:r w:rsidR="007954D8" w:rsidRPr="006D3A3D">
        <w:t xml:space="preserve">espaciais locais de </w:t>
      </w:r>
      <w:r w:rsidRPr="006D3A3D">
        <w:t>valores altos ou baixos e quais as regiões</w:t>
      </w:r>
      <w:r w:rsidR="007954D8" w:rsidRPr="006D3A3D">
        <w:rPr>
          <w:i/>
          <w:iCs/>
        </w:rPr>
        <w:t xml:space="preserve"> </w:t>
      </w:r>
      <w:r w:rsidRPr="006D3A3D">
        <w:t xml:space="preserve">que mais </w:t>
      </w:r>
      <w:r w:rsidR="007954D8" w:rsidRPr="006D3A3D">
        <w:t xml:space="preserve">contribuem para a existência de </w:t>
      </w:r>
      <w:r w:rsidRPr="006D3A3D">
        <w:t>autocorrelação espacial, deve-se implementar as medidas de</w:t>
      </w:r>
      <w:r w:rsidR="007954D8" w:rsidRPr="006D3A3D">
        <w:rPr>
          <w:i/>
          <w:iCs/>
        </w:rPr>
        <w:t xml:space="preserve"> </w:t>
      </w:r>
      <w:r w:rsidRPr="006D3A3D">
        <w:t>autocorrelação espacial local.</w:t>
      </w:r>
      <w:r w:rsidR="007954D8" w:rsidRPr="006D3A3D">
        <w:rPr>
          <w:i/>
          <w:iCs/>
        </w:rPr>
        <w:t xml:space="preserve"> </w:t>
      </w:r>
      <w:r w:rsidRPr="006D3A3D">
        <w:t>Segundo Anselin (1995), um “</w:t>
      </w:r>
      <w:r w:rsidRPr="006D3A3D">
        <w:rPr>
          <w:i/>
          <w:iCs/>
        </w:rPr>
        <w:t>Local Indicator of Spatial Association (LISA)</w:t>
      </w:r>
      <w:r w:rsidRPr="006D3A3D">
        <w:t>” será qualquer estatística que</w:t>
      </w:r>
      <w:r w:rsidR="007954D8" w:rsidRPr="006D3A3D">
        <w:rPr>
          <w:i/>
          <w:iCs/>
        </w:rPr>
        <w:t xml:space="preserve"> </w:t>
      </w:r>
      <w:r w:rsidRPr="006D3A3D">
        <w:t>satisfaça a dois critérios: a) um indicad</w:t>
      </w:r>
      <w:r w:rsidR="007954D8" w:rsidRPr="006D3A3D">
        <w:t xml:space="preserve">or LISA deve possuir, para cada </w:t>
      </w:r>
      <w:r w:rsidRPr="006D3A3D">
        <w:t>observação, uma indicação de</w:t>
      </w:r>
      <w:r w:rsidR="007954D8" w:rsidRPr="006D3A3D">
        <w:rPr>
          <w:i/>
          <w:iCs/>
        </w:rPr>
        <w:t xml:space="preserve"> </w:t>
      </w:r>
      <w:r w:rsidRPr="006D3A3D">
        <w:rPr>
          <w:i/>
          <w:iCs/>
        </w:rPr>
        <w:t xml:space="preserve">clusters </w:t>
      </w:r>
      <w:r w:rsidRPr="006D3A3D">
        <w:t>espaciais significantes de valores si</w:t>
      </w:r>
      <w:r w:rsidR="007954D8" w:rsidRPr="006D3A3D">
        <w:t xml:space="preserve">milares em torno </w:t>
      </w:r>
      <w:r w:rsidRPr="006D3A3D">
        <w:t>da observação (</w:t>
      </w:r>
      <w:r w:rsidRPr="006D3A3D">
        <w:rPr>
          <w:i/>
          <w:iCs/>
        </w:rPr>
        <w:t xml:space="preserve">e.g. </w:t>
      </w:r>
      <w:r w:rsidRPr="006D3A3D">
        <w:t>região) e b) o somatório</w:t>
      </w:r>
      <w:r w:rsidR="006836B9" w:rsidRPr="006D3A3D">
        <w:rPr>
          <w:i/>
          <w:iCs/>
        </w:rPr>
        <w:t xml:space="preserve"> </w:t>
      </w:r>
      <w:r w:rsidRPr="006D3A3D">
        <w:t xml:space="preserve">dos </w:t>
      </w:r>
      <w:r w:rsidR="006836B9" w:rsidRPr="006D3A3D">
        <w:t xml:space="preserve">LISAs, para todas as regiões, é </w:t>
      </w:r>
      <w:r w:rsidRPr="006D3A3D">
        <w:t>proporcional ao indicador de autocorrelação espacial global.</w:t>
      </w:r>
    </w:p>
    <w:p w:rsidR="00042440" w:rsidRPr="006D3A3D" w:rsidRDefault="00042440" w:rsidP="00000A8D">
      <w:pPr>
        <w:autoSpaceDE w:val="0"/>
        <w:autoSpaceDN w:val="0"/>
        <w:adjustRightInd w:val="0"/>
        <w:ind w:firstLine="357"/>
        <w:jc w:val="both"/>
        <w:rPr>
          <w:i/>
          <w:iCs/>
        </w:rPr>
      </w:pPr>
    </w:p>
    <w:p w:rsidR="00BD3664" w:rsidRDefault="00FD1019" w:rsidP="00000A8D">
      <w:pPr>
        <w:autoSpaceDE w:val="0"/>
        <w:autoSpaceDN w:val="0"/>
        <w:adjustRightInd w:val="0"/>
        <w:ind w:firstLine="360"/>
        <w:jc w:val="both"/>
      </w:pPr>
      <w:r w:rsidRPr="006D3A3D">
        <w:t xml:space="preserve">Segundo Le Gallo e Ertur (2003), a estatística LISA, baseada no </w:t>
      </w:r>
      <w:r w:rsidRPr="006D3A3D">
        <w:rPr>
          <w:i/>
          <w:iCs/>
        </w:rPr>
        <w:t xml:space="preserve">I </w:t>
      </w:r>
      <w:r w:rsidR="006836B9" w:rsidRPr="006D3A3D">
        <w:t xml:space="preserve">de Moran local, pode ser </w:t>
      </w:r>
      <w:r w:rsidRPr="006D3A3D">
        <w:t>especificada</w:t>
      </w:r>
      <w:r w:rsidR="006836B9" w:rsidRPr="006D3A3D">
        <w:t xml:space="preserve"> </w:t>
      </w:r>
      <w:r w:rsidRPr="006D3A3D">
        <w:t>d</w:t>
      </w:r>
      <w:r w:rsidR="00476C41">
        <w:t>a seguinte forma</w:t>
      </w:r>
      <w:r w:rsidR="00C50CA6">
        <w:rPr>
          <w:rStyle w:val="Refdenotaderodap"/>
        </w:rPr>
        <w:footnoteReference w:id="11"/>
      </w:r>
      <w:r w:rsidRPr="006D3A3D">
        <w:t>:</w:t>
      </w:r>
    </w:p>
    <w:p w:rsidR="004F2390" w:rsidRDefault="004F2390" w:rsidP="00000A8D">
      <w:pPr>
        <w:autoSpaceDE w:val="0"/>
        <w:autoSpaceDN w:val="0"/>
        <w:adjustRightInd w:val="0"/>
        <w:ind w:firstLine="360"/>
        <w:jc w:val="both"/>
      </w:pPr>
    </w:p>
    <w:p w:rsidR="004F0B88" w:rsidRDefault="00D2285D" w:rsidP="00000A8D">
      <w:pPr>
        <w:autoSpaceDE w:val="0"/>
        <w:autoSpaceDN w:val="0"/>
        <w:adjustRightInd w:val="0"/>
        <w:jc w:val="both"/>
      </w:pPr>
      <w:r>
        <w:rPr>
          <w:noProof/>
        </w:rPr>
        <w:pict>
          <v:shape id="_x0000_s1032" type="#_x0000_t75" style="position:absolute;left:0;text-align:left;margin-left:0;margin-top:6.6pt;width:156pt;height:36pt;z-index:251655168">
            <v:imagedata r:id="rId29" o:title=""/>
          </v:shape>
          <o:OLEObject Type="Embed" ProgID="Equation.3" ShapeID="_x0000_s1032" DrawAspect="Content" ObjectID="_1372651353" r:id="rId30"/>
        </w:pict>
      </w:r>
      <w:r>
        <w:rPr>
          <w:noProof/>
        </w:rPr>
        <w:pict>
          <v:shape id="_x0000_s1033" type="#_x0000_t75" style="position:absolute;left:0;text-align:left;margin-left:234pt;margin-top:3.4pt;width:83pt;height:35pt;z-index:251656192">
            <v:imagedata r:id="rId31" o:title=""/>
          </v:shape>
          <o:OLEObject Type="Embed" ProgID="Equation.3" ShapeID="_x0000_s1033" DrawAspect="Content" ObjectID="_1372651354" r:id="rId32"/>
        </w:pict>
      </w:r>
    </w:p>
    <w:p w:rsidR="004F0B88" w:rsidRDefault="006B67A5" w:rsidP="00000A8D">
      <w:pPr>
        <w:autoSpaceDE w:val="0"/>
        <w:autoSpaceDN w:val="0"/>
        <w:adjustRightInd w:val="0"/>
        <w:jc w:val="both"/>
      </w:pPr>
      <w:r>
        <w:t xml:space="preserve">                                                           </w:t>
      </w:r>
      <w:r w:rsidR="00BD3664">
        <w:t>c</w:t>
      </w:r>
      <w:r>
        <w:t>om</w:t>
      </w:r>
      <w:r w:rsidR="00BD3664">
        <w:t xml:space="preserve">                                         </w:t>
      </w:r>
      <w:r w:rsidR="00EF5174">
        <w:t xml:space="preserve">                                     (12</w:t>
      </w:r>
      <w:r w:rsidR="00BD3664">
        <w:t>)</w:t>
      </w:r>
    </w:p>
    <w:p w:rsidR="000B6450" w:rsidRDefault="000B6450" w:rsidP="00000A8D">
      <w:pPr>
        <w:autoSpaceDE w:val="0"/>
        <w:autoSpaceDN w:val="0"/>
        <w:adjustRightInd w:val="0"/>
        <w:jc w:val="both"/>
      </w:pPr>
    </w:p>
    <w:p w:rsidR="000B6450" w:rsidRDefault="000B6450" w:rsidP="00000A8D">
      <w:pPr>
        <w:autoSpaceDE w:val="0"/>
        <w:autoSpaceDN w:val="0"/>
        <w:adjustRightInd w:val="0"/>
        <w:jc w:val="both"/>
      </w:pPr>
    </w:p>
    <w:p w:rsidR="00476C41" w:rsidRDefault="00476C41" w:rsidP="00000A8D">
      <w:pPr>
        <w:autoSpaceDE w:val="0"/>
        <w:autoSpaceDN w:val="0"/>
        <w:adjustRightInd w:val="0"/>
        <w:jc w:val="both"/>
      </w:pPr>
      <w:r>
        <w:t>O</w:t>
      </w:r>
      <w:r w:rsidR="00FD1019" w:rsidRPr="00476C41">
        <w:t>nde</w:t>
      </w:r>
      <w:r>
        <w:t>:</w:t>
      </w:r>
      <w:r w:rsidR="00FD1019" w:rsidRPr="00476C41">
        <w:t xml:space="preserve"> </w:t>
      </w:r>
      <w:r w:rsidRPr="00476C41">
        <w:rPr>
          <w:i/>
          <w:iCs/>
        </w:rPr>
        <w:t>x</w:t>
      </w:r>
      <w:r w:rsidRPr="00476C41">
        <w:rPr>
          <w:i/>
          <w:iCs/>
          <w:vertAlign w:val="subscript"/>
        </w:rPr>
        <w:t>i,t</w:t>
      </w:r>
      <w:r w:rsidR="00FD1019" w:rsidRPr="00476C41">
        <w:rPr>
          <w:vertAlign w:val="subscript"/>
        </w:rPr>
        <w:t xml:space="preserve"> </w:t>
      </w:r>
      <w:r w:rsidR="00FD1019" w:rsidRPr="00476C41">
        <w:t xml:space="preserve">é a observação </w:t>
      </w:r>
      <w:r w:rsidR="006836B9" w:rsidRPr="00476C41">
        <w:t xml:space="preserve">de uma variável de interesse na </w:t>
      </w:r>
      <w:r w:rsidR="00FD1019" w:rsidRPr="00476C41">
        <w:t xml:space="preserve">região </w:t>
      </w:r>
      <w:r w:rsidR="00FD1019" w:rsidRPr="00476C41">
        <w:rPr>
          <w:i/>
          <w:iCs/>
        </w:rPr>
        <w:t xml:space="preserve">i </w:t>
      </w:r>
      <w:r w:rsidR="00FD1019" w:rsidRPr="00476C41">
        <w:t xml:space="preserve">para o ano </w:t>
      </w:r>
      <w:r w:rsidR="00FD1019" w:rsidRPr="00476C41">
        <w:rPr>
          <w:i/>
          <w:iCs/>
        </w:rPr>
        <w:t>t</w:t>
      </w:r>
      <w:r w:rsidR="00FD1019" w:rsidRPr="00476C41">
        <w:t xml:space="preserve">, </w:t>
      </w:r>
      <w:r w:rsidR="00FD1019" w:rsidRPr="00476C41">
        <w:rPr>
          <w:rFonts w:eastAsia="SymbolMT"/>
        </w:rPr>
        <w:t>μ</w:t>
      </w:r>
      <w:r w:rsidRPr="00476C41">
        <w:rPr>
          <w:i/>
          <w:iCs/>
        </w:rPr>
        <w:t xml:space="preserve"> </w:t>
      </w:r>
      <w:r w:rsidRPr="00476C41">
        <w:rPr>
          <w:i/>
          <w:iCs/>
          <w:vertAlign w:val="subscript"/>
        </w:rPr>
        <w:t>t</w:t>
      </w:r>
      <w:r w:rsidR="00FD1019" w:rsidRPr="00476C41">
        <w:rPr>
          <w:rFonts w:eastAsia="SymbolMT"/>
        </w:rPr>
        <w:t xml:space="preserve"> </w:t>
      </w:r>
      <w:r w:rsidR="00FD1019" w:rsidRPr="00476C41">
        <w:t>é a média das</w:t>
      </w:r>
      <w:r w:rsidR="006836B9" w:rsidRPr="00476C41">
        <w:t xml:space="preserve"> </w:t>
      </w:r>
      <w:r w:rsidR="00FD1019" w:rsidRPr="00476C41">
        <w:t xml:space="preserve">observações entre as regiões no ano </w:t>
      </w:r>
      <w:r w:rsidR="00FD1019" w:rsidRPr="00476C41">
        <w:rPr>
          <w:i/>
          <w:iCs/>
        </w:rPr>
        <w:t xml:space="preserve">t </w:t>
      </w:r>
      <w:r w:rsidR="006836B9" w:rsidRPr="00476C41">
        <w:t xml:space="preserve">para a qual o </w:t>
      </w:r>
      <w:r w:rsidR="00FD1019" w:rsidRPr="00476C41">
        <w:t xml:space="preserve">somatório em relação a </w:t>
      </w:r>
      <w:r w:rsidR="00FD1019" w:rsidRPr="00476C41">
        <w:rPr>
          <w:i/>
          <w:iCs/>
        </w:rPr>
        <w:t xml:space="preserve">j </w:t>
      </w:r>
      <w:r w:rsidR="00FD1019" w:rsidRPr="00476C41">
        <w:t>é tal que somente os valores</w:t>
      </w:r>
      <w:r w:rsidR="006836B9" w:rsidRPr="00476C41">
        <w:t xml:space="preserve"> </w:t>
      </w:r>
      <w:r w:rsidR="00FD1019" w:rsidRPr="00476C41">
        <w:t xml:space="preserve">vizinhos de </w:t>
      </w:r>
      <w:r w:rsidR="00FD1019" w:rsidRPr="00476C41">
        <w:rPr>
          <w:i/>
          <w:iCs/>
        </w:rPr>
        <w:t xml:space="preserve">j </w:t>
      </w:r>
      <w:r w:rsidR="00FD1019" w:rsidRPr="00476C41">
        <w:t>são incluídos.</w:t>
      </w:r>
      <w:r w:rsidR="006836B9" w:rsidRPr="00476C41">
        <w:t xml:space="preserve"> </w:t>
      </w:r>
    </w:p>
    <w:p w:rsidR="004F2390" w:rsidRDefault="004F2390" w:rsidP="00000A8D">
      <w:pPr>
        <w:autoSpaceDE w:val="0"/>
        <w:autoSpaceDN w:val="0"/>
        <w:adjustRightInd w:val="0"/>
        <w:jc w:val="both"/>
      </w:pPr>
    </w:p>
    <w:p w:rsidR="002C0615" w:rsidRDefault="00FD1019" w:rsidP="00000A8D">
      <w:pPr>
        <w:autoSpaceDE w:val="0"/>
        <w:autoSpaceDN w:val="0"/>
        <w:adjustRightInd w:val="0"/>
        <w:ind w:firstLine="360"/>
        <w:jc w:val="both"/>
      </w:pPr>
      <w:r w:rsidRPr="00476C41">
        <w:t xml:space="preserve">A estatística pode ser interpretada da seguinte forma: valores positivos de </w:t>
      </w:r>
      <w:r w:rsidRPr="00476C41">
        <w:rPr>
          <w:i/>
          <w:iCs/>
        </w:rPr>
        <w:t>I</w:t>
      </w:r>
      <w:r w:rsidR="006A4D5E">
        <w:rPr>
          <w:i/>
          <w:iCs/>
          <w:vertAlign w:val="subscript"/>
        </w:rPr>
        <w:t>i</w:t>
      </w:r>
      <w:r w:rsidR="003C172A" w:rsidRPr="003C172A">
        <w:rPr>
          <w:i/>
          <w:iCs/>
          <w:vertAlign w:val="subscript"/>
        </w:rPr>
        <w:t>t</w:t>
      </w:r>
      <w:r w:rsidRPr="003C172A">
        <w:rPr>
          <w:i/>
          <w:iCs/>
          <w:vertAlign w:val="subscript"/>
        </w:rPr>
        <w:t xml:space="preserve"> </w:t>
      </w:r>
      <w:r w:rsidRPr="003C172A">
        <w:rPr>
          <w:vertAlign w:val="subscript"/>
        </w:rPr>
        <w:t xml:space="preserve"> </w:t>
      </w:r>
      <w:r w:rsidR="006836B9" w:rsidRPr="00476C41">
        <w:t xml:space="preserve">indicam que </w:t>
      </w:r>
      <w:r w:rsidRPr="00476C41">
        <w:t>existem</w:t>
      </w:r>
      <w:r w:rsidR="006836B9" w:rsidRPr="00476C41">
        <w:t xml:space="preserve"> </w:t>
      </w:r>
      <w:r w:rsidRPr="00476C41">
        <w:rPr>
          <w:i/>
          <w:iCs/>
        </w:rPr>
        <w:t xml:space="preserve">clusters </w:t>
      </w:r>
      <w:r w:rsidRPr="00476C41">
        <w:t xml:space="preserve">espaciais com valores similares (alto </w:t>
      </w:r>
      <w:r w:rsidR="006836B9" w:rsidRPr="00476C41">
        <w:t xml:space="preserve">ou baixo), ao passo que valores </w:t>
      </w:r>
      <w:r w:rsidRPr="00476C41">
        <w:t>negativos significam que</w:t>
      </w:r>
      <w:r w:rsidR="006836B9" w:rsidRPr="00476C41">
        <w:t xml:space="preserve"> </w:t>
      </w:r>
      <w:r w:rsidRPr="00476C41">
        <w:t xml:space="preserve">existem </w:t>
      </w:r>
      <w:r w:rsidRPr="00476C41">
        <w:rPr>
          <w:i/>
          <w:iCs/>
        </w:rPr>
        <w:t xml:space="preserve">clusters </w:t>
      </w:r>
      <w:r w:rsidRPr="00476C41">
        <w:t>espaciais com va</w:t>
      </w:r>
      <w:r w:rsidR="006836B9" w:rsidRPr="00476C41">
        <w:t xml:space="preserve">lores diferentes (dissimilares) </w:t>
      </w:r>
      <w:r w:rsidRPr="00476C41">
        <w:t>entre a região e seus vizinhos.</w:t>
      </w:r>
      <w:r w:rsidR="006836B9" w:rsidRPr="00476C41">
        <w:t xml:space="preserve"> </w:t>
      </w:r>
    </w:p>
    <w:p w:rsidR="004F2390" w:rsidRDefault="004F2390" w:rsidP="00000A8D">
      <w:pPr>
        <w:autoSpaceDE w:val="0"/>
        <w:autoSpaceDN w:val="0"/>
        <w:adjustRightInd w:val="0"/>
        <w:ind w:firstLine="360"/>
        <w:jc w:val="both"/>
      </w:pPr>
    </w:p>
    <w:p w:rsidR="00157A96" w:rsidRDefault="00FD1019" w:rsidP="00157A96">
      <w:pPr>
        <w:autoSpaceDE w:val="0"/>
        <w:autoSpaceDN w:val="0"/>
        <w:adjustRightInd w:val="0"/>
        <w:ind w:firstLine="360"/>
        <w:jc w:val="both"/>
      </w:pPr>
      <w:r w:rsidRPr="00476C41">
        <w:t>De acordo com Anselin (1995),</w:t>
      </w:r>
      <w:r w:rsidR="006836B9" w:rsidRPr="00476C41">
        <w:t xml:space="preserve"> a estatística LISA é utilizada </w:t>
      </w:r>
      <w:r w:rsidRPr="00476C41">
        <w:t>para medir a hipótese nula de ausência de</w:t>
      </w:r>
      <w:r w:rsidR="006836B9" w:rsidRPr="00476C41">
        <w:t xml:space="preserve"> </w:t>
      </w:r>
      <w:r w:rsidRPr="00476C41">
        <w:t>associação espacia</w:t>
      </w:r>
      <w:r w:rsidR="006836B9" w:rsidRPr="00476C41">
        <w:t xml:space="preserve">l local. É importante salientar </w:t>
      </w:r>
      <w:r w:rsidRPr="00476C41">
        <w:t>que, assim como a distribuição para as estatísticas</w:t>
      </w:r>
      <w:r w:rsidR="006836B9" w:rsidRPr="00476C41">
        <w:t xml:space="preserve"> </w:t>
      </w:r>
      <w:r w:rsidRPr="00476C41">
        <w:t>globais,</w:t>
      </w:r>
      <w:r w:rsidR="006836B9" w:rsidRPr="00476C41">
        <w:t xml:space="preserve"> a distribuição genérica para a </w:t>
      </w:r>
      <w:r w:rsidR="008060BB">
        <w:t xml:space="preserve">estatística LISA </w:t>
      </w:r>
      <w:r w:rsidRPr="00476C41">
        <w:t>também é de difícil apuração. Portanto, para</w:t>
      </w:r>
      <w:r w:rsidR="004F0B88" w:rsidRPr="00476C41">
        <w:t xml:space="preserve"> </w:t>
      </w:r>
      <w:r w:rsidR="008060BB">
        <w:t xml:space="preserve">solucionar tal </w:t>
      </w:r>
      <w:r w:rsidRPr="00476C41">
        <w:t>problema, deve-se trabalhar com resultados assintóticos.</w:t>
      </w:r>
      <w:r w:rsidR="008060BB">
        <w:t xml:space="preserve"> Logo, a alternativa é a </w:t>
      </w:r>
      <w:r w:rsidRPr="00476C41">
        <w:t>utilização</w:t>
      </w:r>
      <w:r w:rsidR="008060BB">
        <w:t xml:space="preserve"> </w:t>
      </w:r>
      <w:r w:rsidRPr="00476C41">
        <w:t>de uma aleatorização condicional ou uma permutação que permita auferir pseudoníveis de significância</w:t>
      </w:r>
      <w:r w:rsidR="00A754B0">
        <w:rPr>
          <w:rStyle w:val="Refdenotaderodap"/>
        </w:rPr>
        <w:footnoteReference w:id="12"/>
      </w:r>
      <w:r w:rsidRPr="00476C41">
        <w:t>.</w:t>
      </w:r>
      <w:r w:rsidR="008060BB">
        <w:t xml:space="preserve"> </w:t>
      </w:r>
      <w:r w:rsidRPr="00476C41">
        <w:t>Os indicadores locais d</w:t>
      </w:r>
      <w:r w:rsidR="008060BB">
        <w:t xml:space="preserve">e associação espacial (LISA) </w:t>
      </w:r>
      <w:r w:rsidR="00C1258F">
        <w:t xml:space="preserve">do </w:t>
      </w:r>
      <w:r w:rsidR="00C1258F" w:rsidRPr="006D3A3D">
        <w:t>Crescimento de renda per capta, para os municípios de Mina</w:t>
      </w:r>
      <w:r w:rsidR="00C1258F">
        <w:t>s Gerais no período 1991 – 2000</w:t>
      </w:r>
      <w:r w:rsidRPr="00476C41">
        <w:t xml:space="preserve">, estão representados no mapa de </w:t>
      </w:r>
      <w:r w:rsidRPr="00476C41">
        <w:rPr>
          <w:i/>
          <w:iCs/>
        </w:rPr>
        <w:t xml:space="preserve">clusters </w:t>
      </w:r>
      <w:r w:rsidRPr="00476C41">
        <w:t>espaciais</w:t>
      </w:r>
      <w:r w:rsidR="008060BB">
        <w:t xml:space="preserve"> </w:t>
      </w:r>
      <w:r w:rsidR="00300EC1">
        <w:t>(Figura 1</w:t>
      </w:r>
      <w:r w:rsidRPr="00476C41">
        <w:t>), para um nível de significância de 5 %.</w:t>
      </w:r>
    </w:p>
    <w:p w:rsidR="006A4D5E" w:rsidRDefault="006A4D5E" w:rsidP="00000A8D">
      <w:pPr>
        <w:autoSpaceDE w:val="0"/>
        <w:autoSpaceDN w:val="0"/>
        <w:adjustRightInd w:val="0"/>
        <w:jc w:val="both"/>
      </w:pPr>
    </w:p>
    <w:p w:rsidR="00FA7E5A" w:rsidRDefault="00300EC1" w:rsidP="00000A8D">
      <w:pPr>
        <w:autoSpaceDE w:val="0"/>
        <w:autoSpaceDN w:val="0"/>
        <w:adjustRightInd w:val="0"/>
        <w:jc w:val="center"/>
      </w:pPr>
      <w:r>
        <w:t>Figura 1</w:t>
      </w:r>
    </w:p>
    <w:p w:rsidR="00FA7E5A" w:rsidRDefault="00FA7E5A" w:rsidP="00000A8D">
      <w:pPr>
        <w:jc w:val="center"/>
      </w:pPr>
      <w:r>
        <w:t xml:space="preserve">Mapa de Cluster para </w:t>
      </w:r>
      <w:r w:rsidRPr="006D3A3D">
        <w:t>Crescimento de renda per capta, para os municípios de Minas Gerais no período 1991 – 2000.</w:t>
      </w:r>
    </w:p>
    <w:p w:rsidR="00FC4D3A" w:rsidRPr="00AA2E64" w:rsidRDefault="00147348" w:rsidP="00000A8D">
      <w:pPr>
        <w:jc w:val="center"/>
      </w:pPr>
      <w:r>
        <w:rPr>
          <w:noProof/>
        </w:rPr>
        <w:drawing>
          <wp:inline distT="0" distB="0" distL="0" distR="0">
            <wp:extent cx="4362450" cy="2724150"/>
            <wp:effectExtent l="1905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3"/>
                    <a:srcRect/>
                    <a:stretch>
                      <a:fillRect/>
                    </a:stretch>
                  </pic:blipFill>
                  <pic:spPr bwMode="auto">
                    <a:xfrm>
                      <a:off x="0" y="0"/>
                      <a:ext cx="4362450" cy="2724150"/>
                    </a:xfrm>
                    <a:prstGeom prst="rect">
                      <a:avLst/>
                    </a:prstGeom>
                    <a:noFill/>
                    <a:ln w="9525">
                      <a:noFill/>
                      <a:miter lim="800000"/>
                      <a:headEnd/>
                      <a:tailEnd/>
                    </a:ln>
                  </pic:spPr>
                </pic:pic>
              </a:graphicData>
            </a:graphic>
          </wp:inline>
        </w:drawing>
      </w:r>
    </w:p>
    <w:p w:rsidR="00FA7E5A" w:rsidRDefault="00FA7E5A" w:rsidP="00000A8D">
      <w:pPr>
        <w:jc w:val="both"/>
        <w:rPr>
          <w:bCs/>
          <w:color w:val="000000"/>
        </w:rPr>
      </w:pPr>
      <w:r>
        <w:rPr>
          <w:bCs/>
          <w:color w:val="000000"/>
        </w:rPr>
        <w:t xml:space="preserve">              Fonte: Elaboração própria do autor com base no GEODA.</w:t>
      </w:r>
    </w:p>
    <w:p w:rsidR="00FC4D3A" w:rsidRDefault="00FC4D3A" w:rsidP="00000A8D">
      <w:pPr>
        <w:autoSpaceDE w:val="0"/>
        <w:autoSpaceDN w:val="0"/>
        <w:adjustRightInd w:val="0"/>
        <w:jc w:val="both"/>
        <w:rPr>
          <w:iCs/>
          <w:sz w:val="23"/>
          <w:szCs w:val="23"/>
        </w:rPr>
      </w:pPr>
    </w:p>
    <w:p w:rsidR="00042440" w:rsidRPr="00FA7E5A" w:rsidRDefault="00042440" w:rsidP="00000A8D">
      <w:pPr>
        <w:autoSpaceDE w:val="0"/>
        <w:autoSpaceDN w:val="0"/>
        <w:adjustRightInd w:val="0"/>
        <w:jc w:val="both"/>
        <w:rPr>
          <w:iCs/>
          <w:sz w:val="23"/>
          <w:szCs w:val="23"/>
        </w:rPr>
      </w:pPr>
    </w:p>
    <w:p w:rsidR="0057280D" w:rsidRDefault="00445022" w:rsidP="00000A8D">
      <w:pPr>
        <w:ind w:firstLine="360"/>
        <w:jc w:val="both"/>
      </w:pPr>
      <w:r>
        <w:lastRenderedPageBreak/>
        <w:t xml:space="preserve">Ao observar o Mapa de </w:t>
      </w:r>
      <w:r w:rsidRPr="00445022">
        <w:rPr>
          <w:i/>
        </w:rPr>
        <w:t>Clusters</w:t>
      </w:r>
      <w:r>
        <w:t xml:space="preserve"> (figura 2), </w:t>
      </w:r>
      <w:r w:rsidR="0057280D">
        <w:t xml:space="preserve">pode-se perceber </w:t>
      </w:r>
      <w:r w:rsidR="0057280D" w:rsidRPr="0057280D">
        <w:rPr>
          <w:i/>
        </w:rPr>
        <w:t>cluster</w:t>
      </w:r>
      <w:r w:rsidR="00946F26">
        <w:rPr>
          <w:i/>
        </w:rPr>
        <w:t>s</w:t>
      </w:r>
      <w:r w:rsidR="0057280D">
        <w:t xml:space="preserve"> de municípios que obtiveram elevado índice crescimento de renda </w:t>
      </w:r>
      <w:r w:rsidR="0057280D" w:rsidRPr="0057280D">
        <w:rPr>
          <w:i/>
        </w:rPr>
        <w:t>per capta</w:t>
      </w:r>
      <w:r w:rsidR="0057280D">
        <w:t xml:space="preserve">, entre </w:t>
      </w:r>
      <w:smartTag w:uri="urn:schemas-microsoft-com:office:smarttags" w:element="metricconverter">
        <w:smartTagPr>
          <w:attr w:name="ProductID" w:val="1991 a"/>
        </w:smartTagPr>
        <w:r w:rsidR="0057280D">
          <w:t>1991 a</w:t>
        </w:r>
      </w:smartTag>
      <w:r w:rsidR="0057280D">
        <w:t xml:space="preserve"> 2000 e estão rodeados de municípios que também obtiveram elevado crescimento</w:t>
      </w:r>
      <w:r w:rsidR="00946F26">
        <w:t>(vermelho)</w:t>
      </w:r>
      <w:r w:rsidR="0057280D">
        <w:t>. Cabe ressaltar que grande parte deste</w:t>
      </w:r>
      <w:r w:rsidR="00946F26">
        <w:t>s</w:t>
      </w:r>
      <w:r w:rsidR="0057280D">
        <w:t xml:space="preserve"> </w:t>
      </w:r>
      <w:r w:rsidR="0057280D" w:rsidRPr="00946F26">
        <w:rPr>
          <w:i/>
        </w:rPr>
        <w:t>cluster</w:t>
      </w:r>
      <w:r w:rsidR="00946F26" w:rsidRPr="00946F26">
        <w:rPr>
          <w:i/>
        </w:rPr>
        <w:t>s</w:t>
      </w:r>
      <w:r w:rsidR="0057280D">
        <w:t xml:space="preserve"> encontra</w:t>
      </w:r>
      <w:r w:rsidR="00946F26">
        <w:t>m</w:t>
      </w:r>
      <w:r w:rsidR="0057280D">
        <w:t>-se próximo</w:t>
      </w:r>
      <w:r w:rsidR="00946F26">
        <w:t>s</w:t>
      </w:r>
      <w:r w:rsidR="0057280D">
        <w:t xml:space="preserve"> à divisa dos estados de Minas Gerais com Espírito Santo. O que significa que tal</w:t>
      </w:r>
      <w:r w:rsidR="00946F26">
        <w:t xml:space="preserve">vez, em trabalhos futuros, um estudo de fronteira entre estes dois estados seja relevante para explicar o crescimento dos municípios mineiros. Pode-se notar também </w:t>
      </w:r>
      <w:r w:rsidR="00946F26" w:rsidRPr="00946F26">
        <w:rPr>
          <w:i/>
        </w:rPr>
        <w:t>cluster</w:t>
      </w:r>
      <w:r w:rsidR="00946F26">
        <w:rPr>
          <w:i/>
        </w:rPr>
        <w:t>s</w:t>
      </w:r>
      <w:r w:rsidR="00946F26">
        <w:t xml:space="preserve"> de associação de municípios que obtiveram baixo crescimento e estão cercados de outros municípios que também auferiram pequenas variações de renda </w:t>
      </w:r>
      <w:r w:rsidR="00946F26" w:rsidRPr="00946F26">
        <w:rPr>
          <w:i/>
        </w:rPr>
        <w:t>per capta</w:t>
      </w:r>
      <w:r w:rsidR="00946F26">
        <w:t xml:space="preserve">. É interessante salientar que grande parte destes municípios encontram-se na região norte e nordeste do estado, próximos </w:t>
      </w:r>
      <w:r w:rsidR="00EB4560">
        <w:t>a</w:t>
      </w:r>
      <w:r w:rsidR="00F71371">
        <w:t xml:space="preserve"> divis</w:t>
      </w:r>
      <w:r w:rsidR="00946F26">
        <w:t xml:space="preserve">a com a Bahia. Porém há também </w:t>
      </w:r>
      <w:r w:rsidR="00EB4560">
        <w:t>concentrações “BB” na região do Triângulo Mineiro</w:t>
      </w:r>
      <w:r w:rsidR="001207A1">
        <w:t xml:space="preserve"> e Alto Parnaíba</w:t>
      </w:r>
      <w:r w:rsidR="00EB4560">
        <w:t xml:space="preserve">, incluindo principalmente as microregiões de Frutal, </w:t>
      </w:r>
      <w:r w:rsidR="00A959AA">
        <w:t xml:space="preserve">Uberaba e </w:t>
      </w:r>
      <w:r w:rsidR="00EB4560">
        <w:t>Uberl</w:t>
      </w:r>
      <w:r w:rsidR="00A959AA">
        <w:t>ândia</w:t>
      </w:r>
      <w:r w:rsidR="00EB4560">
        <w:t>.</w:t>
      </w:r>
    </w:p>
    <w:p w:rsidR="004F2390" w:rsidRDefault="004F2390" w:rsidP="00000A8D">
      <w:pPr>
        <w:ind w:firstLine="360"/>
        <w:jc w:val="both"/>
      </w:pPr>
    </w:p>
    <w:p w:rsidR="000836AA" w:rsidRDefault="000836AA" w:rsidP="00000A8D">
      <w:pPr>
        <w:ind w:firstLine="360"/>
        <w:jc w:val="both"/>
      </w:pPr>
      <w:r>
        <w:t xml:space="preserve">Em suma, esta seção mostrou-se relevante ao constatar que os dados relacionados ao crescimento da renda </w:t>
      </w:r>
      <w:r w:rsidRPr="00133B30">
        <w:rPr>
          <w:i/>
        </w:rPr>
        <w:t>per capta</w:t>
      </w:r>
      <w:r>
        <w:t xml:space="preserve"> para os municípios de Minas Gerais, no período 1991-2000 estão autocorrelacionados no espaço, tanto através da análise global quanto local.</w:t>
      </w:r>
    </w:p>
    <w:p w:rsidR="00300EC1" w:rsidRPr="00692710" w:rsidRDefault="00300EC1" w:rsidP="00692710">
      <w:pPr>
        <w:jc w:val="both"/>
      </w:pPr>
    </w:p>
    <w:p w:rsidR="008C6246" w:rsidRDefault="009D03B9" w:rsidP="00000A8D">
      <w:pPr>
        <w:jc w:val="both"/>
        <w:rPr>
          <w:b/>
        </w:rPr>
      </w:pPr>
      <w:r>
        <w:rPr>
          <w:b/>
        </w:rPr>
        <w:t>5</w:t>
      </w:r>
      <w:r w:rsidR="008C6246">
        <w:rPr>
          <w:b/>
        </w:rPr>
        <w:t xml:space="preserve">. </w:t>
      </w:r>
      <w:r w:rsidR="00D75297">
        <w:rPr>
          <w:b/>
        </w:rPr>
        <w:t xml:space="preserve">Modelos e </w:t>
      </w:r>
      <w:r w:rsidR="008C6246">
        <w:rPr>
          <w:b/>
        </w:rPr>
        <w:t>Análise de Resultados</w:t>
      </w:r>
    </w:p>
    <w:p w:rsidR="00300EC1" w:rsidRDefault="00300EC1" w:rsidP="00000A8D">
      <w:pPr>
        <w:jc w:val="both"/>
        <w:rPr>
          <w:b/>
        </w:rPr>
      </w:pPr>
    </w:p>
    <w:p w:rsidR="00AB3A8A" w:rsidRDefault="00300EC1" w:rsidP="00000A8D">
      <w:pPr>
        <w:ind w:firstLine="360"/>
        <w:jc w:val="both"/>
      </w:pPr>
      <w:r w:rsidRPr="002A171A">
        <w:t>Inicialmente</w:t>
      </w:r>
      <w:r w:rsidR="00A73E9B" w:rsidRPr="002A171A">
        <w:t xml:space="preserve"> será realizada a </w:t>
      </w:r>
      <w:r w:rsidR="002A171A" w:rsidRPr="002A171A">
        <w:t>estimação</w:t>
      </w:r>
      <w:r w:rsidR="00A73E9B" w:rsidRPr="002A171A">
        <w:t xml:space="preserve"> dos model</w:t>
      </w:r>
      <w:r w:rsidR="006E130B">
        <w:t>os de crescimento de Solow (1956</w:t>
      </w:r>
      <w:r w:rsidR="00A73E9B" w:rsidRPr="002A171A">
        <w:t>) e MWR (1992)</w:t>
      </w:r>
      <w:r w:rsidR="00486D10" w:rsidRPr="002A171A">
        <w:rPr>
          <w:rStyle w:val="Refdenotaderodap"/>
        </w:rPr>
        <w:footnoteReference w:id="13"/>
      </w:r>
      <w:r w:rsidR="00A73E9B" w:rsidRPr="002A171A">
        <w:t xml:space="preserve"> </w:t>
      </w:r>
      <w:r w:rsidR="002A171A" w:rsidRPr="002A171A">
        <w:t xml:space="preserve">através do modelo clássico dos Mínimos Quadrados </w:t>
      </w:r>
      <w:r w:rsidR="002A171A">
        <w:t>Ordinários</w:t>
      </w:r>
      <w:r w:rsidR="002A171A" w:rsidRPr="002A171A">
        <w:t xml:space="preserve"> (MQO)</w:t>
      </w:r>
      <w:r w:rsidR="00A73E9B" w:rsidRPr="002A171A">
        <w:t>, com a finalidade de compará-los e obter o modelo mais ajustado.</w:t>
      </w:r>
      <w:r w:rsidR="002A171A" w:rsidRPr="002A171A">
        <w:t xml:space="preserve"> Além disso, a estimação por MQO permite a identificação</w:t>
      </w:r>
      <w:r w:rsidR="00281126" w:rsidRPr="002A171A">
        <w:t xml:space="preserve"> </w:t>
      </w:r>
      <w:r w:rsidR="002A171A" w:rsidRPr="002A171A">
        <w:t>d</w:t>
      </w:r>
      <w:r w:rsidR="00167995">
        <w:t>a melhor especificação de</w:t>
      </w:r>
      <w:r w:rsidR="00281126" w:rsidRPr="002A171A">
        <w:t xml:space="preserve"> modelo de </w:t>
      </w:r>
      <w:r w:rsidR="002A171A" w:rsidRPr="002A171A">
        <w:t>crescimento</w:t>
      </w:r>
      <w:r w:rsidR="00281126" w:rsidRPr="002A171A">
        <w:t>, levando em conta</w:t>
      </w:r>
      <w:r w:rsidR="002A171A" w:rsidRPr="002A171A">
        <w:t xml:space="preserve"> a autocorrelação espacial.</w:t>
      </w:r>
      <w:r w:rsidR="00AB3A8A">
        <w:t xml:space="preserve"> Assim, a estimaç</w:t>
      </w:r>
      <w:r w:rsidR="0047140A">
        <w:t>ão</w:t>
      </w:r>
      <w:r w:rsidR="00AB3A8A">
        <w:t xml:space="preserve"> pelo modelo clássico de MQO </w:t>
      </w:r>
      <w:r w:rsidR="0047140A">
        <w:t>é</w:t>
      </w:r>
      <w:r w:rsidR="00AB3A8A">
        <w:t xml:space="preserve"> formalmente especificad</w:t>
      </w:r>
      <w:r w:rsidR="0047140A">
        <w:t>a</w:t>
      </w:r>
      <w:r w:rsidR="00AB3A8A">
        <w:t xml:space="preserve"> como:</w:t>
      </w:r>
    </w:p>
    <w:p w:rsidR="008164FC" w:rsidRDefault="00D2285D" w:rsidP="00000A8D">
      <w:pPr>
        <w:ind w:firstLine="360"/>
        <w:jc w:val="both"/>
      </w:pPr>
      <w:r>
        <w:rPr>
          <w:noProof/>
        </w:rPr>
        <w:pict>
          <v:shape id="_x0000_s1046" type="#_x0000_t75" style="position:absolute;left:0;text-align:left;margin-left:-1.9pt;margin-top:8.65pt;width:96pt;height:23pt;z-index:251665408">
            <v:imagedata r:id="rId34" o:title=""/>
          </v:shape>
          <o:OLEObject Type="Embed" ProgID="Equation.3" ShapeID="_x0000_s1046" DrawAspect="Content" ObjectID="_1372651355" r:id="rId35"/>
        </w:pict>
      </w:r>
    </w:p>
    <w:p w:rsidR="0047140A" w:rsidRDefault="003E4972" w:rsidP="00000A8D">
      <w:pPr>
        <w:ind w:firstLine="360"/>
        <w:jc w:val="both"/>
      </w:pPr>
      <w:r>
        <w:t xml:space="preserve">                            </w:t>
      </w:r>
      <w:r w:rsidR="0047140A">
        <w:t xml:space="preserve">            </w:t>
      </w:r>
      <w:r w:rsidR="00A44BDE">
        <w:t xml:space="preserve">                                                   </w:t>
      </w:r>
      <w:r w:rsidR="00E51620">
        <w:t xml:space="preserve">                                       </w:t>
      </w:r>
      <w:r w:rsidR="00EF5174">
        <w:t xml:space="preserve">        (13</w:t>
      </w:r>
      <w:r w:rsidR="0047140A">
        <w:t>)</w:t>
      </w:r>
    </w:p>
    <w:p w:rsidR="008164FC" w:rsidRDefault="008164FC" w:rsidP="00000A8D">
      <w:pPr>
        <w:ind w:firstLine="357"/>
        <w:jc w:val="both"/>
      </w:pPr>
    </w:p>
    <w:p w:rsidR="007C624C" w:rsidRDefault="0047140A" w:rsidP="00000A8D">
      <w:pPr>
        <w:ind w:firstLine="357"/>
        <w:jc w:val="both"/>
      </w:pPr>
      <w:r>
        <w:t>Onde: “Y” representa a variável dependente, “</w:t>
      </w:r>
      <w:r>
        <w:sym w:font="Symbol" w:char="F062"/>
      </w:r>
      <w:r w:rsidRPr="0047140A">
        <w:rPr>
          <w:vertAlign w:val="subscript"/>
        </w:rPr>
        <w:t>0</w:t>
      </w:r>
      <w:r>
        <w:t>” a constante, “</w:t>
      </w:r>
      <w:r>
        <w:sym w:font="Symbol" w:char="F062"/>
      </w:r>
      <w:r w:rsidRPr="0047140A">
        <w:rPr>
          <w:vertAlign w:val="subscript"/>
        </w:rPr>
        <w:t>1</w:t>
      </w:r>
      <w:r>
        <w:t>”</w:t>
      </w:r>
      <w:r>
        <w:rPr>
          <w:vertAlign w:val="subscript"/>
        </w:rPr>
        <w:t xml:space="preserve"> </w:t>
      </w:r>
      <w:r>
        <w:t>é o</w:t>
      </w:r>
      <w:r w:rsidRPr="0047140A">
        <w:t xml:space="preserve"> coefic</w:t>
      </w:r>
      <w:r>
        <w:t>iente que acompanha a variável explicativa “X” e “</w:t>
      </w:r>
      <w:r>
        <w:sym w:font="Symbol" w:char="F065"/>
      </w:r>
      <w:r>
        <w:t xml:space="preserve">” </w:t>
      </w:r>
      <w:r w:rsidR="00E32BBA">
        <w:t>é o termo</w:t>
      </w:r>
      <w:r>
        <w:t xml:space="preserve"> de erro</w:t>
      </w:r>
      <w:r w:rsidRPr="0047140A">
        <w:rPr>
          <w:rStyle w:val="Refdenotaderodap"/>
        </w:rPr>
        <w:t xml:space="preserve"> </w:t>
      </w:r>
      <w:r>
        <w:rPr>
          <w:rStyle w:val="Refdenotaderodap"/>
        </w:rPr>
        <w:footnoteReference w:id="14"/>
      </w:r>
      <w:r w:rsidR="00E32BBA">
        <w:t xml:space="preserve">. </w:t>
      </w:r>
      <w:r w:rsidR="007C624C">
        <w:t xml:space="preserve">Logo, as equações para os modelos de crescimento citados podem ser expressas </w:t>
      </w:r>
      <w:r w:rsidR="00EF5174">
        <w:t xml:space="preserve">em suas formas logarítmicas </w:t>
      </w:r>
      <w:r w:rsidR="007C624C">
        <w:t>como:</w:t>
      </w:r>
    </w:p>
    <w:p w:rsidR="008164FC" w:rsidRDefault="008164FC" w:rsidP="00000A8D">
      <w:pPr>
        <w:ind w:firstLine="357"/>
        <w:jc w:val="both"/>
      </w:pPr>
    </w:p>
    <w:p w:rsidR="00042440" w:rsidRDefault="00D2285D" w:rsidP="00000A8D">
      <w:pPr>
        <w:jc w:val="both"/>
      </w:pPr>
      <w:r>
        <w:rPr>
          <w:noProof/>
        </w:rPr>
        <w:pict>
          <v:shape id="_x0000_s1047" type="#_x0000_t75" style="position:absolute;left:0;text-align:left;margin-left:-1.9pt;margin-top:14pt;width:175.95pt;height:23pt;z-index:251666432">
            <v:imagedata r:id="rId36" o:title=""/>
          </v:shape>
          <o:OLEObject Type="Embed" ProgID="Equation.3" ShapeID="_x0000_s1047" DrawAspect="Content" ObjectID="_1372651356" r:id="rId37"/>
        </w:pict>
      </w:r>
      <w:r w:rsidR="00AB3A8A">
        <w:sym w:font="Symbol" w:char="F0AE"/>
      </w:r>
      <w:r w:rsidR="00AB3A8A">
        <w:t xml:space="preserve"> Modelo de Solow</w:t>
      </w:r>
      <w:r w:rsidR="00D13DCB">
        <w:t>:</w:t>
      </w:r>
    </w:p>
    <w:p w:rsidR="00AB3A8A" w:rsidRDefault="003E4972" w:rsidP="00EF5174">
      <w:pPr>
        <w:ind w:firstLine="360"/>
      </w:pPr>
      <w:r>
        <w:t xml:space="preserve">                                                       </w:t>
      </w:r>
      <w:r w:rsidR="00AB3A8A">
        <w:t xml:space="preserve"> </w:t>
      </w:r>
      <w:r w:rsidR="00A44BDE">
        <w:t xml:space="preserve">                                                    </w:t>
      </w:r>
      <w:r w:rsidR="00AB3A8A">
        <w:t xml:space="preserve"> </w:t>
      </w:r>
      <w:r w:rsidR="00E51620">
        <w:t xml:space="preserve">            </w:t>
      </w:r>
      <w:r w:rsidR="00EF5174">
        <w:t xml:space="preserve">                 (14</w:t>
      </w:r>
      <w:r w:rsidR="00AB3A8A">
        <w:t>)</w:t>
      </w:r>
    </w:p>
    <w:p w:rsidR="008164FC" w:rsidRDefault="008164FC" w:rsidP="00000A8D">
      <w:pPr>
        <w:ind w:firstLine="360"/>
        <w:jc w:val="both"/>
      </w:pPr>
    </w:p>
    <w:p w:rsidR="00042440" w:rsidRDefault="00AB3A8A" w:rsidP="00000A8D">
      <w:pPr>
        <w:jc w:val="both"/>
      </w:pPr>
      <w:r>
        <w:sym w:font="Symbol" w:char="F0AE"/>
      </w:r>
      <w:r>
        <w:t xml:space="preserve"> Modelo MRW – H(a)</w:t>
      </w:r>
      <w:r w:rsidR="00D13DCB">
        <w:t>:</w:t>
      </w:r>
    </w:p>
    <w:p w:rsidR="008164FC" w:rsidRDefault="00D2285D" w:rsidP="00EF5174">
      <w:pPr>
        <w:ind w:firstLine="360"/>
      </w:pPr>
      <w:r>
        <w:rPr>
          <w:noProof/>
        </w:rPr>
        <w:pict>
          <v:shape id="_x0000_s1048" type="#_x0000_t75" style="position:absolute;left:0;text-align:left;margin-left:-1.9pt;margin-top:2pt;width:247pt;height:23pt;z-index:251667456">
            <v:imagedata r:id="rId38" o:title=""/>
          </v:shape>
          <o:OLEObject Type="Embed" ProgID="Equation.3" ShapeID="_x0000_s1048" DrawAspect="Content" ObjectID="_1372651357" r:id="rId39"/>
        </w:pict>
      </w:r>
      <w:r w:rsidR="003E4972">
        <w:t xml:space="preserve">                                                                           </w:t>
      </w:r>
      <w:r w:rsidR="00AB3A8A">
        <w:t xml:space="preserve">         </w:t>
      </w:r>
      <w:r w:rsidR="00A44BDE">
        <w:t xml:space="preserve">                              </w:t>
      </w:r>
      <w:r w:rsidR="00AB3A8A">
        <w:t xml:space="preserve"> </w:t>
      </w:r>
      <w:r w:rsidR="00E51620">
        <w:t xml:space="preserve">     </w:t>
      </w:r>
      <w:r w:rsidR="00EF5174">
        <w:t xml:space="preserve">                  (15</w:t>
      </w:r>
      <w:r w:rsidR="00AB3A8A">
        <w:t>)</w:t>
      </w:r>
    </w:p>
    <w:p w:rsidR="00D12136" w:rsidRDefault="00D12136" w:rsidP="00042440">
      <w:pPr>
        <w:jc w:val="both"/>
      </w:pPr>
    </w:p>
    <w:p w:rsidR="00042440" w:rsidRDefault="00AB3A8A" w:rsidP="00000A8D">
      <w:pPr>
        <w:jc w:val="both"/>
      </w:pPr>
      <w:r>
        <w:sym w:font="Symbol" w:char="F0AE"/>
      </w:r>
      <w:r>
        <w:t xml:space="preserve"> Modelo MRW – H(b)</w:t>
      </w:r>
      <w:r w:rsidR="00D13DCB">
        <w:t>:</w:t>
      </w:r>
    </w:p>
    <w:p w:rsidR="00AB3A8A" w:rsidRDefault="00D2285D" w:rsidP="003E4972">
      <w:pPr>
        <w:jc w:val="both"/>
      </w:pPr>
      <w:r>
        <w:rPr>
          <w:noProof/>
        </w:rPr>
        <w:pict>
          <v:shape id="_x0000_s1049" type="#_x0000_t75" style="position:absolute;left:0;text-align:left;margin-left:-1.9pt;margin-top:2.45pt;width:247pt;height:23pt;z-index:251668480">
            <v:imagedata r:id="rId40" o:title=""/>
          </v:shape>
          <o:OLEObject Type="Embed" ProgID="Equation.3" ShapeID="_x0000_s1049" DrawAspect="Content" ObjectID="_1372651358" r:id="rId41"/>
        </w:pict>
      </w:r>
      <w:r w:rsidR="003E4972">
        <w:t xml:space="preserve">                                                                                  </w:t>
      </w:r>
      <w:r w:rsidR="00EF5174">
        <w:t xml:space="preserve">                                                              (16</w:t>
      </w:r>
      <w:r w:rsidR="00AB3A8A">
        <w:t>)</w:t>
      </w:r>
    </w:p>
    <w:p w:rsidR="00852AD7" w:rsidRPr="002A171A" w:rsidRDefault="00852AD7" w:rsidP="00000A8D">
      <w:pPr>
        <w:jc w:val="both"/>
      </w:pPr>
    </w:p>
    <w:p w:rsidR="00042440" w:rsidRPr="004F2390" w:rsidRDefault="002A171A" w:rsidP="00042440">
      <w:pPr>
        <w:ind w:firstLine="360"/>
        <w:jc w:val="both"/>
      </w:pPr>
      <w:r w:rsidRPr="002A171A">
        <w:t xml:space="preserve">Lembrando que de acordo com Anselin (1988) e Anselin e Bera (1998), os modelos tradicionais de regressão linear, que não levam em conta os efeitos espaciais (autocorrelação e heterogeneidade espaciais), não devem ser estimados por intermédio do método dos mínimos quadrados ordinários, pois as estimativas serão inconsistentes e/ou ineficientes. </w:t>
      </w:r>
    </w:p>
    <w:p w:rsidR="00AC40E6" w:rsidRPr="0011792F" w:rsidRDefault="00AC40E6" w:rsidP="00000A8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97"/>
        <w:gridCol w:w="1080"/>
        <w:gridCol w:w="983"/>
        <w:gridCol w:w="1177"/>
        <w:gridCol w:w="1043"/>
        <w:gridCol w:w="1297"/>
        <w:gridCol w:w="872"/>
      </w:tblGrid>
      <w:tr w:rsidR="006766C3" w:rsidTr="003F1653">
        <w:trPr>
          <w:jc w:val="center"/>
        </w:trPr>
        <w:tc>
          <w:tcPr>
            <w:tcW w:w="8720" w:type="dxa"/>
            <w:gridSpan w:val="8"/>
            <w:tcBorders>
              <w:top w:val="nil"/>
              <w:left w:val="nil"/>
              <w:bottom w:val="single" w:sz="4" w:space="0" w:color="auto"/>
              <w:right w:val="nil"/>
            </w:tcBorders>
          </w:tcPr>
          <w:p w:rsidR="006766C3" w:rsidRPr="003F1653" w:rsidRDefault="006766C3" w:rsidP="003F1653">
            <w:pPr>
              <w:jc w:val="both"/>
              <w:rPr>
                <w:b/>
              </w:rPr>
            </w:pPr>
            <w:r w:rsidRPr="00616BFA">
              <w:t>Tabela 1. Estimação dos Modelos de Crescimento por Mínimos Quadrados Ordinários</w:t>
            </w:r>
          </w:p>
        </w:tc>
      </w:tr>
      <w:tr w:rsidR="00782558" w:rsidTr="003F1653">
        <w:trPr>
          <w:jc w:val="center"/>
        </w:trPr>
        <w:tc>
          <w:tcPr>
            <w:tcW w:w="2268" w:type="dxa"/>
            <w:gridSpan w:val="2"/>
            <w:tcBorders>
              <w:left w:val="nil"/>
              <w:bottom w:val="single" w:sz="4" w:space="0" w:color="auto"/>
              <w:right w:val="single" w:sz="4" w:space="0" w:color="auto"/>
            </w:tcBorders>
          </w:tcPr>
          <w:p w:rsidR="00782558" w:rsidRPr="008F4C03" w:rsidRDefault="00782558" w:rsidP="003F1653">
            <w:pPr>
              <w:jc w:val="both"/>
            </w:pPr>
            <w:r w:rsidRPr="008F4C03">
              <w:t>Var. dependente: Y</w:t>
            </w:r>
          </w:p>
        </w:tc>
        <w:tc>
          <w:tcPr>
            <w:tcW w:w="6452" w:type="dxa"/>
            <w:gridSpan w:val="6"/>
            <w:tcBorders>
              <w:left w:val="single" w:sz="4" w:space="0" w:color="auto"/>
              <w:bottom w:val="single" w:sz="4" w:space="0" w:color="auto"/>
              <w:right w:val="nil"/>
            </w:tcBorders>
          </w:tcPr>
          <w:p w:rsidR="00782558" w:rsidRPr="008F4C03" w:rsidRDefault="00782558" w:rsidP="003F1653">
            <w:pPr>
              <w:jc w:val="center"/>
            </w:pPr>
            <w:r w:rsidRPr="008F4C03">
              <w:t>Modelos</w:t>
            </w:r>
          </w:p>
        </w:tc>
      </w:tr>
      <w:tr w:rsidR="0037401F" w:rsidTr="003F1653">
        <w:trPr>
          <w:jc w:val="center"/>
        </w:trPr>
        <w:tc>
          <w:tcPr>
            <w:tcW w:w="2171" w:type="dxa"/>
            <w:tcBorders>
              <w:top w:val="single" w:sz="4" w:space="0" w:color="auto"/>
              <w:left w:val="nil"/>
              <w:bottom w:val="single" w:sz="4" w:space="0" w:color="auto"/>
              <w:right w:val="nil"/>
            </w:tcBorders>
          </w:tcPr>
          <w:p w:rsidR="006766C3" w:rsidRPr="003F1653" w:rsidRDefault="006766C3" w:rsidP="003F1653">
            <w:pPr>
              <w:jc w:val="both"/>
              <w:rPr>
                <w:b/>
                <w:sz w:val="20"/>
                <w:szCs w:val="20"/>
              </w:rPr>
            </w:pPr>
          </w:p>
        </w:tc>
        <w:tc>
          <w:tcPr>
            <w:tcW w:w="2160" w:type="dxa"/>
            <w:gridSpan w:val="3"/>
            <w:tcBorders>
              <w:top w:val="single" w:sz="4" w:space="0" w:color="auto"/>
              <w:left w:val="nil"/>
              <w:bottom w:val="nil"/>
              <w:right w:val="nil"/>
            </w:tcBorders>
          </w:tcPr>
          <w:p w:rsidR="006766C3" w:rsidRPr="003F1653" w:rsidRDefault="006E130B" w:rsidP="003F1653">
            <w:pPr>
              <w:jc w:val="center"/>
              <w:rPr>
                <w:sz w:val="20"/>
                <w:szCs w:val="20"/>
              </w:rPr>
            </w:pPr>
            <w:r w:rsidRPr="003F1653">
              <w:rPr>
                <w:sz w:val="20"/>
                <w:szCs w:val="20"/>
              </w:rPr>
              <w:t>Solow (1956</w:t>
            </w:r>
            <w:r w:rsidR="006766C3" w:rsidRPr="003F1653">
              <w:rPr>
                <w:sz w:val="20"/>
                <w:szCs w:val="20"/>
              </w:rPr>
              <w:t>)</w:t>
            </w:r>
          </w:p>
        </w:tc>
        <w:tc>
          <w:tcPr>
            <w:tcW w:w="2220" w:type="dxa"/>
            <w:gridSpan w:val="2"/>
            <w:tcBorders>
              <w:top w:val="single" w:sz="4" w:space="0" w:color="auto"/>
              <w:left w:val="nil"/>
              <w:bottom w:val="nil"/>
              <w:right w:val="nil"/>
            </w:tcBorders>
          </w:tcPr>
          <w:p w:rsidR="006766C3" w:rsidRPr="003F1653" w:rsidRDefault="006766C3" w:rsidP="003F1653">
            <w:pPr>
              <w:jc w:val="center"/>
              <w:rPr>
                <w:sz w:val="20"/>
                <w:szCs w:val="20"/>
              </w:rPr>
            </w:pPr>
            <w:r w:rsidRPr="003F1653">
              <w:rPr>
                <w:sz w:val="20"/>
                <w:szCs w:val="20"/>
              </w:rPr>
              <w:t>MRW (1992) - H(a)</w:t>
            </w:r>
          </w:p>
        </w:tc>
        <w:tc>
          <w:tcPr>
            <w:tcW w:w="2169" w:type="dxa"/>
            <w:gridSpan w:val="2"/>
            <w:tcBorders>
              <w:top w:val="single" w:sz="4" w:space="0" w:color="auto"/>
              <w:left w:val="nil"/>
              <w:bottom w:val="nil"/>
              <w:right w:val="nil"/>
            </w:tcBorders>
          </w:tcPr>
          <w:p w:rsidR="006766C3" w:rsidRPr="003F1653" w:rsidRDefault="006766C3" w:rsidP="003F1653">
            <w:pPr>
              <w:jc w:val="center"/>
              <w:rPr>
                <w:sz w:val="20"/>
                <w:szCs w:val="20"/>
              </w:rPr>
            </w:pPr>
            <w:r w:rsidRPr="003F1653">
              <w:rPr>
                <w:sz w:val="20"/>
                <w:szCs w:val="20"/>
              </w:rPr>
              <w:t>MRW (1992) - H(b)</w:t>
            </w:r>
          </w:p>
        </w:tc>
      </w:tr>
      <w:tr w:rsidR="00787ECC" w:rsidTr="003F1653">
        <w:trPr>
          <w:jc w:val="center"/>
        </w:trPr>
        <w:tc>
          <w:tcPr>
            <w:tcW w:w="2171"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Variável</w:t>
            </w:r>
          </w:p>
        </w:tc>
        <w:tc>
          <w:tcPr>
            <w:tcW w:w="1177" w:type="dxa"/>
            <w:gridSpan w:val="2"/>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Coef.</w:t>
            </w:r>
          </w:p>
        </w:tc>
        <w:tc>
          <w:tcPr>
            <w:tcW w:w="983"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Prob.</w:t>
            </w:r>
          </w:p>
        </w:tc>
        <w:tc>
          <w:tcPr>
            <w:tcW w:w="1177"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Coef.</w:t>
            </w:r>
          </w:p>
        </w:tc>
        <w:tc>
          <w:tcPr>
            <w:tcW w:w="1043"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Prob.</w:t>
            </w:r>
          </w:p>
        </w:tc>
        <w:tc>
          <w:tcPr>
            <w:tcW w:w="1297"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Coef</w:t>
            </w:r>
          </w:p>
        </w:tc>
        <w:tc>
          <w:tcPr>
            <w:tcW w:w="872" w:type="dxa"/>
            <w:tcBorders>
              <w:left w:val="nil"/>
              <w:bottom w:val="single" w:sz="4" w:space="0" w:color="auto"/>
              <w:right w:val="nil"/>
            </w:tcBorders>
          </w:tcPr>
          <w:p w:rsidR="006766C3" w:rsidRPr="003F1653" w:rsidRDefault="006766C3" w:rsidP="003F1653">
            <w:pPr>
              <w:jc w:val="center"/>
              <w:rPr>
                <w:sz w:val="20"/>
                <w:szCs w:val="20"/>
              </w:rPr>
            </w:pPr>
            <w:r w:rsidRPr="003F1653">
              <w:rPr>
                <w:sz w:val="20"/>
                <w:szCs w:val="20"/>
              </w:rPr>
              <w:t>Prob</w:t>
            </w:r>
          </w:p>
        </w:tc>
      </w:tr>
      <w:tr w:rsidR="00787ECC" w:rsidRPr="006766C3" w:rsidTr="003F1653">
        <w:trPr>
          <w:jc w:val="center"/>
        </w:trPr>
        <w:tc>
          <w:tcPr>
            <w:tcW w:w="2171" w:type="dxa"/>
            <w:tcBorders>
              <w:top w:val="single" w:sz="4" w:space="0" w:color="auto"/>
              <w:left w:val="nil"/>
              <w:bottom w:val="nil"/>
              <w:right w:val="nil"/>
            </w:tcBorders>
          </w:tcPr>
          <w:p w:rsidR="003B7D7B" w:rsidRPr="003F1653" w:rsidRDefault="003B7D7B" w:rsidP="003F1653">
            <w:pPr>
              <w:jc w:val="both"/>
              <w:rPr>
                <w:sz w:val="20"/>
                <w:szCs w:val="20"/>
              </w:rPr>
            </w:pPr>
            <w:r w:rsidRPr="003F1653">
              <w:rPr>
                <w:sz w:val="20"/>
                <w:szCs w:val="20"/>
              </w:rPr>
              <w:t>AL</w:t>
            </w:r>
          </w:p>
        </w:tc>
        <w:tc>
          <w:tcPr>
            <w:tcW w:w="1177" w:type="dxa"/>
            <w:gridSpan w:val="2"/>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 xml:space="preserve">0.476   </w:t>
            </w:r>
          </w:p>
        </w:tc>
        <w:tc>
          <w:tcPr>
            <w:tcW w:w="983" w:type="dxa"/>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0.000</w:t>
            </w:r>
          </w:p>
        </w:tc>
        <w:tc>
          <w:tcPr>
            <w:tcW w:w="1177" w:type="dxa"/>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0.458</w:t>
            </w:r>
          </w:p>
        </w:tc>
        <w:tc>
          <w:tcPr>
            <w:tcW w:w="1043" w:type="dxa"/>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0.000</w:t>
            </w:r>
          </w:p>
        </w:tc>
        <w:tc>
          <w:tcPr>
            <w:tcW w:w="1297" w:type="dxa"/>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 xml:space="preserve">0.282   </w:t>
            </w:r>
          </w:p>
        </w:tc>
        <w:tc>
          <w:tcPr>
            <w:tcW w:w="872" w:type="dxa"/>
            <w:tcBorders>
              <w:top w:val="single" w:sz="4" w:space="0" w:color="auto"/>
              <w:left w:val="nil"/>
              <w:bottom w:val="nil"/>
              <w:right w:val="nil"/>
            </w:tcBorders>
          </w:tcPr>
          <w:p w:rsidR="003B7D7B" w:rsidRPr="003F1653" w:rsidRDefault="003B7D7B"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tcPr>
          <w:p w:rsidR="003B7D7B" w:rsidRPr="003F1653" w:rsidRDefault="003B7D7B" w:rsidP="003F1653">
            <w:pPr>
              <w:jc w:val="both"/>
              <w:rPr>
                <w:sz w:val="20"/>
                <w:szCs w:val="20"/>
              </w:rPr>
            </w:pPr>
            <w:r w:rsidRPr="003F1653">
              <w:rPr>
                <w:sz w:val="20"/>
                <w:szCs w:val="20"/>
              </w:rPr>
              <w:t>AK</w:t>
            </w:r>
          </w:p>
        </w:tc>
        <w:tc>
          <w:tcPr>
            <w:tcW w:w="1177" w:type="dxa"/>
            <w:gridSpan w:val="2"/>
            <w:tcBorders>
              <w:top w:val="nil"/>
              <w:left w:val="nil"/>
              <w:bottom w:val="nil"/>
              <w:right w:val="nil"/>
            </w:tcBorders>
          </w:tcPr>
          <w:p w:rsidR="003B7D7B" w:rsidRPr="003F1653" w:rsidRDefault="003B7D7B" w:rsidP="003F1653">
            <w:pPr>
              <w:jc w:val="center"/>
              <w:rPr>
                <w:b/>
                <w:sz w:val="20"/>
                <w:szCs w:val="20"/>
              </w:rPr>
            </w:pPr>
            <w:r w:rsidRPr="003F1653">
              <w:rPr>
                <w:sz w:val="20"/>
                <w:szCs w:val="20"/>
              </w:rPr>
              <w:t xml:space="preserve">0.495 </w:t>
            </w:r>
          </w:p>
        </w:tc>
        <w:tc>
          <w:tcPr>
            <w:tcW w:w="983"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0.000</w:t>
            </w:r>
          </w:p>
        </w:tc>
        <w:tc>
          <w:tcPr>
            <w:tcW w:w="1177"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0.490</w:t>
            </w:r>
          </w:p>
        </w:tc>
        <w:tc>
          <w:tcPr>
            <w:tcW w:w="1043"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 xml:space="preserve">0.363  </w:t>
            </w:r>
          </w:p>
        </w:tc>
        <w:tc>
          <w:tcPr>
            <w:tcW w:w="872"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tcPr>
          <w:p w:rsidR="003B7D7B" w:rsidRPr="003F1653" w:rsidRDefault="003B7D7B" w:rsidP="003F1653">
            <w:pPr>
              <w:jc w:val="both"/>
              <w:rPr>
                <w:sz w:val="20"/>
                <w:szCs w:val="20"/>
              </w:rPr>
            </w:pPr>
            <w:r w:rsidRPr="003F1653">
              <w:rPr>
                <w:sz w:val="20"/>
                <w:szCs w:val="20"/>
              </w:rPr>
              <w:t>H(a)</w:t>
            </w:r>
          </w:p>
        </w:tc>
        <w:tc>
          <w:tcPr>
            <w:tcW w:w="1177" w:type="dxa"/>
            <w:gridSpan w:val="2"/>
            <w:tcBorders>
              <w:top w:val="nil"/>
              <w:left w:val="nil"/>
              <w:bottom w:val="nil"/>
              <w:right w:val="nil"/>
            </w:tcBorders>
          </w:tcPr>
          <w:p w:rsidR="003B7D7B" w:rsidRPr="003F1653" w:rsidRDefault="003B7D7B" w:rsidP="003F1653">
            <w:pPr>
              <w:jc w:val="center"/>
              <w:rPr>
                <w:b/>
                <w:sz w:val="20"/>
                <w:szCs w:val="20"/>
              </w:rPr>
            </w:pPr>
          </w:p>
        </w:tc>
        <w:tc>
          <w:tcPr>
            <w:tcW w:w="983" w:type="dxa"/>
            <w:tcBorders>
              <w:top w:val="nil"/>
              <w:left w:val="nil"/>
              <w:bottom w:val="nil"/>
              <w:right w:val="nil"/>
            </w:tcBorders>
          </w:tcPr>
          <w:p w:rsidR="003B7D7B" w:rsidRPr="003F1653" w:rsidRDefault="003B7D7B" w:rsidP="003F1653">
            <w:pPr>
              <w:jc w:val="center"/>
              <w:rPr>
                <w:b/>
                <w:sz w:val="20"/>
                <w:szCs w:val="20"/>
              </w:rPr>
            </w:pPr>
          </w:p>
        </w:tc>
        <w:tc>
          <w:tcPr>
            <w:tcW w:w="1177"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0.605</w:t>
            </w:r>
          </w:p>
        </w:tc>
        <w:tc>
          <w:tcPr>
            <w:tcW w:w="1043" w:type="dxa"/>
            <w:tcBorders>
              <w:top w:val="nil"/>
              <w:left w:val="nil"/>
              <w:bottom w:val="nil"/>
              <w:right w:val="nil"/>
            </w:tcBorders>
          </w:tcPr>
          <w:p w:rsidR="003B7D7B" w:rsidRPr="003F1653" w:rsidRDefault="003B7D7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3B7D7B" w:rsidRPr="003F1653" w:rsidRDefault="003B7D7B" w:rsidP="003F1653">
            <w:pPr>
              <w:jc w:val="center"/>
              <w:rPr>
                <w:b/>
                <w:sz w:val="20"/>
                <w:szCs w:val="20"/>
              </w:rPr>
            </w:pPr>
          </w:p>
        </w:tc>
        <w:tc>
          <w:tcPr>
            <w:tcW w:w="872" w:type="dxa"/>
            <w:tcBorders>
              <w:top w:val="nil"/>
              <w:left w:val="nil"/>
              <w:bottom w:val="nil"/>
              <w:right w:val="nil"/>
            </w:tcBorders>
          </w:tcPr>
          <w:p w:rsidR="003B7D7B" w:rsidRPr="003F1653" w:rsidRDefault="003B7D7B" w:rsidP="003F1653">
            <w:pPr>
              <w:jc w:val="center"/>
              <w:rPr>
                <w:b/>
                <w:sz w:val="20"/>
                <w:szCs w:val="20"/>
              </w:rPr>
            </w:pPr>
          </w:p>
        </w:tc>
      </w:tr>
      <w:tr w:rsidR="00787ECC" w:rsidRPr="006766C3" w:rsidTr="003F1653">
        <w:trPr>
          <w:jc w:val="center"/>
        </w:trPr>
        <w:tc>
          <w:tcPr>
            <w:tcW w:w="2171" w:type="dxa"/>
            <w:tcBorders>
              <w:top w:val="nil"/>
              <w:left w:val="nil"/>
              <w:right w:val="nil"/>
            </w:tcBorders>
          </w:tcPr>
          <w:p w:rsidR="0037401F" w:rsidRPr="003F1653" w:rsidRDefault="0037401F" w:rsidP="003F1653">
            <w:pPr>
              <w:jc w:val="both"/>
              <w:rPr>
                <w:sz w:val="20"/>
                <w:szCs w:val="20"/>
              </w:rPr>
            </w:pPr>
            <w:r w:rsidRPr="003F1653">
              <w:rPr>
                <w:sz w:val="20"/>
                <w:szCs w:val="20"/>
              </w:rPr>
              <w:t>H(b)</w:t>
            </w:r>
          </w:p>
        </w:tc>
        <w:tc>
          <w:tcPr>
            <w:tcW w:w="1177" w:type="dxa"/>
            <w:gridSpan w:val="2"/>
            <w:tcBorders>
              <w:top w:val="nil"/>
              <w:left w:val="nil"/>
              <w:bottom w:val="nil"/>
              <w:right w:val="nil"/>
            </w:tcBorders>
          </w:tcPr>
          <w:p w:rsidR="0037401F" w:rsidRPr="003F1653" w:rsidRDefault="0037401F" w:rsidP="003F1653">
            <w:pPr>
              <w:jc w:val="center"/>
              <w:rPr>
                <w:b/>
                <w:sz w:val="20"/>
                <w:szCs w:val="20"/>
              </w:rPr>
            </w:pPr>
          </w:p>
        </w:tc>
        <w:tc>
          <w:tcPr>
            <w:tcW w:w="983" w:type="dxa"/>
            <w:tcBorders>
              <w:top w:val="nil"/>
              <w:left w:val="nil"/>
              <w:bottom w:val="nil"/>
              <w:right w:val="nil"/>
            </w:tcBorders>
          </w:tcPr>
          <w:p w:rsidR="0037401F" w:rsidRPr="003F1653" w:rsidRDefault="0037401F" w:rsidP="003F1653">
            <w:pPr>
              <w:jc w:val="center"/>
              <w:rPr>
                <w:b/>
                <w:sz w:val="20"/>
                <w:szCs w:val="20"/>
              </w:rPr>
            </w:pPr>
          </w:p>
        </w:tc>
        <w:tc>
          <w:tcPr>
            <w:tcW w:w="1177" w:type="dxa"/>
            <w:tcBorders>
              <w:top w:val="nil"/>
              <w:left w:val="nil"/>
              <w:bottom w:val="nil"/>
              <w:right w:val="nil"/>
            </w:tcBorders>
          </w:tcPr>
          <w:p w:rsidR="0037401F" w:rsidRPr="003F1653" w:rsidRDefault="0037401F" w:rsidP="003F1653">
            <w:pPr>
              <w:jc w:val="center"/>
              <w:rPr>
                <w:b/>
                <w:sz w:val="20"/>
                <w:szCs w:val="20"/>
              </w:rPr>
            </w:pPr>
          </w:p>
        </w:tc>
        <w:tc>
          <w:tcPr>
            <w:tcW w:w="1043" w:type="dxa"/>
            <w:tcBorders>
              <w:top w:val="nil"/>
              <w:left w:val="nil"/>
              <w:bottom w:val="nil"/>
              <w:right w:val="nil"/>
            </w:tcBorders>
          </w:tcPr>
          <w:p w:rsidR="0037401F" w:rsidRPr="003F1653" w:rsidRDefault="0037401F" w:rsidP="003F1653">
            <w:pPr>
              <w:jc w:val="center"/>
              <w:rPr>
                <w:b/>
                <w:sz w:val="20"/>
                <w:szCs w:val="20"/>
              </w:rPr>
            </w:pPr>
          </w:p>
        </w:tc>
        <w:tc>
          <w:tcPr>
            <w:tcW w:w="1297" w:type="dxa"/>
            <w:tcBorders>
              <w:top w:val="nil"/>
              <w:left w:val="nil"/>
              <w:bottom w:val="nil"/>
              <w:right w:val="nil"/>
            </w:tcBorders>
          </w:tcPr>
          <w:p w:rsidR="0037401F" w:rsidRPr="003F1653" w:rsidRDefault="0037401F" w:rsidP="003F1653">
            <w:pPr>
              <w:jc w:val="center"/>
              <w:rPr>
                <w:b/>
                <w:sz w:val="20"/>
                <w:szCs w:val="20"/>
              </w:rPr>
            </w:pPr>
            <w:r w:rsidRPr="003F1653">
              <w:rPr>
                <w:sz w:val="20"/>
                <w:szCs w:val="20"/>
              </w:rPr>
              <w:t xml:space="preserve">0.362   </w:t>
            </w:r>
          </w:p>
        </w:tc>
        <w:tc>
          <w:tcPr>
            <w:tcW w:w="872" w:type="dxa"/>
            <w:tcBorders>
              <w:top w:val="nil"/>
              <w:left w:val="nil"/>
              <w:bottom w:val="nil"/>
              <w:right w:val="nil"/>
            </w:tcBorders>
          </w:tcPr>
          <w:p w:rsidR="0037401F" w:rsidRPr="003F1653" w:rsidRDefault="0037401F" w:rsidP="003F1653">
            <w:pPr>
              <w:jc w:val="center"/>
              <w:rPr>
                <w:b/>
                <w:sz w:val="20"/>
                <w:szCs w:val="20"/>
              </w:rPr>
            </w:pPr>
            <w:r w:rsidRPr="003F1653">
              <w:rPr>
                <w:sz w:val="20"/>
                <w:szCs w:val="20"/>
              </w:rPr>
              <w:t>0.000</w:t>
            </w:r>
          </w:p>
        </w:tc>
      </w:tr>
      <w:tr w:rsidR="00787ECC" w:rsidRPr="006766C3" w:rsidTr="003F1653">
        <w:trPr>
          <w:jc w:val="center"/>
        </w:trPr>
        <w:tc>
          <w:tcPr>
            <w:tcW w:w="8720" w:type="dxa"/>
            <w:gridSpan w:val="8"/>
            <w:tcBorders>
              <w:left w:val="nil"/>
              <w:right w:val="nil"/>
            </w:tcBorders>
          </w:tcPr>
          <w:p w:rsidR="00787ECC" w:rsidRPr="003F1653" w:rsidRDefault="00787ECC" w:rsidP="003F1653">
            <w:pPr>
              <w:jc w:val="center"/>
              <w:rPr>
                <w:b/>
                <w:sz w:val="20"/>
                <w:szCs w:val="20"/>
              </w:rPr>
            </w:pPr>
          </w:p>
        </w:tc>
      </w:tr>
      <w:tr w:rsidR="00787ECC" w:rsidRPr="006766C3" w:rsidTr="003F1653">
        <w:trPr>
          <w:jc w:val="center"/>
        </w:trPr>
        <w:tc>
          <w:tcPr>
            <w:tcW w:w="2171" w:type="dxa"/>
            <w:tcBorders>
              <w:left w:val="nil"/>
              <w:bottom w:val="nil"/>
              <w:right w:val="nil"/>
            </w:tcBorders>
            <w:vAlign w:val="bottom"/>
          </w:tcPr>
          <w:p w:rsidR="00EF6464" w:rsidRPr="003F1653" w:rsidRDefault="00EF6464" w:rsidP="00000A8D">
            <w:pPr>
              <w:rPr>
                <w:sz w:val="20"/>
                <w:szCs w:val="20"/>
              </w:rPr>
            </w:pPr>
            <w:r w:rsidRPr="003F1653">
              <w:rPr>
                <w:sz w:val="20"/>
                <w:szCs w:val="20"/>
              </w:rPr>
              <w:t>Multicolinearidade</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9.449</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10.804</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11.493</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sz w:val="20"/>
                <w:szCs w:val="20"/>
              </w:rPr>
              <w:t>Teste de Jarque-Bera</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8265.866</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8338.069</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28846.621</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right w:val="nil"/>
            </w:tcBorders>
            <w:vAlign w:val="bottom"/>
          </w:tcPr>
          <w:p w:rsidR="00EF6464" w:rsidRPr="003F1653" w:rsidRDefault="00EF6464" w:rsidP="00000A8D">
            <w:pPr>
              <w:rPr>
                <w:sz w:val="20"/>
                <w:szCs w:val="20"/>
              </w:rPr>
            </w:pPr>
            <w:r w:rsidRPr="003F1653">
              <w:rPr>
                <w:sz w:val="20"/>
                <w:szCs w:val="20"/>
              </w:rPr>
              <w:t>Teste Koenker - Bassett</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57.776</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67.446</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20.093</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8720" w:type="dxa"/>
            <w:gridSpan w:val="8"/>
            <w:tcBorders>
              <w:left w:val="nil"/>
              <w:right w:val="nil"/>
            </w:tcBorders>
            <w:vAlign w:val="bottom"/>
          </w:tcPr>
          <w:p w:rsidR="00787ECC" w:rsidRPr="003F1653" w:rsidRDefault="00787ECC" w:rsidP="003F1653">
            <w:pPr>
              <w:jc w:val="center"/>
              <w:rPr>
                <w:b/>
                <w:sz w:val="20"/>
                <w:szCs w:val="20"/>
              </w:rPr>
            </w:pPr>
          </w:p>
        </w:tc>
      </w:tr>
      <w:tr w:rsidR="00787ECC" w:rsidRPr="006766C3" w:rsidTr="003F1653">
        <w:trPr>
          <w:jc w:val="center"/>
        </w:trPr>
        <w:tc>
          <w:tcPr>
            <w:tcW w:w="2171" w:type="dxa"/>
            <w:tcBorders>
              <w:left w:val="nil"/>
              <w:bottom w:val="nil"/>
              <w:right w:val="nil"/>
            </w:tcBorders>
            <w:vAlign w:val="bottom"/>
          </w:tcPr>
          <w:p w:rsidR="00EF6464" w:rsidRPr="003F1653" w:rsidRDefault="00EF6464" w:rsidP="00000A8D">
            <w:pPr>
              <w:rPr>
                <w:sz w:val="20"/>
                <w:szCs w:val="20"/>
              </w:rPr>
            </w:pPr>
            <w:r w:rsidRPr="003F1653">
              <w:rPr>
                <w:i/>
                <w:sz w:val="20"/>
                <w:szCs w:val="20"/>
              </w:rPr>
              <w:t xml:space="preserve">I </w:t>
            </w:r>
            <w:r w:rsidRPr="003F1653">
              <w:rPr>
                <w:sz w:val="20"/>
                <w:szCs w:val="20"/>
              </w:rPr>
              <w:t>de Moran</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0.183</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0.152    </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0.156</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i/>
                <w:sz w:val="20"/>
                <w:szCs w:val="20"/>
              </w:rPr>
              <w:t>ML</w:t>
            </w:r>
            <w:r w:rsidRPr="003F1653">
              <w:rPr>
                <w:sz w:val="20"/>
                <w:szCs w:val="20"/>
              </w:rPr>
              <w:t xml:space="preserve"> - Erro</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90.170</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61.963     </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65.435</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i/>
                <w:sz w:val="20"/>
                <w:szCs w:val="20"/>
              </w:rPr>
              <w:t>MLR</w:t>
            </w:r>
            <w:r w:rsidRPr="003F1653">
              <w:rPr>
                <w:sz w:val="20"/>
                <w:szCs w:val="20"/>
              </w:rPr>
              <w:t xml:space="preserve"> - Erro</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64.890     </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42.559</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69.260</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i/>
                <w:sz w:val="20"/>
                <w:szCs w:val="20"/>
              </w:rPr>
              <w:t>ML</w:t>
            </w:r>
            <w:r w:rsidRPr="003F1653">
              <w:rPr>
                <w:sz w:val="20"/>
                <w:szCs w:val="20"/>
              </w:rPr>
              <w:t xml:space="preserve"> - Defasagem</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138.209     </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121.368     </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6.612</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0.01</w:t>
            </w:r>
            <w:r w:rsidR="002A4F2B" w:rsidRPr="003F1653">
              <w:rPr>
                <w:sz w:val="20"/>
                <w:szCs w:val="20"/>
              </w:rPr>
              <w:t>1</w:t>
            </w: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i/>
                <w:sz w:val="20"/>
                <w:szCs w:val="20"/>
              </w:rPr>
              <w:t>LMR</w:t>
            </w:r>
            <w:r w:rsidRPr="003F1653">
              <w:rPr>
                <w:sz w:val="20"/>
                <w:szCs w:val="20"/>
              </w:rPr>
              <w:t xml:space="preserve"> - Defasagem</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112.928     </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101.965     </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10.438</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0.001</w:t>
            </w:r>
          </w:p>
        </w:tc>
      </w:tr>
      <w:tr w:rsidR="00787ECC" w:rsidRPr="006766C3" w:rsidTr="003F1653">
        <w:trPr>
          <w:jc w:val="center"/>
        </w:trPr>
        <w:tc>
          <w:tcPr>
            <w:tcW w:w="2171" w:type="dxa"/>
            <w:tcBorders>
              <w:top w:val="nil"/>
              <w:left w:val="nil"/>
              <w:right w:val="nil"/>
            </w:tcBorders>
            <w:vAlign w:val="bottom"/>
          </w:tcPr>
          <w:p w:rsidR="00EF6464" w:rsidRPr="003F1653" w:rsidRDefault="00EF6464" w:rsidP="00000A8D">
            <w:pPr>
              <w:rPr>
                <w:sz w:val="20"/>
                <w:szCs w:val="20"/>
              </w:rPr>
            </w:pPr>
            <w:r w:rsidRPr="003F1653">
              <w:rPr>
                <w:sz w:val="20"/>
                <w:szCs w:val="20"/>
              </w:rPr>
              <w:t>Teste SARMA</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203.099</w:t>
            </w:r>
          </w:p>
        </w:tc>
        <w:tc>
          <w:tcPr>
            <w:tcW w:w="98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163.928     </w:t>
            </w:r>
          </w:p>
        </w:tc>
        <w:tc>
          <w:tcPr>
            <w:tcW w:w="1043"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 xml:space="preserve">75.873     </w:t>
            </w:r>
          </w:p>
        </w:tc>
        <w:tc>
          <w:tcPr>
            <w:tcW w:w="872"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0.000</w:t>
            </w:r>
          </w:p>
        </w:tc>
      </w:tr>
      <w:tr w:rsidR="00787ECC" w:rsidRPr="006766C3" w:rsidTr="003F1653">
        <w:trPr>
          <w:jc w:val="center"/>
        </w:trPr>
        <w:tc>
          <w:tcPr>
            <w:tcW w:w="8720" w:type="dxa"/>
            <w:gridSpan w:val="8"/>
            <w:tcBorders>
              <w:left w:val="nil"/>
              <w:right w:val="nil"/>
            </w:tcBorders>
            <w:vAlign w:val="bottom"/>
          </w:tcPr>
          <w:p w:rsidR="00787ECC" w:rsidRPr="003F1653" w:rsidRDefault="00787ECC" w:rsidP="003F1653">
            <w:pPr>
              <w:jc w:val="center"/>
              <w:rPr>
                <w:b/>
                <w:sz w:val="20"/>
                <w:szCs w:val="20"/>
              </w:rPr>
            </w:pPr>
          </w:p>
        </w:tc>
      </w:tr>
      <w:tr w:rsidR="00787ECC" w:rsidRPr="006766C3" w:rsidTr="003F1653">
        <w:trPr>
          <w:jc w:val="center"/>
        </w:trPr>
        <w:tc>
          <w:tcPr>
            <w:tcW w:w="2171" w:type="dxa"/>
            <w:tcBorders>
              <w:left w:val="nil"/>
              <w:bottom w:val="nil"/>
              <w:right w:val="nil"/>
            </w:tcBorders>
            <w:vAlign w:val="bottom"/>
          </w:tcPr>
          <w:p w:rsidR="00EF6464" w:rsidRPr="003F1653" w:rsidRDefault="00EF6464" w:rsidP="00000A8D">
            <w:pPr>
              <w:rPr>
                <w:sz w:val="20"/>
                <w:szCs w:val="20"/>
              </w:rPr>
            </w:pPr>
            <w:r w:rsidRPr="003F1653">
              <w:rPr>
                <w:sz w:val="20"/>
                <w:szCs w:val="20"/>
              </w:rPr>
              <w:t>AIC</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-605.898</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-637.256</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-1650.37</w:t>
            </w:r>
          </w:p>
        </w:tc>
        <w:tc>
          <w:tcPr>
            <w:tcW w:w="872" w:type="dxa"/>
            <w:tcBorders>
              <w:top w:val="nil"/>
              <w:left w:val="nil"/>
              <w:bottom w:val="nil"/>
              <w:right w:val="nil"/>
            </w:tcBorders>
          </w:tcPr>
          <w:p w:rsidR="00EF6464" w:rsidRPr="003F1653" w:rsidRDefault="00EF6464" w:rsidP="003F1653">
            <w:pPr>
              <w:jc w:val="center"/>
              <w:rPr>
                <w:b/>
                <w:sz w:val="20"/>
                <w:szCs w:val="20"/>
              </w:rPr>
            </w:pP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sz w:val="20"/>
                <w:szCs w:val="20"/>
              </w:rPr>
              <w:t>SC</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-596.400</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-623.010</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-1636.13</w:t>
            </w:r>
          </w:p>
        </w:tc>
        <w:tc>
          <w:tcPr>
            <w:tcW w:w="872" w:type="dxa"/>
            <w:tcBorders>
              <w:top w:val="nil"/>
              <w:left w:val="nil"/>
              <w:bottom w:val="nil"/>
              <w:right w:val="nil"/>
            </w:tcBorders>
          </w:tcPr>
          <w:p w:rsidR="00EF6464" w:rsidRPr="003F1653" w:rsidRDefault="00EF6464" w:rsidP="003F1653">
            <w:pPr>
              <w:jc w:val="center"/>
              <w:rPr>
                <w:b/>
                <w:sz w:val="20"/>
                <w:szCs w:val="20"/>
              </w:rPr>
            </w:pPr>
          </w:p>
        </w:tc>
      </w:tr>
      <w:tr w:rsidR="00787ECC" w:rsidRPr="006766C3" w:rsidTr="003F1653">
        <w:trPr>
          <w:jc w:val="center"/>
        </w:trPr>
        <w:tc>
          <w:tcPr>
            <w:tcW w:w="2171" w:type="dxa"/>
            <w:tcBorders>
              <w:top w:val="nil"/>
              <w:left w:val="nil"/>
              <w:bottom w:val="nil"/>
              <w:right w:val="nil"/>
            </w:tcBorders>
            <w:vAlign w:val="bottom"/>
          </w:tcPr>
          <w:p w:rsidR="00EF6464" w:rsidRPr="003F1653" w:rsidRDefault="00EF6464" w:rsidP="00000A8D">
            <w:pPr>
              <w:rPr>
                <w:sz w:val="20"/>
                <w:szCs w:val="20"/>
              </w:rPr>
            </w:pPr>
            <w:r w:rsidRPr="003F1653">
              <w:rPr>
                <w:sz w:val="20"/>
                <w:szCs w:val="20"/>
              </w:rPr>
              <w:t>LIK</w:t>
            </w:r>
            <w:r w:rsidR="00D12136" w:rsidRPr="003F1653">
              <w:rPr>
                <w:rStyle w:val="Refdenotaderodap"/>
                <w:sz w:val="20"/>
                <w:szCs w:val="20"/>
              </w:rPr>
              <w:footnoteReference w:id="15"/>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304.949</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321.628</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828.186</w:t>
            </w:r>
          </w:p>
        </w:tc>
        <w:tc>
          <w:tcPr>
            <w:tcW w:w="872" w:type="dxa"/>
            <w:tcBorders>
              <w:top w:val="nil"/>
              <w:left w:val="nil"/>
              <w:bottom w:val="nil"/>
              <w:right w:val="nil"/>
            </w:tcBorders>
          </w:tcPr>
          <w:p w:rsidR="00EF6464" w:rsidRPr="003F1653" w:rsidRDefault="00EF6464" w:rsidP="003F1653">
            <w:pPr>
              <w:jc w:val="center"/>
              <w:rPr>
                <w:b/>
                <w:sz w:val="20"/>
                <w:szCs w:val="20"/>
              </w:rPr>
            </w:pPr>
          </w:p>
        </w:tc>
      </w:tr>
      <w:tr w:rsidR="00787ECC" w:rsidRPr="006766C3" w:rsidTr="003F1653">
        <w:trPr>
          <w:jc w:val="center"/>
        </w:trPr>
        <w:tc>
          <w:tcPr>
            <w:tcW w:w="2171" w:type="dxa"/>
            <w:tcBorders>
              <w:top w:val="nil"/>
              <w:left w:val="nil"/>
              <w:bottom w:val="nil"/>
              <w:right w:val="nil"/>
            </w:tcBorders>
          </w:tcPr>
          <w:p w:rsidR="00EF6464" w:rsidRPr="003F1653" w:rsidRDefault="00F3297B" w:rsidP="003F1653">
            <w:pPr>
              <w:jc w:val="both"/>
              <w:rPr>
                <w:sz w:val="20"/>
                <w:szCs w:val="20"/>
              </w:rPr>
            </w:pPr>
            <w:r w:rsidRPr="003F1653">
              <w:rPr>
                <w:sz w:val="20"/>
                <w:szCs w:val="20"/>
              </w:rPr>
              <w:t>Graus de Liberdade</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rPr>
              <w:t>85</w:t>
            </w:r>
            <w:r w:rsidR="00F3297B" w:rsidRPr="003F1653">
              <w:rPr>
                <w:sz w:val="20"/>
                <w:szCs w:val="20"/>
              </w:rPr>
              <w:t>1</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85</w:t>
            </w:r>
            <w:r w:rsidR="00F3297B" w:rsidRPr="003F1653">
              <w:rPr>
                <w:sz w:val="20"/>
                <w:szCs w:val="20"/>
              </w:rPr>
              <w:t>0</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rPr>
              <w:t>85</w:t>
            </w:r>
            <w:r w:rsidR="00F3297B" w:rsidRPr="003F1653">
              <w:rPr>
                <w:sz w:val="20"/>
                <w:szCs w:val="20"/>
              </w:rPr>
              <w:t>0</w:t>
            </w:r>
          </w:p>
        </w:tc>
        <w:tc>
          <w:tcPr>
            <w:tcW w:w="872" w:type="dxa"/>
            <w:tcBorders>
              <w:top w:val="nil"/>
              <w:left w:val="nil"/>
              <w:bottom w:val="nil"/>
              <w:right w:val="nil"/>
            </w:tcBorders>
          </w:tcPr>
          <w:p w:rsidR="00EF6464" w:rsidRPr="003F1653" w:rsidRDefault="00EF6464" w:rsidP="003F1653">
            <w:pPr>
              <w:jc w:val="center"/>
              <w:rPr>
                <w:b/>
                <w:sz w:val="20"/>
                <w:szCs w:val="20"/>
              </w:rPr>
            </w:pPr>
          </w:p>
        </w:tc>
      </w:tr>
      <w:tr w:rsidR="00787ECC" w:rsidRPr="006766C3" w:rsidTr="003F1653">
        <w:trPr>
          <w:jc w:val="center"/>
        </w:trPr>
        <w:tc>
          <w:tcPr>
            <w:tcW w:w="2171" w:type="dxa"/>
            <w:tcBorders>
              <w:top w:val="nil"/>
              <w:left w:val="nil"/>
              <w:bottom w:val="single" w:sz="4" w:space="0" w:color="auto"/>
              <w:right w:val="nil"/>
            </w:tcBorders>
          </w:tcPr>
          <w:p w:rsidR="00EF6464" w:rsidRPr="003F1653" w:rsidRDefault="00EF6464" w:rsidP="003F1653">
            <w:pPr>
              <w:jc w:val="both"/>
              <w:rPr>
                <w:b/>
                <w:sz w:val="20"/>
                <w:szCs w:val="20"/>
              </w:rPr>
            </w:pPr>
            <w:r w:rsidRPr="003F1653">
              <w:rPr>
                <w:sz w:val="20"/>
                <w:szCs w:val="20"/>
              </w:rPr>
              <w:t>R</w:t>
            </w:r>
            <w:r w:rsidRPr="003F1653">
              <w:rPr>
                <w:sz w:val="20"/>
                <w:szCs w:val="20"/>
                <w:vertAlign w:val="superscript"/>
              </w:rPr>
              <w:t xml:space="preserve">2 </w:t>
            </w:r>
            <w:r w:rsidRPr="003F1653">
              <w:rPr>
                <w:sz w:val="20"/>
                <w:szCs w:val="20"/>
              </w:rPr>
              <w:t>Ajustado</w:t>
            </w:r>
          </w:p>
        </w:tc>
        <w:tc>
          <w:tcPr>
            <w:tcW w:w="1177" w:type="dxa"/>
            <w:gridSpan w:val="2"/>
            <w:tcBorders>
              <w:top w:val="nil"/>
              <w:left w:val="nil"/>
              <w:bottom w:val="nil"/>
              <w:right w:val="nil"/>
            </w:tcBorders>
          </w:tcPr>
          <w:p w:rsidR="00EF6464" w:rsidRPr="003F1653" w:rsidRDefault="00EF6464" w:rsidP="003F1653">
            <w:pPr>
              <w:jc w:val="center"/>
              <w:rPr>
                <w:b/>
                <w:sz w:val="20"/>
                <w:szCs w:val="20"/>
              </w:rPr>
            </w:pPr>
            <w:r w:rsidRPr="003F1653">
              <w:rPr>
                <w:sz w:val="20"/>
                <w:szCs w:val="20"/>
                <w:lang w:val="en-US"/>
              </w:rPr>
              <w:t>0.98</w:t>
            </w:r>
            <w:r w:rsidR="003B5AE2" w:rsidRPr="003F1653">
              <w:rPr>
                <w:sz w:val="20"/>
                <w:szCs w:val="20"/>
                <w:lang w:val="en-US"/>
              </w:rPr>
              <w:t>7</w:t>
            </w:r>
          </w:p>
        </w:tc>
        <w:tc>
          <w:tcPr>
            <w:tcW w:w="983" w:type="dxa"/>
            <w:tcBorders>
              <w:top w:val="nil"/>
              <w:left w:val="nil"/>
              <w:bottom w:val="nil"/>
              <w:right w:val="nil"/>
            </w:tcBorders>
          </w:tcPr>
          <w:p w:rsidR="00EF6464" w:rsidRPr="003F1653" w:rsidRDefault="00EF6464" w:rsidP="003F1653">
            <w:pPr>
              <w:jc w:val="center"/>
              <w:rPr>
                <w:b/>
                <w:sz w:val="20"/>
                <w:szCs w:val="20"/>
              </w:rPr>
            </w:pPr>
          </w:p>
        </w:tc>
        <w:tc>
          <w:tcPr>
            <w:tcW w:w="117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lang w:val="en-US"/>
              </w:rPr>
              <w:t>0.988</w:t>
            </w:r>
          </w:p>
        </w:tc>
        <w:tc>
          <w:tcPr>
            <w:tcW w:w="1043" w:type="dxa"/>
            <w:tcBorders>
              <w:top w:val="nil"/>
              <w:left w:val="nil"/>
              <w:bottom w:val="nil"/>
              <w:right w:val="nil"/>
            </w:tcBorders>
          </w:tcPr>
          <w:p w:rsidR="00EF6464" w:rsidRPr="003F1653" w:rsidRDefault="00EF6464" w:rsidP="003F1653">
            <w:pPr>
              <w:jc w:val="center"/>
              <w:rPr>
                <w:b/>
                <w:sz w:val="20"/>
                <w:szCs w:val="20"/>
              </w:rPr>
            </w:pPr>
          </w:p>
        </w:tc>
        <w:tc>
          <w:tcPr>
            <w:tcW w:w="1297" w:type="dxa"/>
            <w:tcBorders>
              <w:top w:val="nil"/>
              <w:left w:val="nil"/>
              <w:bottom w:val="nil"/>
              <w:right w:val="nil"/>
            </w:tcBorders>
          </w:tcPr>
          <w:p w:rsidR="00EF6464" w:rsidRPr="003F1653" w:rsidRDefault="00EF6464" w:rsidP="003F1653">
            <w:pPr>
              <w:jc w:val="center"/>
              <w:rPr>
                <w:b/>
                <w:sz w:val="20"/>
                <w:szCs w:val="20"/>
              </w:rPr>
            </w:pPr>
            <w:r w:rsidRPr="003F1653">
              <w:rPr>
                <w:sz w:val="20"/>
                <w:szCs w:val="20"/>
                <w:lang w:val="en-US"/>
              </w:rPr>
              <w:t>0.996</w:t>
            </w:r>
          </w:p>
        </w:tc>
        <w:tc>
          <w:tcPr>
            <w:tcW w:w="872" w:type="dxa"/>
            <w:tcBorders>
              <w:top w:val="nil"/>
              <w:left w:val="nil"/>
              <w:bottom w:val="nil"/>
              <w:right w:val="nil"/>
            </w:tcBorders>
          </w:tcPr>
          <w:p w:rsidR="00EF6464" w:rsidRPr="003F1653" w:rsidRDefault="00EF6464" w:rsidP="003F1653">
            <w:pPr>
              <w:jc w:val="center"/>
              <w:rPr>
                <w:b/>
                <w:sz w:val="20"/>
                <w:szCs w:val="20"/>
              </w:rPr>
            </w:pPr>
          </w:p>
        </w:tc>
      </w:tr>
      <w:tr w:rsidR="007723EC" w:rsidRPr="006766C3" w:rsidTr="003F1653">
        <w:trPr>
          <w:jc w:val="center"/>
        </w:trPr>
        <w:tc>
          <w:tcPr>
            <w:tcW w:w="8720" w:type="dxa"/>
            <w:gridSpan w:val="8"/>
            <w:tcBorders>
              <w:top w:val="single" w:sz="4" w:space="0" w:color="auto"/>
              <w:left w:val="nil"/>
              <w:bottom w:val="nil"/>
              <w:right w:val="nil"/>
            </w:tcBorders>
          </w:tcPr>
          <w:p w:rsidR="007723EC" w:rsidRPr="003F1653" w:rsidRDefault="007723EC" w:rsidP="003F1653">
            <w:pPr>
              <w:jc w:val="both"/>
              <w:rPr>
                <w:sz w:val="20"/>
                <w:szCs w:val="20"/>
              </w:rPr>
            </w:pPr>
            <w:r w:rsidRPr="003F1653">
              <w:rPr>
                <w:sz w:val="20"/>
                <w:szCs w:val="20"/>
              </w:rPr>
              <w:t>Fonte: Elaboração do autor com base no SpaceStat</w:t>
            </w:r>
          </w:p>
        </w:tc>
      </w:tr>
    </w:tbl>
    <w:p w:rsidR="00A35DB5" w:rsidRDefault="00A35DB5" w:rsidP="00000A8D">
      <w:pPr>
        <w:jc w:val="both"/>
        <w:rPr>
          <w:b/>
          <w:sz w:val="20"/>
          <w:szCs w:val="20"/>
        </w:rPr>
      </w:pPr>
    </w:p>
    <w:p w:rsidR="00D12136" w:rsidRDefault="00D12136" w:rsidP="00000A8D">
      <w:pPr>
        <w:ind w:firstLine="360"/>
        <w:jc w:val="both"/>
      </w:pPr>
      <w:r>
        <w:t>Os resultados das regressões estão reportados na Tabela 1. Os três modelos apresentaram todas as variáveis explicativas significativas a 1% de significância</w:t>
      </w:r>
      <w:r>
        <w:rPr>
          <w:rStyle w:val="Refdenotaderodap"/>
        </w:rPr>
        <w:footnoteReference w:id="16"/>
      </w:r>
      <w:r>
        <w:t>. Comparando-se os modelos, percebe-se que o modelo de Solow apresenta um R</w:t>
      </w:r>
      <w:r w:rsidRPr="006E130B">
        <w:rPr>
          <w:vertAlign w:val="superscript"/>
        </w:rPr>
        <w:t>2</w:t>
      </w:r>
      <w:r>
        <w:t xml:space="preserve"> ajustado de 98.7%, contra 98.8% do Modelo MRW – H(a) e 99.6% do Modelo MRW – H(b). Portanto, os três modelos demonstram alto poder de explicação sobre o crescimento da renda </w:t>
      </w:r>
      <w:r w:rsidRPr="00851412">
        <w:rPr>
          <w:i/>
        </w:rPr>
        <w:t>per capta</w:t>
      </w:r>
      <w:r>
        <w:t xml:space="preserve"> nos municípios mineiros entre o período de 1991 e 2000. Mas o último modelo, com a inclusão da “</w:t>
      </w:r>
      <w:r w:rsidRPr="00851412">
        <w:rPr>
          <w:i/>
        </w:rPr>
        <w:t>proxy</w:t>
      </w:r>
      <w:r>
        <w:t xml:space="preserve">” H(b), referente ao capital humano, mostrou-se um pouco superior aos demais. </w:t>
      </w:r>
    </w:p>
    <w:p w:rsidR="004F2390" w:rsidRDefault="004F2390" w:rsidP="00000A8D">
      <w:pPr>
        <w:ind w:firstLine="360"/>
        <w:jc w:val="both"/>
      </w:pPr>
    </w:p>
    <w:p w:rsidR="00E32BBA" w:rsidRDefault="00D12136" w:rsidP="00000A8D">
      <w:pPr>
        <w:ind w:firstLine="360"/>
        <w:jc w:val="both"/>
      </w:pPr>
      <w:r>
        <w:t>Além disso, outro método que possibilita a comparação entre os modelos refere-se aos critérios de Akaike (AIC) e Schwarz (SC)</w:t>
      </w:r>
      <w:r>
        <w:rPr>
          <w:rStyle w:val="Refdenotaderodap"/>
        </w:rPr>
        <w:footnoteReference w:id="17"/>
      </w:r>
      <w:r>
        <w:t xml:space="preserve">. O Modelo de Solow apresentou os respectivos valores para AIC e SC (-605.89 e -596.40), contra (-637.25 e -623.01) do Modelo MRW – H(a) e (-1650.37 e -1636.13) do Modelo MRW – H(b). Logo, pode-se concluir que o modelo com a inserção da variável H(b) é superior aos demais, pois apresenta os menores valores de AIC E SC. Pode-se também utilizar a análise do modelo que apresenta o maior LIK. Mais uma vez o Modelo MRW H(b) apresenta-se melhor que os demais, com LIK de (828.18), contra (321.62) do modelo MRW – H(a) e (304.95) do Modelo de Solow. Cabe ressaltar que nenhum dos modelos apresentou </w:t>
      </w:r>
      <w:r w:rsidRPr="00EF5174">
        <w:t>multicolinearidade, porém através do Teste de Jarque-Bera, todos rejeitaram a hipótese nula de normalidade dos erros. Além disso, o Teste Koenker – Bassett revela a presença de Heterocedasticidade, em todos os modelos.</w:t>
      </w:r>
    </w:p>
    <w:p w:rsidR="009169A6" w:rsidRDefault="009169A6" w:rsidP="00000A8D">
      <w:pPr>
        <w:jc w:val="both"/>
      </w:pPr>
    </w:p>
    <w:p w:rsidR="009169A6" w:rsidRPr="009169A6" w:rsidRDefault="009169A6" w:rsidP="00000A8D">
      <w:pPr>
        <w:jc w:val="both"/>
        <w:rPr>
          <w:b/>
        </w:rPr>
      </w:pPr>
      <w:r w:rsidRPr="009169A6">
        <w:rPr>
          <w:b/>
        </w:rPr>
        <w:t>5.1. Modelos com Efeitos Espaciais</w:t>
      </w:r>
    </w:p>
    <w:p w:rsidR="009169A6" w:rsidRPr="00D12136" w:rsidRDefault="009169A6" w:rsidP="00000A8D">
      <w:pPr>
        <w:ind w:firstLine="360"/>
        <w:jc w:val="both"/>
      </w:pPr>
    </w:p>
    <w:p w:rsidR="008164FC" w:rsidRDefault="00E32BBA" w:rsidP="00000A8D">
      <w:pPr>
        <w:ind w:firstLine="360"/>
        <w:jc w:val="both"/>
      </w:pPr>
      <w:r>
        <w:lastRenderedPageBreak/>
        <w:t>Atrav</w:t>
      </w:r>
      <w:r w:rsidR="00D12136">
        <w:t>és desta análise</w:t>
      </w:r>
      <w:r>
        <w:t xml:space="preserve">, pôde-se constatar que o modelo MRW – H(b) mostrou-se superior aos demais em vários critérios utilizados. Portanto, para não incorrer em </w:t>
      </w:r>
      <w:r w:rsidRPr="002A171A">
        <w:t>estimativas i</w:t>
      </w:r>
      <w:r>
        <w:t>nconsistentes e/ou ineficientes, ser</w:t>
      </w:r>
      <w:r w:rsidR="00D12136">
        <w:t>á analisada a necessidade de</w:t>
      </w:r>
      <w:r>
        <w:t xml:space="preserve"> i</w:t>
      </w:r>
      <w:r w:rsidR="00D12136">
        <w:t xml:space="preserve">nclusão de efeitos </w:t>
      </w:r>
      <w:r>
        <w:t>espaciais a este modelo.</w:t>
      </w:r>
      <w:r w:rsidR="00D12136">
        <w:t xml:space="preserve"> Para tanto</w:t>
      </w:r>
      <w:r w:rsidR="008164FC">
        <w:t xml:space="preserve">, </w:t>
      </w:r>
      <w:r w:rsidR="008164FC" w:rsidRPr="002A171A">
        <w:t xml:space="preserve">segue-se a proposta feita por Florax, Folmer e Rey (2003), ou seja, como primeiro estágio, os autores recomendam que seja seguido o roteiro: </w:t>
      </w:r>
    </w:p>
    <w:p w:rsidR="00157A96" w:rsidRPr="002A171A" w:rsidRDefault="00157A96" w:rsidP="00000A8D">
      <w:pPr>
        <w:ind w:firstLine="360"/>
        <w:jc w:val="both"/>
      </w:pPr>
    </w:p>
    <w:p w:rsidR="008164FC" w:rsidRDefault="008164FC" w:rsidP="00000A8D">
      <w:pPr>
        <w:numPr>
          <w:ilvl w:val="0"/>
          <w:numId w:val="13"/>
        </w:numPr>
        <w:jc w:val="both"/>
      </w:pPr>
      <w:r w:rsidRPr="002A171A">
        <w:t xml:space="preserve">Estimar o modelo clássico de análise de regressão linear por MQO; </w:t>
      </w:r>
    </w:p>
    <w:p w:rsidR="008164FC" w:rsidRPr="002A171A" w:rsidRDefault="008164FC" w:rsidP="00000A8D">
      <w:pPr>
        <w:numPr>
          <w:ilvl w:val="0"/>
          <w:numId w:val="13"/>
        </w:numPr>
        <w:jc w:val="both"/>
      </w:pPr>
      <w:r w:rsidRPr="002A171A">
        <w:t>Testar a hipótese de ausência de autocorrelação espacial devido a uma defasagem ou a um erro por meio do valor do multiplicador de Lagrange para defasagem espacial (ML</w:t>
      </w:r>
      <w:r w:rsidRPr="002A171A">
        <w:rPr>
          <w:rFonts w:eastAsia="SymbolMT"/>
        </w:rPr>
        <w:t>ρ</w:t>
      </w:r>
      <w:r w:rsidRPr="002A171A">
        <w:t>) e Multiplicador de Lagrange para o erro espacial (ML</w:t>
      </w:r>
      <w:r w:rsidRPr="002A171A">
        <w:rPr>
          <w:rFonts w:eastAsia="SymbolMT"/>
        </w:rPr>
        <w:t>λ</w:t>
      </w:r>
      <w:r w:rsidRPr="002A171A">
        <w:t xml:space="preserve">); </w:t>
      </w:r>
    </w:p>
    <w:p w:rsidR="008164FC" w:rsidRPr="002A171A" w:rsidRDefault="008164FC" w:rsidP="00000A8D">
      <w:pPr>
        <w:numPr>
          <w:ilvl w:val="0"/>
          <w:numId w:val="13"/>
        </w:numPr>
        <w:jc w:val="both"/>
      </w:pPr>
      <w:r w:rsidRPr="002A171A">
        <w:t xml:space="preserve">Caso ambos os testes não sejam significativos, a utilização do modelo clássico é mais apropriada. Caso contrário, é necessário seguir o próximo passo; </w:t>
      </w:r>
    </w:p>
    <w:p w:rsidR="008164FC" w:rsidRDefault="008164FC" w:rsidP="00000A8D">
      <w:pPr>
        <w:numPr>
          <w:ilvl w:val="0"/>
          <w:numId w:val="13"/>
        </w:numPr>
        <w:jc w:val="both"/>
      </w:pPr>
      <w:r w:rsidRPr="002A171A">
        <w:t>Caso ambos sejam significativos, estima-se o modelo apontado como o mais significante de acordo com as versões robustas desses testes, ou seja, multiplicador de Lagrange robusto para a defasagem espacial (MLR</w:t>
      </w:r>
      <w:r w:rsidRPr="002A171A">
        <w:rPr>
          <w:rFonts w:eastAsia="SymbolMT"/>
        </w:rPr>
        <w:t xml:space="preserve">ρ) </w:t>
      </w:r>
      <w:r w:rsidRPr="002A171A">
        <w:t>e o multiplicador de Lagrange robusto para o erro espacial (MLR</w:t>
      </w:r>
      <w:r w:rsidRPr="002A171A">
        <w:rPr>
          <w:rFonts w:eastAsia="SymbolMT"/>
        </w:rPr>
        <w:t>λ</w:t>
      </w:r>
      <w:r w:rsidRPr="002A171A">
        <w:t>). Assim, caso MLR</w:t>
      </w:r>
      <w:r w:rsidRPr="002A171A">
        <w:rPr>
          <w:rFonts w:eastAsia="SymbolMT"/>
        </w:rPr>
        <w:t xml:space="preserve">ρ </w:t>
      </w:r>
      <w:r w:rsidRPr="002A171A">
        <w:t>&gt; MLR</w:t>
      </w:r>
      <w:r w:rsidRPr="002A171A">
        <w:rPr>
          <w:rFonts w:eastAsia="SymbolMT"/>
        </w:rPr>
        <w:t xml:space="preserve">λ </w:t>
      </w:r>
      <w:r w:rsidRPr="002A171A">
        <w:t>usa-se o modelo com defasagem espacial como o mais apropriado. Caso contrário, MLR</w:t>
      </w:r>
      <w:r w:rsidRPr="002A171A">
        <w:rPr>
          <w:rFonts w:eastAsia="SymbolMT"/>
        </w:rPr>
        <w:t xml:space="preserve">ρ </w:t>
      </w:r>
      <w:r w:rsidRPr="002A171A">
        <w:t>&lt; MLR</w:t>
      </w:r>
      <w:r w:rsidRPr="002A171A">
        <w:rPr>
          <w:rFonts w:eastAsia="SymbolMT"/>
        </w:rPr>
        <w:t>λ</w:t>
      </w:r>
      <w:r w:rsidRPr="002A171A">
        <w:t>, adota-se o modelo de erro espacial como o mais apropriado.</w:t>
      </w:r>
    </w:p>
    <w:p w:rsidR="00157A96" w:rsidRDefault="00157A96" w:rsidP="00157A96">
      <w:pPr>
        <w:ind w:left="720"/>
        <w:jc w:val="both"/>
      </w:pPr>
    </w:p>
    <w:p w:rsidR="00566859" w:rsidRDefault="002A4F2B" w:rsidP="00000A8D">
      <w:pPr>
        <w:ind w:firstLine="360"/>
        <w:jc w:val="both"/>
      </w:pPr>
      <w:r>
        <w:t>O diagnóstico da regressão por MQO (Tabela 1) para o Modelo MRW –</w:t>
      </w:r>
      <w:r w:rsidR="00B8584B">
        <w:t xml:space="preserve"> H(b), </w:t>
      </w:r>
      <w:r>
        <w:t xml:space="preserve">apresenta fortes indícios de autocorrelação espacial </w:t>
      </w:r>
      <w:r w:rsidR="005A2588">
        <w:t xml:space="preserve">no erro, tanto pelo </w:t>
      </w:r>
      <w:r w:rsidR="005A2588" w:rsidRPr="005A2588">
        <w:rPr>
          <w:i/>
        </w:rPr>
        <w:t>I</w:t>
      </w:r>
      <w:r w:rsidR="005A2588">
        <w:t xml:space="preserve"> de Moran</w:t>
      </w:r>
      <w:r w:rsidR="00B8584B">
        <w:t xml:space="preserve"> (0.156)</w:t>
      </w:r>
      <w:r w:rsidR="005A2588">
        <w:t xml:space="preserve"> quanto pelos multiplicadores</w:t>
      </w:r>
      <w:r w:rsidR="00B8584B">
        <w:t xml:space="preserve"> de Lagrange (ML</w:t>
      </w:r>
      <w:r w:rsidR="00EE553E" w:rsidRPr="002A171A">
        <w:rPr>
          <w:rFonts w:eastAsia="SymbolMT"/>
        </w:rPr>
        <w:t>ρ</w:t>
      </w:r>
      <w:r w:rsidR="00B8584B">
        <w:t>, 65.43 e MLR</w:t>
      </w:r>
      <w:r w:rsidR="00EE553E" w:rsidRPr="002A171A">
        <w:rPr>
          <w:rFonts w:eastAsia="SymbolMT"/>
        </w:rPr>
        <w:t>ρ</w:t>
      </w:r>
      <w:r w:rsidR="00B8584B">
        <w:t xml:space="preserve">, 69.26) que se mostram estatisticamente significativos a 1% e apresentam valores relativos superiores aos </w:t>
      </w:r>
      <w:r w:rsidR="00424182">
        <w:t xml:space="preserve">verificados nos </w:t>
      </w:r>
      <w:r w:rsidR="00B8584B">
        <w:t>multiplicadores de Lagrange rel</w:t>
      </w:r>
      <w:r w:rsidR="00DD6821">
        <w:t>acionado</w:t>
      </w:r>
      <w:r w:rsidR="00B8584B">
        <w:t>s à defasagem espacial (ML</w:t>
      </w:r>
      <w:r w:rsidR="00EE553E" w:rsidRPr="002A171A">
        <w:rPr>
          <w:rFonts w:eastAsia="SymbolMT"/>
        </w:rPr>
        <w:t>λ</w:t>
      </w:r>
      <w:r w:rsidR="00B8584B">
        <w:t>, 6.61 e MLR</w:t>
      </w:r>
      <w:r w:rsidR="00EE553E" w:rsidRPr="002A171A">
        <w:rPr>
          <w:rFonts w:eastAsia="SymbolMT"/>
        </w:rPr>
        <w:t>λ</w:t>
      </w:r>
      <w:r w:rsidR="00B8584B">
        <w:t>, 10.43).</w:t>
      </w:r>
      <w:r w:rsidR="00DD6821">
        <w:t xml:space="preserve"> Além disso, o ML</w:t>
      </w:r>
      <w:r w:rsidR="00DD6821" w:rsidRPr="002A171A">
        <w:rPr>
          <w:rFonts w:eastAsia="SymbolMT"/>
        </w:rPr>
        <w:t>ρ</w:t>
      </w:r>
      <w:r w:rsidR="00DD6821">
        <w:t xml:space="preserve"> (0.011) não é significativo a 1%. Logo, através da análise dos multiplicadores de Lagrange (ML</w:t>
      </w:r>
      <w:r w:rsidR="00DD6821" w:rsidRPr="002A171A">
        <w:rPr>
          <w:rFonts w:eastAsia="SymbolMT"/>
        </w:rPr>
        <w:t>ρ</w:t>
      </w:r>
      <w:r w:rsidR="00DD6821">
        <w:rPr>
          <w:rFonts w:eastAsia="SymbolMT"/>
        </w:rPr>
        <w:t xml:space="preserve"> e </w:t>
      </w:r>
      <w:r w:rsidR="00DD6821">
        <w:t>ML</w:t>
      </w:r>
      <w:r w:rsidR="00DD6821" w:rsidRPr="002A171A">
        <w:rPr>
          <w:rFonts w:eastAsia="SymbolMT"/>
        </w:rPr>
        <w:t>λ</w:t>
      </w:r>
      <w:r w:rsidR="00DD6821">
        <w:t xml:space="preserve">), pode-se concluir que o modelo de erro é o mais indicado neste caso. </w:t>
      </w:r>
      <w:r w:rsidR="005A2588" w:rsidRPr="00DD6821">
        <w:t>Entretanto, o teste SARMA, que indica um modelo</w:t>
      </w:r>
      <w:r w:rsidR="00DD6821" w:rsidRPr="00DD6821">
        <w:t xml:space="preserve"> de ordem superior, é altamente </w:t>
      </w:r>
      <w:r w:rsidR="005A2588" w:rsidRPr="00DD6821">
        <w:t>significativo.</w:t>
      </w:r>
      <w:r w:rsidR="00DD6821" w:rsidRPr="00DD6821">
        <w:t xml:space="preserve"> </w:t>
      </w:r>
      <w:r w:rsidR="005A2588" w:rsidRPr="00DD6821">
        <w:t xml:space="preserve">Ademais, o valor do teste SARMA </w:t>
      </w:r>
      <w:r w:rsidR="00DD6821" w:rsidRPr="00DD6821">
        <w:t xml:space="preserve">(75.87) </w:t>
      </w:r>
      <w:r w:rsidR="005A2588" w:rsidRPr="00DD6821">
        <w:t>é maior a</w:t>
      </w:r>
      <w:r w:rsidR="00DD6821" w:rsidRPr="00DD6821">
        <w:t xml:space="preserve">inda do que todos os outros valores dos multiplicadores de lagrange, tanto para erro quanto para defasagem. </w:t>
      </w:r>
      <w:r w:rsidR="005A2588" w:rsidRPr="00DD6821">
        <w:t>Assim,</w:t>
      </w:r>
      <w:r w:rsidR="00DD6821" w:rsidRPr="00DD6821">
        <w:t xml:space="preserve"> </w:t>
      </w:r>
      <w:r w:rsidR="00566859">
        <w:t xml:space="preserve">para não incorrer em riscos, serão estimados os </w:t>
      </w:r>
      <w:r w:rsidR="00712E34">
        <w:t xml:space="preserve">seguintes </w:t>
      </w:r>
      <w:r w:rsidR="00566859">
        <w:t xml:space="preserve">modelos </w:t>
      </w:r>
      <w:r w:rsidR="00712E34">
        <w:t>espaciais: Modelo de erro,</w:t>
      </w:r>
      <w:r w:rsidR="00566859">
        <w:t xml:space="preserve"> </w:t>
      </w:r>
      <w:r w:rsidR="00712E34">
        <w:t xml:space="preserve">Modelo de </w:t>
      </w:r>
      <w:r w:rsidR="00566859">
        <w:t xml:space="preserve">defasagem e </w:t>
      </w:r>
      <w:r w:rsidR="00712E34">
        <w:t xml:space="preserve">Modelo de </w:t>
      </w:r>
      <w:r w:rsidR="00566859">
        <w:t xml:space="preserve">defasagem com erro, </w:t>
      </w:r>
      <w:r w:rsidR="00303020">
        <w:t>a</w:t>
      </w:r>
      <w:r w:rsidR="00303020" w:rsidRPr="00303020">
        <w:t xml:space="preserve"> razão para isso reside no fato de que é preciso se certificar que não há realmente o componente da defasagem espacial no modelo, pois </w:t>
      </w:r>
      <w:r w:rsidR="00311071">
        <w:t>desconsiderá-la</w:t>
      </w:r>
      <w:r w:rsidR="00303020" w:rsidRPr="00303020">
        <w:t xml:space="preserve">, quando </w:t>
      </w:r>
      <w:r w:rsidR="00303020">
        <w:t xml:space="preserve">esta </w:t>
      </w:r>
      <w:r w:rsidR="00303020" w:rsidRPr="00303020">
        <w:t>for relevante, conduz a estimativas inconsistentes.</w:t>
      </w:r>
      <w:r w:rsidR="00311071">
        <w:t xml:space="preserve"> </w:t>
      </w:r>
      <w:r w:rsidR="00303020">
        <w:t xml:space="preserve">Os modelos são </w:t>
      </w:r>
      <w:r w:rsidR="00566859">
        <w:t>especificados como se segue:</w:t>
      </w:r>
    </w:p>
    <w:p w:rsidR="00712E34" w:rsidRDefault="00712E34" w:rsidP="00000A8D">
      <w:pPr>
        <w:ind w:firstLine="360"/>
        <w:jc w:val="both"/>
      </w:pPr>
    </w:p>
    <w:p w:rsidR="00712E34" w:rsidRDefault="009169A6" w:rsidP="00000A8D">
      <w:pPr>
        <w:jc w:val="both"/>
        <w:rPr>
          <w:b/>
        </w:rPr>
      </w:pPr>
      <w:r>
        <w:rPr>
          <w:b/>
        </w:rPr>
        <w:t>5.1.1</w:t>
      </w:r>
      <w:r w:rsidRPr="009169A6">
        <w:rPr>
          <w:b/>
        </w:rPr>
        <w:t xml:space="preserve">. </w:t>
      </w:r>
      <w:r w:rsidR="00712E34" w:rsidRPr="009169A6">
        <w:rPr>
          <w:b/>
        </w:rPr>
        <w:t xml:space="preserve">Modelo de Erro </w:t>
      </w:r>
      <w:r w:rsidR="004A60E1" w:rsidRPr="009169A6">
        <w:rPr>
          <w:b/>
        </w:rPr>
        <w:t xml:space="preserve">Auto-Regressivo </w:t>
      </w:r>
      <w:r w:rsidR="00712E34" w:rsidRPr="009169A6">
        <w:rPr>
          <w:b/>
        </w:rPr>
        <w:t>Espacial</w:t>
      </w:r>
    </w:p>
    <w:p w:rsidR="00AC40E6" w:rsidRPr="009169A6" w:rsidRDefault="00D2285D" w:rsidP="00000A8D">
      <w:pPr>
        <w:jc w:val="both"/>
        <w:rPr>
          <w:b/>
        </w:rPr>
      </w:pPr>
      <w:r w:rsidRPr="00D2285D">
        <w:rPr>
          <w:noProof/>
        </w:rPr>
        <w:pict>
          <v:shape id="_x0000_s1050" type="#_x0000_t75" style="position:absolute;left:0;text-align:left;margin-left:4.1pt;margin-top:11.35pt;width:58pt;height:16pt;z-index:251669504">
            <v:imagedata r:id="rId42" o:title=""/>
          </v:shape>
          <o:OLEObject Type="Embed" ProgID="Equation.3" ShapeID="_x0000_s1050" DrawAspect="Content" ObjectID="_1372651359" r:id="rId43"/>
        </w:pict>
      </w:r>
    </w:p>
    <w:p w:rsidR="000463DF" w:rsidRDefault="00F94BA0" w:rsidP="00000A8D">
      <w:pPr>
        <w:ind w:firstLine="360"/>
        <w:jc w:val="both"/>
      </w:pPr>
      <w:r>
        <w:t xml:space="preserve">                  </w:t>
      </w:r>
      <w:r w:rsidR="000463DF">
        <w:t xml:space="preserve">                              </w:t>
      </w:r>
      <w:r w:rsidR="00EC03AD">
        <w:t xml:space="preserve">                              </w:t>
      </w:r>
      <w:r w:rsidR="000463DF">
        <w:t xml:space="preserve">                                                </w:t>
      </w:r>
      <w:r w:rsidR="00EC03AD">
        <w:t xml:space="preserve"> </w:t>
      </w:r>
      <w:r w:rsidR="00157A96">
        <w:t xml:space="preserve">          </w:t>
      </w:r>
      <w:r w:rsidR="00EF5174">
        <w:t xml:space="preserve"> (17</w:t>
      </w:r>
      <w:r w:rsidR="000463DF">
        <w:t>)</w:t>
      </w:r>
    </w:p>
    <w:p w:rsidR="00042440" w:rsidRDefault="00D2285D" w:rsidP="00042440">
      <w:pPr>
        <w:ind w:firstLine="360"/>
        <w:jc w:val="both"/>
      </w:pPr>
      <w:r>
        <w:rPr>
          <w:noProof/>
        </w:rPr>
        <w:pict>
          <v:shape id="_x0000_s1051" type="#_x0000_t75" style="position:absolute;left:0;text-align:left;margin-left:4.1pt;margin-top:3.5pt;width:64pt;height:13.95pt;z-index:251670528">
            <v:imagedata r:id="rId44" o:title=""/>
          </v:shape>
          <o:OLEObject Type="Embed" ProgID="Equation.3" ShapeID="_x0000_s1051" DrawAspect="Content" ObjectID="_1372651360" r:id="rId45"/>
        </w:pict>
      </w:r>
      <w:r w:rsidR="00F94BA0">
        <w:t xml:space="preserve">              </w:t>
      </w:r>
      <w:r w:rsidR="00A44BDE">
        <w:t xml:space="preserve">                                   </w:t>
      </w:r>
      <w:r w:rsidR="00A44BDE">
        <w:sym w:font="Symbol" w:char="F065"/>
      </w:r>
      <w:r w:rsidR="00A44BDE">
        <w:t xml:space="preserve"> ~ (0, </w:t>
      </w:r>
      <w:r w:rsidR="00A44BDE">
        <w:sym w:font="Symbol" w:char="F057"/>
      </w:r>
      <w:r w:rsidR="00A44BDE">
        <w:t>)</w:t>
      </w:r>
      <w:r w:rsidR="00421F33">
        <w:rPr>
          <w:rStyle w:val="Refdenotaderodap"/>
        </w:rPr>
        <w:footnoteReference w:id="18"/>
      </w:r>
    </w:p>
    <w:p w:rsidR="00042440" w:rsidRDefault="00042440" w:rsidP="00042440">
      <w:pPr>
        <w:ind w:firstLine="360"/>
        <w:jc w:val="both"/>
      </w:pPr>
    </w:p>
    <w:p w:rsidR="001D630B" w:rsidRDefault="00A44BDE" w:rsidP="00000A8D">
      <w:pPr>
        <w:ind w:firstLine="360"/>
        <w:jc w:val="both"/>
      </w:pPr>
      <w:r>
        <w:t>Onde: “u” representa um termo de erro que segue um processo espacial autoregressivo, “</w:t>
      </w:r>
      <w:r>
        <w:sym w:font="Symbol" w:char="F06C"/>
      </w:r>
      <w:r>
        <w:t>” representa o coefi</w:t>
      </w:r>
      <w:r w:rsidR="00EC7634">
        <w:t xml:space="preserve">ciente escalar do erro espacial e “W” representa a mesma matriz de pesos espaciais utilizada no cálculo do </w:t>
      </w:r>
      <w:r w:rsidR="00EC7634" w:rsidRPr="00EC7634">
        <w:rPr>
          <w:i/>
        </w:rPr>
        <w:t>I</w:t>
      </w:r>
      <w:r w:rsidR="00EC7634">
        <w:t xml:space="preserve"> de Moran</w:t>
      </w:r>
      <w:r w:rsidR="00163411">
        <w:t xml:space="preserve"> (K=5 vizinhos mais próximos)</w:t>
      </w:r>
      <w:r w:rsidR="00EC7634">
        <w:t xml:space="preserve">. </w:t>
      </w:r>
    </w:p>
    <w:p w:rsidR="00EC03AD" w:rsidRDefault="00EC03AD" w:rsidP="00000A8D">
      <w:pPr>
        <w:ind w:firstLine="360"/>
        <w:jc w:val="both"/>
      </w:pPr>
      <w:r>
        <w:t xml:space="preserve">Inserindo </w:t>
      </w:r>
      <w:r w:rsidR="00EF5174">
        <w:t>o modelo MRW – H(b) [equação (16</w:t>
      </w:r>
      <w:r>
        <w:t>)] no modelo de erro</w:t>
      </w:r>
      <w:r w:rsidR="00EF5174">
        <w:t xml:space="preserve"> espacial (Equação 17</w:t>
      </w:r>
      <w:r w:rsidR="005A4A13">
        <w:t>)</w:t>
      </w:r>
      <w:r w:rsidR="00F94BA0">
        <w:t>:</w:t>
      </w:r>
    </w:p>
    <w:p w:rsidR="001D630B" w:rsidRDefault="001D630B" w:rsidP="00000A8D">
      <w:pPr>
        <w:ind w:firstLine="360"/>
        <w:jc w:val="both"/>
      </w:pPr>
    </w:p>
    <w:p w:rsidR="00042440" w:rsidRDefault="00042440" w:rsidP="00000A8D">
      <w:pPr>
        <w:ind w:firstLine="360"/>
        <w:jc w:val="both"/>
      </w:pPr>
    </w:p>
    <w:p w:rsidR="00EC03AD" w:rsidRDefault="00D2285D" w:rsidP="00000A8D">
      <w:pPr>
        <w:ind w:firstLine="360"/>
        <w:jc w:val="both"/>
      </w:pPr>
      <w:r w:rsidRPr="00D2285D">
        <w:rPr>
          <w:b/>
          <w:noProof/>
        </w:rPr>
        <w:lastRenderedPageBreak/>
        <w:pict>
          <v:shape id="_x0000_s1053" type="#_x0000_t75" style="position:absolute;left:0;text-align:left;margin-left:.35pt;margin-top:-7.9pt;width:246pt;height:23pt;z-index:251671552">
            <v:imagedata r:id="rId46" o:title=""/>
          </v:shape>
          <o:OLEObject Type="Embed" ProgID="Equation.3" ShapeID="_x0000_s1053" DrawAspect="Content" ObjectID="_1372651361" r:id="rId47"/>
        </w:pict>
      </w:r>
      <w:r w:rsidR="00F94BA0">
        <w:t xml:space="preserve">                                                    </w:t>
      </w:r>
      <w:r w:rsidR="00EC03AD">
        <w:t xml:space="preserve">                                                                         </w:t>
      </w:r>
      <w:r w:rsidR="00157A96">
        <w:t xml:space="preserve">          </w:t>
      </w:r>
      <w:r w:rsidR="00EF5174">
        <w:t xml:space="preserve">   (18</w:t>
      </w:r>
      <w:r w:rsidR="00EC03AD">
        <w:t>)</w:t>
      </w:r>
    </w:p>
    <w:p w:rsidR="00EC03AD" w:rsidRDefault="00D2285D" w:rsidP="00F94BA0">
      <w:pPr>
        <w:jc w:val="both"/>
      </w:pPr>
      <w:r>
        <w:rPr>
          <w:noProof/>
        </w:rPr>
        <w:pict>
          <v:shape id="_x0000_s1054" type="#_x0000_t75" style="position:absolute;left:0;text-align:left;margin-left:.35pt;margin-top:1.3pt;width:64pt;height:13.95pt;z-index:251672576">
            <v:imagedata r:id="rId44" o:title=""/>
          </v:shape>
          <o:OLEObject Type="Embed" ProgID="Equation.3" ShapeID="_x0000_s1054" DrawAspect="Content" ObjectID="_1372651362" r:id="rId48"/>
        </w:pict>
      </w:r>
      <w:r w:rsidR="00F94BA0">
        <w:t xml:space="preserve">                 </w:t>
      </w:r>
      <w:r w:rsidR="00A44BDE">
        <w:t xml:space="preserve">                                  </w:t>
      </w:r>
      <w:r w:rsidR="00A44BDE">
        <w:sym w:font="Symbol" w:char="F065"/>
      </w:r>
      <w:r w:rsidR="00A44BDE">
        <w:t xml:space="preserve"> ~ (0, </w:t>
      </w:r>
      <w:r w:rsidR="00A44BDE">
        <w:sym w:font="Symbol" w:char="F057"/>
      </w:r>
      <w:r w:rsidR="00A44BDE">
        <w:t>)</w:t>
      </w:r>
    </w:p>
    <w:p w:rsidR="00EC03AD" w:rsidRDefault="00EC03AD" w:rsidP="00000A8D">
      <w:pPr>
        <w:ind w:firstLine="360"/>
        <w:jc w:val="both"/>
      </w:pPr>
    </w:p>
    <w:p w:rsidR="00712E34" w:rsidRDefault="006948D5" w:rsidP="00000A8D">
      <w:pPr>
        <w:autoSpaceDE w:val="0"/>
        <w:autoSpaceDN w:val="0"/>
        <w:adjustRightInd w:val="0"/>
        <w:ind w:firstLine="360"/>
        <w:jc w:val="both"/>
      </w:pPr>
      <w:r>
        <w:t>Se</w:t>
      </w:r>
      <w:r w:rsidR="00712E34" w:rsidRPr="00A20A8C">
        <w:t xml:space="preserve"> </w:t>
      </w:r>
      <w:r w:rsidR="00712E34" w:rsidRPr="00A20A8C">
        <w:rPr>
          <w:rFonts w:eastAsia="SymbolMT"/>
        </w:rPr>
        <w:t xml:space="preserve">λ </w:t>
      </w:r>
      <w:r>
        <w:t>assumir</w:t>
      </w:r>
      <w:r w:rsidR="00712E34" w:rsidRPr="00A20A8C">
        <w:t xml:space="preserve"> valor nulo, não existe autocorrelação espacial do erro. De</w:t>
      </w:r>
      <w:r w:rsidR="00EC7634" w:rsidRPr="00A20A8C">
        <w:t xml:space="preserve"> acordo com </w:t>
      </w:r>
      <w:r w:rsidR="00712E34" w:rsidRPr="00A20A8C">
        <w:t xml:space="preserve">Rey e Montouri (1999), quando </w:t>
      </w:r>
      <w:r w:rsidR="00712E34" w:rsidRPr="00A20A8C">
        <w:rPr>
          <w:rFonts w:eastAsia="SymbolMT"/>
        </w:rPr>
        <w:t xml:space="preserve">λ ≠ </w:t>
      </w:r>
      <w:r w:rsidR="00712E34" w:rsidRPr="00A20A8C">
        <w:t>0, um choque ocorrido em uma unidade</w:t>
      </w:r>
      <w:r w:rsidR="00EC7634" w:rsidRPr="00A20A8C">
        <w:t xml:space="preserve"> geográfica se </w:t>
      </w:r>
      <w:r w:rsidR="00712E34" w:rsidRPr="00A20A8C">
        <w:t>espalha não só para os seus vizinhos imediatos, mas por todas as outras</w:t>
      </w:r>
      <w:r w:rsidR="00EC7634" w:rsidRPr="00A20A8C">
        <w:t xml:space="preserve"> </w:t>
      </w:r>
      <w:r w:rsidR="00712E34" w:rsidRPr="00A20A8C">
        <w:t>unidades. Esse tipo de dependência espacial poderia ser resultante de efeitos não-modelados</w:t>
      </w:r>
      <w:r w:rsidR="00EC7634" w:rsidRPr="00A20A8C">
        <w:t xml:space="preserve"> </w:t>
      </w:r>
      <w:r w:rsidR="00712E34" w:rsidRPr="00A20A8C">
        <w:t>que não fossem aleatoriamente distribuídos através do espaço.</w:t>
      </w:r>
      <w:r w:rsidR="001171CE">
        <w:t xml:space="preserve"> Não considerar este tipo de efeito espacial, quando este se mostrar relevante, gera estimativas ineficientes.</w:t>
      </w:r>
    </w:p>
    <w:p w:rsidR="00DB7725" w:rsidRDefault="00DB7725" w:rsidP="00000A8D">
      <w:pPr>
        <w:autoSpaceDE w:val="0"/>
        <w:autoSpaceDN w:val="0"/>
        <w:adjustRightInd w:val="0"/>
        <w:ind w:firstLine="360"/>
        <w:jc w:val="both"/>
      </w:pPr>
    </w:p>
    <w:p w:rsidR="003230F7" w:rsidRDefault="009169A6" w:rsidP="00000A8D">
      <w:pPr>
        <w:autoSpaceDE w:val="0"/>
        <w:autoSpaceDN w:val="0"/>
        <w:adjustRightInd w:val="0"/>
        <w:jc w:val="both"/>
        <w:rPr>
          <w:b/>
        </w:rPr>
      </w:pPr>
      <w:r>
        <w:rPr>
          <w:b/>
        </w:rPr>
        <w:t>5.1.2</w:t>
      </w:r>
      <w:r w:rsidRPr="009169A6">
        <w:rPr>
          <w:b/>
        </w:rPr>
        <w:t xml:space="preserve">. </w:t>
      </w:r>
      <w:r w:rsidR="003230F7" w:rsidRPr="009169A6">
        <w:rPr>
          <w:b/>
        </w:rPr>
        <w:t xml:space="preserve"> Modelo de Defasagem Espacial</w:t>
      </w:r>
    </w:p>
    <w:p w:rsidR="00157A96" w:rsidRPr="009169A6" w:rsidRDefault="00157A96" w:rsidP="00000A8D">
      <w:pPr>
        <w:autoSpaceDE w:val="0"/>
        <w:autoSpaceDN w:val="0"/>
        <w:adjustRightInd w:val="0"/>
        <w:jc w:val="both"/>
        <w:rPr>
          <w:b/>
        </w:rPr>
      </w:pPr>
    </w:p>
    <w:p w:rsidR="00DB7725" w:rsidRDefault="00D2285D" w:rsidP="002E0988">
      <w:pPr>
        <w:jc w:val="both"/>
      </w:pPr>
      <w:r>
        <w:rPr>
          <w:noProof/>
        </w:rPr>
        <w:pict>
          <v:shape id="_x0000_s1055" type="#_x0000_t75" style="position:absolute;left:0;text-align:left;margin-left:.35pt;margin-top:.1pt;width:67pt;height:16pt;z-index:251673600">
            <v:imagedata r:id="rId49" o:title=""/>
          </v:shape>
          <o:OLEObject Type="Embed" ProgID="Equation.3" ShapeID="_x0000_s1055" DrawAspect="Content" ObjectID="_1372651363" r:id="rId50"/>
        </w:pict>
      </w:r>
      <w:r w:rsidR="002E0988">
        <w:t xml:space="preserve">                            </w:t>
      </w:r>
      <w:r w:rsidR="00DB7725">
        <w:t xml:space="preserve">                                 </w:t>
      </w:r>
      <w:r w:rsidR="002912CC">
        <w:t xml:space="preserve"> </w:t>
      </w:r>
      <w:r w:rsidR="002912CC">
        <w:sym w:font="Symbol" w:char="F065"/>
      </w:r>
      <w:r w:rsidR="002912CC">
        <w:t xml:space="preserve"> ~ (0, </w:t>
      </w:r>
      <w:r w:rsidR="002912CC">
        <w:sym w:font="Symbol" w:char="F057"/>
      </w:r>
      <w:r w:rsidR="002912CC">
        <w:t>)</w:t>
      </w:r>
      <w:r w:rsidR="00DB7725">
        <w:t xml:space="preserve">                                       </w:t>
      </w:r>
      <w:r w:rsidR="002912CC">
        <w:t xml:space="preserve">                  </w:t>
      </w:r>
      <w:r w:rsidR="00157A96">
        <w:t xml:space="preserve">         </w:t>
      </w:r>
      <w:r w:rsidR="00EF5174">
        <w:t>(19</w:t>
      </w:r>
      <w:r w:rsidR="00DB7725">
        <w:t>)</w:t>
      </w:r>
    </w:p>
    <w:p w:rsidR="00780D8A" w:rsidRDefault="00780D8A" w:rsidP="00000A8D">
      <w:pPr>
        <w:ind w:firstLine="360"/>
        <w:jc w:val="both"/>
      </w:pPr>
    </w:p>
    <w:p w:rsidR="00085FD4" w:rsidRDefault="00780D8A" w:rsidP="00000A8D">
      <w:pPr>
        <w:ind w:firstLine="360"/>
        <w:jc w:val="both"/>
      </w:pPr>
      <w:r>
        <w:t>Ao incluir o conjunto de variá</w:t>
      </w:r>
      <w:r w:rsidR="00EF5174">
        <w:t>veis exógenas ”X” na equação (19), tem-se</w:t>
      </w:r>
      <w:r>
        <w:t>:</w:t>
      </w:r>
    </w:p>
    <w:p w:rsidR="00157A96" w:rsidRDefault="00D2285D" w:rsidP="00000A8D">
      <w:pPr>
        <w:ind w:firstLine="360"/>
        <w:jc w:val="both"/>
      </w:pPr>
      <w:r>
        <w:rPr>
          <w:noProof/>
        </w:rPr>
        <w:pict>
          <v:shape id="_x0000_s1056" type="#_x0000_t75" style="position:absolute;left:0;text-align:left;margin-left:.35pt;margin-top:10.55pt;width:95pt;height:16pt;z-index:251674624">
            <v:imagedata r:id="rId51" o:title=""/>
          </v:shape>
          <o:OLEObject Type="Embed" ProgID="Equation.3" ShapeID="_x0000_s1056" DrawAspect="Content" ObjectID="_1372651364" r:id="rId52"/>
        </w:pict>
      </w:r>
    </w:p>
    <w:p w:rsidR="00780D8A" w:rsidRDefault="002E0988" w:rsidP="00000A8D">
      <w:pPr>
        <w:ind w:firstLine="360"/>
        <w:jc w:val="both"/>
      </w:pPr>
      <w:r>
        <w:t xml:space="preserve">                               </w:t>
      </w:r>
      <w:r w:rsidR="00780D8A">
        <w:t xml:space="preserve">                         </w:t>
      </w:r>
      <w:r w:rsidR="00780D8A">
        <w:sym w:font="Symbol" w:char="F065"/>
      </w:r>
      <w:r w:rsidR="00780D8A">
        <w:t xml:space="preserve"> ~ (0, </w:t>
      </w:r>
      <w:r w:rsidR="00780D8A">
        <w:sym w:font="Symbol" w:char="F057"/>
      </w:r>
      <w:r w:rsidR="00780D8A">
        <w:t xml:space="preserve">)                                                         </w:t>
      </w:r>
      <w:r w:rsidR="00157A96">
        <w:t xml:space="preserve">         </w:t>
      </w:r>
      <w:r w:rsidR="00EF5174">
        <w:t>(20</w:t>
      </w:r>
      <w:r w:rsidR="00780D8A">
        <w:t>)</w:t>
      </w:r>
    </w:p>
    <w:p w:rsidR="00780D8A" w:rsidRDefault="00780D8A" w:rsidP="00000A8D">
      <w:pPr>
        <w:ind w:firstLine="360"/>
        <w:jc w:val="both"/>
      </w:pPr>
    </w:p>
    <w:p w:rsidR="00780D8A" w:rsidRDefault="00780D8A" w:rsidP="00000A8D">
      <w:pPr>
        <w:ind w:firstLine="360"/>
        <w:jc w:val="both"/>
      </w:pPr>
      <w:r>
        <w:t>Logo, o</w:t>
      </w:r>
      <w:r w:rsidR="00EF5174">
        <w:t xml:space="preserve"> modelo MRW – H(b), [equação (16</w:t>
      </w:r>
      <w:r>
        <w:t>)], com defasagem espacial é:</w:t>
      </w:r>
    </w:p>
    <w:p w:rsidR="00157A96" w:rsidRDefault="00D2285D" w:rsidP="00000A8D">
      <w:pPr>
        <w:ind w:firstLine="360"/>
        <w:jc w:val="both"/>
      </w:pPr>
      <w:r>
        <w:rPr>
          <w:noProof/>
        </w:rPr>
        <w:pict>
          <v:shape id="_x0000_s1057" type="#_x0000_t75" style="position:absolute;left:0;text-align:left;margin-left:.35pt;margin-top:4.8pt;width:294.95pt;height:23pt;z-index:251675648">
            <v:imagedata r:id="rId53" o:title=""/>
          </v:shape>
          <o:OLEObject Type="Embed" ProgID="Equation.3" ShapeID="_x0000_s1057" DrawAspect="Content" ObjectID="_1372651365" r:id="rId54"/>
        </w:pict>
      </w:r>
    </w:p>
    <w:p w:rsidR="00780D8A" w:rsidRDefault="006B0FF4" w:rsidP="006B0FF4">
      <w:pPr>
        <w:jc w:val="both"/>
      </w:pPr>
      <w:r>
        <w:t xml:space="preserve">                                                                       </w:t>
      </w:r>
      <w:r w:rsidR="00780D8A">
        <w:t xml:space="preserve">                                                               </w:t>
      </w:r>
      <w:r w:rsidR="00157A96">
        <w:t xml:space="preserve">          </w:t>
      </w:r>
      <w:r w:rsidR="00EF5174">
        <w:t>(21</w:t>
      </w:r>
      <w:r w:rsidR="00780D8A">
        <w:t>)</w:t>
      </w:r>
    </w:p>
    <w:p w:rsidR="00780D8A" w:rsidRDefault="006B0FF4" w:rsidP="006B0FF4">
      <w:pPr>
        <w:ind w:firstLine="360"/>
        <w:jc w:val="both"/>
      </w:pPr>
      <w:r>
        <w:t xml:space="preserve">                                                        </w:t>
      </w:r>
      <w:r w:rsidR="00780D8A">
        <w:sym w:font="Symbol" w:char="F065"/>
      </w:r>
      <w:r w:rsidR="00780D8A">
        <w:t xml:space="preserve"> ~ (0, </w:t>
      </w:r>
      <w:r w:rsidR="00780D8A">
        <w:sym w:font="Symbol" w:char="F057"/>
      </w:r>
      <w:r w:rsidR="00780D8A">
        <w:t xml:space="preserve">)                                                         </w:t>
      </w:r>
    </w:p>
    <w:p w:rsidR="0085095D" w:rsidRDefault="0085095D" w:rsidP="00000A8D">
      <w:pPr>
        <w:autoSpaceDE w:val="0"/>
        <w:autoSpaceDN w:val="0"/>
        <w:adjustRightInd w:val="0"/>
        <w:ind w:firstLine="360"/>
        <w:jc w:val="both"/>
      </w:pPr>
      <w:r>
        <w:rPr>
          <w:rFonts w:ascii="TimesNewRoman" w:hAnsi="TimesNewRoman" w:cs="TimesNewRoman"/>
          <w:sz w:val="23"/>
          <w:szCs w:val="23"/>
        </w:rPr>
        <w:t>Neste modelo, a autocorrelação espacial é considerada c</w:t>
      </w:r>
      <w:r w:rsidR="005E2CBC">
        <w:rPr>
          <w:rFonts w:ascii="TimesNewRoman" w:hAnsi="TimesNewRoman" w:cs="TimesNewRoman"/>
          <w:sz w:val="23"/>
          <w:szCs w:val="23"/>
        </w:rPr>
        <w:t xml:space="preserve">omo sendo gerada pela interação </w:t>
      </w:r>
      <w:r>
        <w:rPr>
          <w:rFonts w:ascii="TimesNewRoman" w:hAnsi="TimesNewRoman" w:cs="TimesNewRoman"/>
          <w:sz w:val="23"/>
          <w:szCs w:val="23"/>
        </w:rPr>
        <w:t>atual</w:t>
      </w:r>
      <w:r w:rsidR="005E2CBC">
        <w:rPr>
          <w:rFonts w:ascii="TimesNewRoman" w:hAnsi="TimesNewRoman" w:cs="TimesNewRoman"/>
          <w:sz w:val="23"/>
          <w:szCs w:val="23"/>
        </w:rPr>
        <w:t xml:space="preserve"> </w:t>
      </w:r>
      <w:r>
        <w:rPr>
          <w:rFonts w:ascii="TimesNewRoman" w:hAnsi="TimesNewRoman" w:cs="TimesNewRoman"/>
          <w:sz w:val="23"/>
          <w:szCs w:val="23"/>
        </w:rPr>
        <w:t xml:space="preserve">entre as regiões. Nesse caso, é introduzida uma defasagem espacial </w:t>
      </w:r>
      <w:r w:rsidR="00670F06">
        <w:rPr>
          <w:rFonts w:ascii="TimesNewRoman" w:hAnsi="TimesNewRoman" w:cs="TimesNewRoman"/>
          <w:sz w:val="23"/>
          <w:szCs w:val="23"/>
        </w:rPr>
        <w:t xml:space="preserve">da variável dependente </w:t>
      </w:r>
      <w:r>
        <w:rPr>
          <w:rFonts w:ascii="TimesNewRoman" w:hAnsi="TimesNewRoman" w:cs="TimesNewRoman"/>
          <w:sz w:val="23"/>
          <w:szCs w:val="23"/>
        </w:rPr>
        <w:t>como variável</w:t>
      </w:r>
      <w:r w:rsidR="005E2CBC">
        <w:rPr>
          <w:rFonts w:ascii="TimesNewRoman" w:hAnsi="TimesNewRoman" w:cs="TimesNewRoman"/>
          <w:sz w:val="23"/>
          <w:szCs w:val="23"/>
        </w:rPr>
        <w:t xml:space="preserve"> </w:t>
      </w:r>
      <w:r w:rsidR="00670F06">
        <w:rPr>
          <w:rFonts w:ascii="TimesNewRoman" w:hAnsi="TimesNewRoman" w:cs="TimesNewRoman"/>
          <w:sz w:val="23"/>
          <w:szCs w:val="23"/>
        </w:rPr>
        <w:t>exógena</w:t>
      </w:r>
      <w:r>
        <w:rPr>
          <w:rFonts w:ascii="TimesNewRoman" w:hAnsi="TimesNewRoman" w:cs="TimesNewRoman"/>
          <w:sz w:val="23"/>
          <w:szCs w:val="23"/>
        </w:rPr>
        <w:t xml:space="preserve"> na equação</w:t>
      </w:r>
      <w:r w:rsidR="00FA242B">
        <w:rPr>
          <w:rFonts w:ascii="TimesNewRoman" w:hAnsi="TimesNewRoman" w:cs="TimesNewRoman"/>
          <w:sz w:val="23"/>
          <w:szCs w:val="23"/>
        </w:rPr>
        <w:t xml:space="preserve"> do modelo, </w:t>
      </w:r>
      <w:r w:rsidR="00670F06">
        <w:t>“W</w:t>
      </w:r>
      <w:r w:rsidR="00FA242B">
        <w:t>Y”.</w:t>
      </w:r>
      <w:r>
        <w:rPr>
          <w:rFonts w:ascii="TimesNewRoman" w:hAnsi="TimesNewRoman" w:cs="TimesNewRoman"/>
          <w:sz w:val="23"/>
          <w:szCs w:val="23"/>
        </w:rPr>
        <w:t xml:space="preserve"> Note que </w:t>
      </w:r>
      <w:r>
        <w:rPr>
          <w:rFonts w:ascii="SymbolMT" w:eastAsia="SymbolMT" w:hAnsi="TimesNewRoman,Bold" w:cs="SymbolMT" w:hint="eastAsia"/>
        </w:rPr>
        <w:t>ρ</w:t>
      </w:r>
      <w:r>
        <w:rPr>
          <w:rFonts w:ascii="SymbolMT" w:eastAsia="SymbolMT" w:hAnsi="TimesNewRoman,Bold" w:cs="SymbolMT"/>
        </w:rPr>
        <w:t xml:space="preserve"> </w:t>
      </w:r>
      <w:r>
        <w:rPr>
          <w:rFonts w:ascii="TimesNewRoman" w:hAnsi="TimesNewRoman" w:cs="TimesNewRoman"/>
          <w:sz w:val="23"/>
          <w:szCs w:val="23"/>
        </w:rPr>
        <w:t xml:space="preserve">é o coeficiente de defasagem espacial (um </w:t>
      </w:r>
      <w:r w:rsidR="00272450">
        <w:rPr>
          <w:rFonts w:ascii="TimesNewRoman" w:hAnsi="TimesNewRoman" w:cs="TimesNewRoman"/>
          <w:sz w:val="23"/>
          <w:szCs w:val="23"/>
        </w:rPr>
        <w:t>escalar). Este elemento novo na</w:t>
      </w:r>
      <w:r w:rsidR="005E2CBC">
        <w:rPr>
          <w:rFonts w:ascii="TimesNewRoman" w:hAnsi="TimesNewRoman" w:cs="TimesNewRoman"/>
          <w:sz w:val="23"/>
          <w:szCs w:val="23"/>
        </w:rPr>
        <w:t xml:space="preserve"> </w:t>
      </w:r>
      <w:r>
        <w:rPr>
          <w:rFonts w:ascii="TimesNewRoman" w:hAnsi="TimesNewRoman" w:cs="TimesNewRoman"/>
          <w:sz w:val="23"/>
          <w:szCs w:val="23"/>
        </w:rPr>
        <w:t>forma</w:t>
      </w:r>
      <w:r w:rsidR="005E2CBC">
        <w:rPr>
          <w:rFonts w:ascii="TimesNewRoman" w:hAnsi="TimesNewRoman" w:cs="TimesNewRoman"/>
          <w:sz w:val="23"/>
          <w:szCs w:val="23"/>
        </w:rPr>
        <w:t xml:space="preserve"> </w:t>
      </w:r>
      <w:r>
        <w:rPr>
          <w:rFonts w:ascii="TimesNewRoman" w:hAnsi="TimesNewRoman" w:cs="TimesNewRoman"/>
          <w:sz w:val="23"/>
          <w:szCs w:val="23"/>
        </w:rPr>
        <w:t>funcional pode ser entendido como uma média dos</w:t>
      </w:r>
      <w:r w:rsidR="005E2CBC">
        <w:rPr>
          <w:rFonts w:ascii="TimesNewRoman" w:hAnsi="TimesNewRoman" w:cs="TimesNewRoman"/>
          <w:sz w:val="23"/>
          <w:szCs w:val="23"/>
        </w:rPr>
        <w:t xml:space="preserve"> valores da taxa de crescimento </w:t>
      </w:r>
      <w:r>
        <w:rPr>
          <w:rFonts w:ascii="TimesNewRoman" w:hAnsi="TimesNewRoman" w:cs="TimesNewRoman"/>
          <w:sz w:val="23"/>
          <w:szCs w:val="23"/>
        </w:rPr>
        <w:t>das regiões</w:t>
      </w:r>
      <w:r w:rsidR="005E2CBC">
        <w:rPr>
          <w:rFonts w:ascii="TimesNewRoman" w:hAnsi="TimesNewRoman" w:cs="TimesNewRoman"/>
          <w:sz w:val="23"/>
          <w:szCs w:val="23"/>
        </w:rPr>
        <w:t xml:space="preserve"> </w:t>
      </w:r>
      <w:r>
        <w:rPr>
          <w:rFonts w:ascii="TimesNewRoman" w:hAnsi="TimesNewRoman" w:cs="TimesNewRoman"/>
          <w:sz w:val="23"/>
          <w:szCs w:val="23"/>
        </w:rPr>
        <w:t xml:space="preserve">vizinhas. </w:t>
      </w:r>
      <w:r w:rsidR="002A6407">
        <w:rPr>
          <w:rFonts w:ascii="TimesNewRoman" w:hAnsi="TimesNewRoman" w:cs="TimesNewRoman"/>
          <w:sz w:val="23"/>
          <w:szCs w:val="23"/>
        </w:rPr>
        <w:t xml:space="preserve">Se </w:t>
      </w:r>
      <w:r>
        <w:rPr>
          <w:rFonts w:ascii="SymbolMT" w:eastAsia="SymbolMT" w:hAnsi="TimesNewRoman,Bold" w:cs="SymbolMT" w:hint="eastAsia"/>
        </w:rPr>
        <w:t>ρ</w:t>
      </w:r>
      <w:r>
        <w:rPr>
          <w:rFonts w:ascii="SymbolMT" w:eastAsia="SymbolMT" w:hAnsi="TimesNewRoman,Bold" w:cs="SymbolMT"/>
        </w:rPr>
        <w:t xml:space="preserve"> </w:t>
      </w:r>
      <w:r w:rsidR="002A6407">
        <w:rPr>
          <w:rFonts w:ascii="TimesNewRoman" w:hAnsi="TimesNewRoman" w:cs="TimesNewRoman"/>
          <w:sz w:val="23"/>
          <w:szCs w:val="23"/>
        </w:rPr>
        <w:t xml:space="preserve">= </w:t>
      </w:r>
      <w:r>
        <w:rPr>
          <w:rFonts w:ascii="TimesNewRoman" w:hAnsi="TimesNewRoman" w:cs="TimesNewRoman"/>
          <w:sz w:val="23"/>
          <w:szCs w:val="23"/>
        </w:rPr>
        <w:t xml:space="preserve">0, </w:t>
      </w:r>
      <w:r w:rsidR="002A6407">
        <w:rPr>
          <w:rFonts w:ascii="TimesNewRoman" w:hAnsi="TimesNewRoman" w:cs="TimesNewRoman"/>
          <w:sz w:val="23"/>
          <w:szCs w:val="23"/>
        </w:rPr>
        <w:t xml:space="preserve">pode-se constatar que não há autocorrelação espacial no modelo. Porém, </w:t>
      </w:r>
      <w:r w:rsidR="002A6407">
        <w:rPr>
          <w:rFonts w:ascii="SymbolMT" w:eastAsia="SymbolMT" w:hAnsi="TimesNewRoman,Bold" w:cs="SymbolMT" w:hint="eastAsia"/>
        </w:rPr>
        <w:t>ρ</w:t>
      </w:r>
      <w:r w:rsidR="002A6407">
        <w:rPr>
          <w:rFonts w:ascii="SymbolMT" w:eastAsia="SymbolMT" w:hAnsi="TimesNewRoman,Bold" w:cs="SymbolMT"/>
        </w:rPr>
        <w:t xml:space="preserve"> </w:t>
      </w:r>
      <w:r w:rsidR="002A6407">
        <w:rPr>
          <w:rFonts w:ascii="TimesNewRoman" w:hAnsi="TimesNewRoman" w:cs="TimesNewRoman"/>
          <w:sz w:val="23"/>
          <w:szCs w:val="23"/>
        </w:rPr>
        <w:sym w:font="Symbol" w:char="F0B9"/>
      </w:r>
      <w:r w:rsidR="002A6407">
        <w:rPr>
          <w:rFonts w:ascii="TimesNewRoman" w:hAnsi="TimesNewRoman" w:cs="TimesNewRoman"/>
          <w:sz w:val="23"/>
          <w:szCs w:val="23"/>
        </w:rPr>
        <w:t xml:space="preserve"> 0 </w:t>
      </w:r>
      <w:r>
        <w:rPr>
          <w:rFonts w:ascii="TimesNewRoman" w:hAnsi="TimesNewRoman" w:cs="TimesNewRoman"/>
          <w:sz w:val="23"/>
          <w:szCs w:val="23"/>
        </w:rPr>
        <w:t>suger</w:t>
      </w:r>
      <w:r w:rsidR="002A6407">
        <w:rPr>
          <w:rFonts w:ascii="TimesNewRoman" w:hAnsi="TimesNewRoman" w:cs="TimesNewRoman"/>
          <w:sz w:val="23"/>
          <w:szCs w:val="23"/>
        </w:rPr>
        <w:t>e</w:t>
      </w:r>
      <w:r>
        <w:rPr>
          <w:rFonts w:ascii="TimesNewRoman" w:hAnsi="TimesNewRoman" w:cs="TimesNewRoman"/>
          <w:sz w:val="23"/>
          <w:szCs w:val="23"/>
        </w:rPr>
        <w:t xml:space="preserve"> a existê</w:t>
      </w:r>
      <w:r w:rsidR="005E2CBC">
        <w:rPr>
          <w:rFonts w:ascii="TimesNewRoman" w:hAnsi="TimesNewRoman" w:cs="TimesNewRoman"/>
          <w:sz w:val="23"/>
          <w:szCs w:val="23"/>
        </w:rPr>
        <w:t>ncia de autocorrelação espacial</w:t>
      </w:r>
      <w:r w:rsidR="002A6407">
        <w:rPr>
          <w:rFonts w:ascii="TimesNewRoman" w:hAnsi="TimesNewRoman" w:cs="TimesNewRoman"/>
          <w:sz w:val="23"/>
          <w:szCs w:val="23"/>
        </w:rPr>
        <w:t>.</w:t>
      </w:r>
      <w:r w:rsidR="00D341EF">
        <w:rPr>
          <w:rFonts w:ascii="TimesNewRoman" w:hAnsi="TimesNewRoman" w:cs="TimesNewRoman"/>
          <w:sz w:val="23"/>
          <w:szCs w:val="23"/>
        </w:rPr>
        <w:t xml:space="preserve"> Além disso, da mesma forma que o Modelo de Erro Espacial, quando </w:t>
      </w:r>
      <w:r w:rsidR="00D341EF">
        <w:rPr>
          <w:rFonts w:ascii="SymbolMT" w:eastAsia="SymbolMT" w:hAnsi="TimesNewRoman,Bold" w:cs="SymbolMT" w:hint="eastAsia"/>
        </w:rPr>
        <w:t>ρ</w:t>
      </w:r>
      <w:r w:rsidR="00D341EF">
        <w:rPr>
          <w:rFonts w:ascii="SymbolMT" w:eastAsia="SymbolMT" w:hAnsi="TimesNewRoman,Bold" w:cs="SymbolMT"/>
        </w:rPr>
        <w:t xml:space="preserve"> </w:t>
      </w:r>
      <w:r w:rsidR="00D341EF">
        <w:rPr>
          <w:rFonts w:ascii="TimesNewRoman" w:hAnsi="TimesNewRoman" w:cs="TimesNewRoman"/>
          <w:sz w:val="23"/>
          <w:szCs w:val="23"/>
        </w:rPr>
        <w:sym w:font="Symbol" w:char="F0B9"/>
      </w:r>
      <w:r w:rsidR="00D341EF">
        <w:rPr>
          <w:rFonts w:ascii="TimesNewRoman" w:hAnsi="TimesNewRoman" w:cs="TimesNewRoman"/>
          <w:sz w:val="23"/>
          <w:szCs w:val="23"/>
        </w:rPr>
        <w:t xml:space="preserve"> 0, </w:t>
      </w:r>
      <w:r w:rsidR="00D341EF" w:rsidRPr="00A20A8C">
        <w:t xml:space="preserve">um choque ocorrido em uma unidade geográfica se espalha não só para os seus vizinhos imediatos, mas por todas as outras </w:t>
      </w:r>
      <w:r w:rsidR="00D341EF">
        <w:t>unidades (ANSELIN E BERA, 1998, p.246).</w:t>
      </w:r>
      <w:r w:rsidR="001171CE">
        <w:t xml:space="preserve"> </w:t>
      </w:r>
    </w:p>
    <w:p w:rsidR="001171CE" w:rsidRDefault="001171CE" w:rsidP="00000A8D">
      <w:pPr>
        <w:autoSpaceDE w:val="0"/>
        <w:autoSpaceDN w:val="0"/>
        <w:adjustRightInd w:val="0"/>
        <w:ind w:firstLine="360"/>
        <w:jc w:val="both"/>
      </w:pPr>
      <w:r>
        <w:t>Não considerar este tipo de efeito espacial, quando este se mostrar relevante, gera estimativas inconsistentes.</w:t>
      </w:r>
    </w:p>
    <w:p w:rsidR="009169A6" w:rsidRDefault="009169A6" w:rsidP="00000A8D">
      <w:pPr>
        <w:autoSpaceDE w:val="0"/>
        <w:autoSpaceDN w:val="0"/>
        <w:adjustRightInd w:val="0"/>
        <w:jc w:val="both"/>
      </w:pPr>
    </w:p>
    <w:p w:rsidR="00157A96" w:rsidRDefault="009169A6" w:rsidP="00000A8D">
      <w:pPr>
        <w:autoSpaceDE w:val="0"/>
        <w:autoSpaceDN w:val="0"/>
        <w:adjustRightInd w:val="0"/>
        <w:jc w:val="both"/>
        <w:rPr>
          <w:b/>
        </w:rPr>
      </w:pPr>
      <w:r w:rsidRPr="009169A6">
        <w:rPr>
          <w:b/>
        </w:rPr>
        <w:t xml:space="preserve">5.1.3. </w:t>
      </w:r>
      <w:r w:rsidR="00DA6461" w:rsidRPr="009169A6">
        <w:rPr>
          <w:b/>
        </w:rPr>
        <w:t>Modelo Misto com Defasagem Espacial e Erro Auto-Regressivo Espacial</w:t>
      </w:r>
    </w:p>
    <w:p w:rsidR="006B0FF4" w:rsidRPr="009169A6" w:rsidRDefault="00D2285D" w:rsidP="00000A8D">
      <w:pPr>
        <w:autoSpaceDE w:val="0"/>
        <w:autoSpaceDN w:val="0"/>
        <w:adjustRightInd w:val="0"/>
        <w:jc w:val="both"/>
        <w:rPr>
          <w:b/>
        </w:rPr>
      </w:pPr>
      <w:r w:rsidRPr="00D2285D">
        <w:rPr>
          <w:noProof/>
        </w:rPr>
        <w:pict>
          <v:shape id="_x0000_s1058" type="#_x0000_t75" style="position:absolute;left:0;text-align:left;margin-left:.35pt;margin-top:7.5pt;width:106pt;height:20pt;z-index:251676672">
            <v:imagedata r:id="rId55" o:title=""/>
          </v:shape>
          <o:OLEObject Type="Embed" ProgID="Equation.3" ShapeID="_x0000_s1058" DrawAspect="Content" ObjectID="_1372651366" r:id="rId56"/>
        </w:pict>
      </w:r>
    </w:p>
    <w:p w:rsidR="00603A81" w:rsidRDefault="00D2285D" w:rsidP="00000A8D">
      <w:pPr>
        <w:ind w:firstLine="360"/>
        <w:jc w:val="both"/>
      </w:pPr>
      <w:r>
        <w:rPr>
          <w:noProof/>
        </w:rPr>
        <w:pict>
          <v:shape id="_x0000_s1059" type="#_x0000_t75" style="position:absolute;left:0;text-align:left;margin-left:.35pt;margin-top:13.7pt;width:76pt;height:20pt;z-index:251677696">
            <v:imagedata r:id="rId57" o:title=""/>
          </v:shape>
          <o:OLEObject Type="Embed" ProgID="Equation.3" ShapeID="_x0000_s1059" DrawAspect="Content" ObjectID="_1372651367" r:id="rId58"/>
        </w:pict>
      </w:r>
      <w:r w:rsidR="006B0FF4">
        <w:t xml:space="preserve">                                 </w:t>
      </w:r>
      <w:r w:rsidR="00603A81">
        <w:t xml:space="preserve">                                                                   </w:t>
      </w:r>
      <w:r w:rsidR="00EF5174">
        <w:t xml:space="preserve">                                      (22</w:t>
      </w:r>
      <w:r w:rsidR="00603A81">
        <w:t>)</w:t>
      </w:r>
    </w:p>
    <w:p w:rsidR="00603A81" w:rsidRDefault="006B0FF4" w:rsidP="006B0FF4">
      <w:pPr>
        <w:jc w:val="both"/>
      </w:pPr>
      <w:r>
        <w:t xml:space="preserve">                           </w:t>
      </w:r>
      <w:r w:rsidR="00603A81">
        <w:t xml:space="preserve">                                </w:t>
      </w:r>
      <w:r>
        <w:t xml:space="preserve"> </w:t>
      </w:r>
      <w:r w:rsidR="00603A81">
        <w:t xml:space="preserve">  </w:t>
      </w:r>
      <w:r w:rsidR="00603A81">
        <w:sym w:font="Symbol" w:char="F065"/>
      </w:r>
      <w:r w:rsidR="00603A81">
        <w:t xml:space="preserve"> ~ (0, </w:t>
      </w:r>
      <w:r w:rsidR="00603A81">
        <w:sym w:font="Symbol" w:char="F057"/>
      </w:r>
      <w:r w:rsidR="00603A81">
        <w:t>)</w:t>
      </w:r>
    </w:p>
    <w:p w:rsidR="00CE27D1" w:rsidRDefault="00CE27D1" w:rsidP="00000A8D">
      <w:pPr>
        <w:ind w:firstLine="360"/>
        <w:jc w:val="both"/>
      </w:pPr>
    </w:p>
    <w:p w:rsidR="00042440" w:rsidRDefault="00CE27D1" w:rsidP="00042440">
      <w:pPr>
        <w:ind w:firstLine="360"/>
        <w:jc w:val="both"/>
      </w:pPr>
      <w:r>
        <w:t>Portanto, inserindo o modelo M</w:t>
      </w:r>
      <w:r w:rsidR="00EF5174">
        <w:t>RW – H(b), [equação (16)] em (22</w:t>
      </w:r>
      <w:r w:rsidR="006B0FF4">
        <w:t>)</w:t>
      </w:r>
      <w:r>
        <w:t>:</w:t>
      </w:r>
    </w:p>
    <w:p w:rsidR="006B0FF4" w:rsidRDefault="00D2285D" w:rsidP="00042440">
      <w:pPr>
        <w:ind w:firstLine="360"/>
        <w:jc w:val="both"/>
      </w:pPr>
      <w:r>
        <w:rPr>
          <w:noProof/>
        </w:rPr>
        <w:pict>
          <v:shape id="_x0000_s1061" type="#_x0000_t75" style="position:absolute;left:0;text-align:left;margin-left:.35pt;margin-top:3.95pt;width:301.95pt;height:23pt;z-index:251678720">
            <v:imagedata r:id="rId59" o:title=""/>
          </v:shape>
          <o:OLEObject Type="Embed" ProgID="Equation.3" ShapeID="_x0000_s1061" DrawAspect="Content" ObjectID="_1372651368" r:id="rId60"/>
        </w:pict>
      </w:r>
    </w:p>
    <w:p w:rsidR="00CE27D1" w:rsidRDefault="00D2285D" w:rsidP="00000A8D">
      <w:pPr>
        <w:ind w:firstLine="360"/>
        <w:jc w:val="both"/>
      </w:pPr>
      <w:r>
        <w:rPr>
          <w:noProof/>
        </w:rPr>
        <w:pict>
          <v:shape id="_x0000_s1062" type="#_x0000_t75" style="position:absolute;left:0;text-align:left;margin-left:.35pt;margin-top:13.15pt;width:76pt;height:20pt;z-index:251679744">
            <v:imagedata r:id="rId57" o:title=""/>
          </v:shape>
          <o:OLEObject Type="Embed" ProgID="Equation.3" ShapeID="_x0000_s1062" DrawAspect="Content" ObjectID="_1372651369" r:id="rId61"/>
        </w:pict>
      </w:r>
      <w:r w:rsidR="006B0FF4">
        <w:t xml:space="preserve">                                                                   </w:t>
      </w:r>
      <w:r w:rsidR="00CE27D1">
        <w:t xml:space="preserve">                                 </w:t>
      </w:r>
      <w:r w:rsidR="00EF5174">
        <w:t xml:space="preserve">                                      (23</w:t>
      </w:r>
      <w:r w:rsidR="00CE27D1">
        <w:t>)</w:t>
      </w:r>
    </w:p>
    <w:p w:rsidR="00CE27D1" w:rsidRDefault="006B0FF4" w:rsidP="00042440">
      <w:pPr>
        <w:ind w:firstLine="360"/>
        <w:jc w:val="both"/>
      </w:pPr>
      <w:r>
        <w:t xml:space="preserve">                      </w:t>
      </w:r>
      <w:r w:rsidR="00CE27D1">
        <w:t xml:space="preserve">                                  </w:t>
      </w:r>
      <w:r w:rsidR="00CE27D1">
        <w:sym w:font="Symbol" w:char="F065"/>
      </w:r>
      <w:r w:rsidR="00CE27D1">
        <w:t xml:space="preserve"> ~ (0, </w:t>
      </w:r>
      <w:r w:rsidR="00CE27D1">
        <w:sym w:font="Symbol" w:char="F057"/>
      </w:r>
      <w:r w:rsidR="00CE27D1">
        <w:t>)</w:t>
      </w:r>
    </w:p>
    <w:p w:rsidR="00042440" w:rsidRDefault="00042440" w:rsidP="00042440">
      <w:pPr>
        <w:ind w:firstLine="360"/>
        <w:jc w:val="both"/>
      </w:pPr>
    </w:p>
    <w:p w:rsidR="00AD0AD5" w:rsidRDefault="00190E5E" w:rsidP="00000A8D">
      <w:pPr>
        <w:ind w:firstLine="360"/>
        <w:jc w:val="both"/>
      </w:pPr>
      <w:r>
        <w:t>Este modelo incorpora as duas formas de autocorrelação citadas nos Modelos de Erro e Defasagem Espaciais</w:t>
      </w:r>
      <w:r w:rsidR="001171CE">
        <w:t xml:space="preserve">. Cabe ressaltar que </w:t>
      </w:r>
      <w:r w:rsidR="00071C28">
        <w:t>as matrizes utilizadas neste modelo (</w:t>
      </w:r>
      <w:r w:rsidR="001171CE">
        <w:t>W</w:t>
      </w:r>
      <w:r w:rsidR="001171CE" w:rsidRPr="00CE27D1">
        <w:rPr>
          <w:vertAlign w:val="subscript"/>
        </w:rPr>
        <w:t>1</w:t>
      </w:r>
      <w:r>
        <w:t xml:space="preserve"> </w:t>
      </w:r>
      <w:r w:rsidR="001171CE">
        <w:t>e W</w:t>
      </w:r>
      <w:r w:rsidR="00071C28">
        <w:rPr>
          <w:vertAlign w:val="subscript"/>
        </w:rPr>
        <w:t>2</w:t>
      </w:r>
      <w:r w:rsidR="00071C28">
        <w:t>)</w:t>
      </w:r>
      <w:r w:rsidR="00071C28">
        <w:rPr>
          <w:rStyle w:val="Refdenotaderodap"/>
        </w:rPr>
        <w:footnoteReference w:id="19"/>
      </w:r>
      <w:r w:rsidR="001171CE">
        <w:t xml:space="preserve"> </w:t>
      </w:r>
      <w:r w:rsidR="00071C28">
        <w:t>contém</w:t>
      </w:r>
      <w:r w:rsidR="001171CE">
        <w:t xml:space="preserve"> pesos espaciais diferentes, constituindo um caso mais geral.</w:t>
      </w:r>
      <w:r w:rsidR="00AD0AD5">
        <w:t xml:space="preserve"> Mais uma vez, assim </w:t>
      </w:r>
      <w:r w:rsidR="00AD0AD5">
        <w:lastRenderedPageBreak/>
        <w:t xml:space="preserve">como ocorrido nos Modelos de Erro e Defasagem, </w:t>
      </w:r>
      <w:r w:rsidR="00AD0AD5" w:rsidRPr="00A20A8C">
        <w:t xml:space="preserve">um choque ocorrido em uma unidade geográfica se espalha não só para os seus vizinhos imediatos, mas por todas as outras </w:t>
      </w:r>
      <w:r w:rsidR="00AD0AD5">
        <w:t xml:space="preserve">unidades. </w:t>
      </w:r>
    </w:p>
    <w:p w:rsidR="00AD0AD5" w:rsidRDefault="00AD0AD5" w:rsidP="00000A8D">
      <w:pPr>
        <w:autoSpaceDE w:val="0"/>
        <w:autoSpaceDN w:val="0"/>
        <w:adjustRightInd w:val="0"/>
        <w:ind w:firstLine="360"/>
        <w:jc w:val="both"/>
      </w:pPr>
      <w:r>
        <w:t xml:space="preserve"> Não considerar este tipo de efeito espacial, quando este se mostrar relevante, gera estimativas inconsistentes e ineficientes.</w:t>
      </w:r>
    </w:p>
    <w:p w:rsidR="00AD0AD5" w:rsidRDefault="00AD0AD5" w:rsidP="00000A8D">
      <w:pPr>
        <w:jc w:val="both"/>
      </w:pPr>
    </w:p>
    <w:p w:rsidR="00FD3205" w:rsidRDefault="00FD3205" w:rsidP="00000A8D">
      <w:pPr>
        <w:jc w:val="both"/>
        <w:rPr>
          <w:b/>
        </w:rPr>
      </w:pPr>
      <w:r w:rsidRPr="00FD3205">
        <w:rPr>
          <w:b/>
        </w:rPr>
        <w:t>5.2. Análise d</w:t>
      </w:r>
      <w:r w:rsidR="00DC5144">
        <w:rPr>
          <w:b/>
        </w:rPr>
        <w:t>e</w:t>
      </w:r>
      <w:r w:rsidRPr="00FD3205">
        <w:rPr>
          <w:b/>
        </w:rPr>
        <w:t xml:space="preserve"> resultados dos Modelos Espaciais</w:t>
      </w:r>
    </w:p>
    <w:p w:rsidR="00FD3205" w:rsidRDefault="00FD3205" w:rsidP="00000A8D">
      <w:pPr>
        <w:jc w:val="both"/>
        <w:rPr>
          <w:b/>
        </w:rPr>
      </w:pPr>
    </w:p>
    <w:p w:rsidR="00336D4C" w:rsidRDefault="00327139" w:rsidP="00000A8D">
      <w:pPr>
        <w:autoSpaceDE w:val="0"/>
        <w:autoSpaceDN w:val="0"/>
        <w:adjustRightInd w:val="0"/>
        <w:ind w:firstLine="360"/>
        <w:jc w:val="both"/>
      </w:pPr>
      <w:r w:rsidRPr="005055F1">
        <w:t>Como os resíduos não são normais, o modelo de defasa</w:t>
      </w:r>
      <w:r w:rsidR="00237B51" w:rsidRPr="005055F1">
        <w:t xml:space="preserve">gem espacial será estimado pelo </w:t>
      </w:r>
      <w:r w:rsidRPr="005055F1">
        <w:t>método das</w:t>
      </w:r>
      <w:r w:rsidR="00237B51" w:rsidRPr="005055F1">
        <w:t xml:space="preserve"> </w:t>
      </w:r>
      <w:r w:rsidRPr="005055F1">
        <w:t>variáveis instrumentais</w:t>
      </w:r>
      <w:r w:rsidR="00CC2DDE">
        <w:t xml:space="preserve"> (MQ2E)</w:t>
      </w:r>
      <w:r w:rsidRPr="005055F1">
        <w:t>.</w:t>
      </w:r>
      <w:r w:rsidR="00CC2DDE">
        <w:t xml:space="preserve"> A razão para isto decorre do fato de que a estimação por MQ2E revela se o Modelo de Defasagem estimado ainda apresenta autocorrelação espacial nos erros.</w:t>
      </w:r>
      <w:r w:rsidRPr="005055F1">
        <w:t xml:space="preserve"> Por sua vez</w:t>
      </w:r>
      <w:r w:rsidR="00237B51" w:rsidRPr="005055F1">
        <w:t xml:space="preserve">, o modelo de erro espacial foi </w:t>
      </w:r>
      <w:r w:rsidRPr="005055F1">
        <w:t>estimado pelo método generalizado de</w:t>
      </w:r>
      <w:r w:rsidR="00237B51" w:rsidRPr="005055F1">
        <w:t xml:space="preserve"> </w:t>
      </w:r>
      <w:r w:rsidRPr="005055F1">
        <w:t>momentos (MGM),</w:t>
      </w:r>
      <w:r w:rsidR="00237B51" w:rsidRPr="005055F1">
        <w:t xml:space="preserve"> proposto por Kelejian e Prucha </w:t>
      </w:r>
      <w:r w:rsidRPr="005055F1">
        <w:t>(1999), que prescinde do pressuposto da normalidade</w:t>
      </w:r>
      <w:r w:rsidR="00237B51" w:rsidRPr="005055F1">
        <w:t xml:space="preserve"> </w:t>
      </w:r>
      <w:r w:rsidRPr="005055F1">
        <w:t>na sua estimação, com uma especificação para o erro heterocedástico na forma de grupos</w:t>
      </w:r>
      <w:r w:rsidR="005055F1" w:rsidRPr="005055F1">
        <w:rPr>
          <w:rStyle w:val="Refdenotaderodap"/>
        </w:rPr>
        <w:footnoteReference w:id="20"/>
      </w:r>
      <w:r w:rsidRPr="005055F1">
        <w:t>. O modelo de defas</w:t>
      </w:r>
      <w:r w:rsidR="00237B51" w:rsidRPr="005055F1">
        <w:t xml:space="preserve">agem espacial com erro espacial </w:t>
      </w:r>
      <w:r w:rsidRPr="005055F1">
        <w:t>foi estimado</w:t>
      </w:r>
      <w:r w:rsidR="00237B51" w:rsidRPr="005055F1">
        <w:t xml:space="preserve"> </w:t>
      </w:r>
      <w:r w:rsidRPr="005055F1">
        <w:t>pelo método dos mínimos quadrados em dois estágios esp</w:t>
      </w:r>
      <w:r w:rsidR="00237B51" w:rsidRPr="005055F1">
        <w:t xml:space="preserve">acial generalizado </w:t>
      </w:r>
      <w:r w:rsidRPr="005055F1">
        <w:t>(MQ2EEG), proposto por</w:t>
      </w:r>
      <w:r w:rsidR="00237B51" w:rsidRPr="005055F1">
        <w:t xml:space="preserve"> </w:t>
      </w:r>
      <w:r w:rsidRPr="005055F1">
        <w:t>Kelejian e Prucha (1998).</w:t>
      </w:r>
      <w:r w:rsidR="00237B51" w:rsidRPr="005055F1">
        <w:t xml:space="preserve"> </w:t>
      </w:r>
      <w:r w:rsidR="0045676E">
        <w:t>O objetivo desta estimação é verificar se o coeficiente “</w:t>
      </w:r>
      <w:r w:rsidR="0045676E">
        <w:sym w:font="Symbol" w:char="F072"/>
      </w:r>
      <w:r w:rsidR="0045676E">
        <w:t xml:space="preserve">” que acompanha a defasagem é significativo e </w:t>
      </w:r>
      <w:r w:rsidR="0078674A">
        <w:t xml:space="preserve">se o modelo foi realmente capaz de acomodar autocorrelação no erro. </w:t>
      </w:r>
      <w:r w:rsidRPr="005055F1">
        <w:t>Os resultados da estimação dos modelos espaciais estão</w:t>
      </w:r>
      <w:r w:rsidR="00237B51" w:rsidRPr="005055F1">
        <w:t xml:space="preserve"> </w:t>
      </w:r>
      <w:r w:rsidR="00157A96">
        <w:t>reportados na T</w:t>
      </w:r>
      <w:r w:rsidR="00237B51" w:rsidRPr="005055F1">
        <w:t>abela 2</w:t>
      </w:r>
      <w:r w:rsidRPr="005055F1">
        <w:t>.</w:t>
      </w:r>
    </w:p>
    <w:p w:rsidR="0066458B" w:rsidRDefault="0066458B" w:rsidP="00000A8D">
      <w:pPr>
        <w:autoSpaceDE w:val="0"/>
        <w:autoSpaceDN w:val="0"/>
        <w:adjustRightInd w:val="0"/>
        <w:ind w:firstLine="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97"/>
        <w:gridCol w:w="1080"/>
        <w:gridCol w:w="983"/>
        <w:gridCol w:w="1177"/>
        <w:gridCol w:w="1043"/>
        <w:gridCol w:w="1297"/>
        <w:gridCol w:w="872"/>
      </w:tblGrid>
      <w:tr w:rsidR="0066458B" w:rsidTr="003F1653">
        <w:trPr>
          <w:jc w:val="center"/>
        </w:trPr>
        <w:tc>
          <w:tcPr>
            <w:tcW w:w="8720" w:type="dxa"/>
            <w:gridSpan w:val="8"/>
            <w:tcBorders>
              <w:top w:val="nil"/>
              <w:left w:val="nil"/>
              <w:bottom w:val="single" w:sz="4" w:space="0" w:color="auto"/>
              <w:right w:val="nil"/>
            </w:tcBorders>
          </w:tcPr>
          <w:p w:rsidR="0066458B" w:rsidRPr="003F1653" w:rsidRDefault="0066458B" w:rsidP="003F1653">
            <w:pPr>
              <w:jc w:val="center"/>
              <w:rPr>
                <w:b/>
              </w:rPr>
            </w:pPr>
            <w:r>
              <w:t>Tabela 2</w:t>
            </w:r>
            <w:r w:rsidRPr="00616BFA">
              <w:t xml:space="preserve">. Estimação dos Modelos </w:t>
            </w:r>
            <w:r>
              <w:t>Espaciais</w:t>
            </w:r>
            <w:r w:rsidR="006D4B81">
              <w:rPr>
                <w:rStyle w:val="Refdenotaderodap"/>
              </w:rPr>
              <w:footnoteReference w:id="21"/>
            </w:r>
          </w:p>
        </w:tc>
      </w:tr>
      <w:tr w:rsidR="0066458B" w:rsidRPr="00A73E9B" w:rsidTr="003F1653">
        <w:trPr>
          <w:jc w:val="center"/>
        </w:trPr>
        <w:tc>
          <w:tcPr>
            <w:tcW w:w="2268" w:type="dxa"/>
            <w:gridSpan w:val="2"/>
            <w:tcBorders>
              <w:left w:val="nil"/>
              <w:bottom w:val="single" w:sz="4" w:space="0" w:color="auto"/>
              <w:right w:val="single" w:sz="4" w:space="0" w:color="auto"/>
            </w:tcBorders>
          </w:tcPr>
          <w:p w:rsidR="0066458B" w:rsidRPr="008F4C03" w:rsidRDefault="0066458B" w:rsidP="003F1653">
            <w:pPr>
              <w:jc w:val="both"/>
            </w:pPr>
            <w:r w:rsidRPr="008F4C03">
              <w:t>Var. dependente: Y</w:t>
            </w:r>
          </w:p>
        </w:tc>
        <w:tc>
          <w:tcPr>
            <w:tcW w:w="6452" w:type="dxa"/>
            <w:gridSpan w:val="6"/>
            <w:tcBorders>
              <w:left w:val="single" w:sz="4" w:space="0" w:color="auto"/>
              <w:bottom w:val="single" w:sz="4" w:space="0" w:color="auto"/>
              <w:right w:val="nil"/>
            </w:tcBorders>
          </w:tcPr>
          <w:p w:rsidR="0066458B" w:rsidRPr="008F4C03" w:rsidRDefault="0066458B" w:rsidP="003F1653">
            <w:pPr>
              <w:jc w:val="center"/>
            </w:pPr>
            <w:r w:rsidRPr="008F4C03">
              <w:t>Modelos</w:t>
            </w:r>
          </w:p>
        </w:tc>
      </w:tr>
      <w:tr w:rsidR="0066458B" w:rsidRPr="00616BFA" w:rsidTr="003F1653">
        <w:trPr>
          <w:jc w:val="center"/>
        </w:trPr>
        <w:tc>
          <w:tcPr>
            <w:tcW w:w="2171" w:type="dxa"/>
            <w:tcBorders>
              <w:top w:val="single" w:sz="4" w:space="0" w:color="auto"/>
              <w:left w:val="nil"/>
              <w:bottom w:val="single" w:sz="4" w:space="0" w:color="auto"/>
              <w:right w:val="nil"/>
            </w:tcBorders>
          </w:tcPr>
          <w:p w:rsidR="0066458B" w:rsidRPr="003F1653" w:rsidRDefault="0066458B" w:rsidP="003F1653">
            <w:pPr>
              <w:jc w:val="both"/>
              <w:rPr>
                <w:b/>
                <w:sz w:val="20"/>
                <w:szCs w:val="20"/>
              </w:rPr>
            </w:pPr>
          </w:p>
        </w:tc>
        <w:tc>
          <w:tcPr>
            <w:tcW w:w="2160" w:type="dxa"/>
            <w:gridSpan w:val="3"/>
            <w:tcBorders>
              <w:top w:val="single" w:sz="4" w:space="0" w:color="auto"/>
              <w:left w:val="nil"/>
              <w:bottom w:val="nil"/>
              <w:right w:val="nil"/>
            </w:tcBorders>
          </w:tcPr>
          <w:p w:rsidR="0066458B" w:rsidRPr="003F1653" w:rsidRDefault="0066458B" w:rsidP="003F1653">
            <w:pPr>
              <w:jc w:val="center"/>
              <w:rPr>
                <w:sz w:val="20"/>
                <w:szCs w:val="20"/>
              </w:rPr>
            </w:pPr>
            <w:r w:rsidRPr="003F1653">
              <w:rPr>
                <w:sz w:val="20"/>
                <w:szCs w:val="20"/>
              </w:rPr>
              <w:t>Erro</w:t>
            </w:r>
          </w:p>
        </w:tc>
        <w:tc>
          <w:tcPr>
            <w:tcW w:w="2220" w:type="dxa"/>
            <w:gridSpan w:val="2"/>
            <w:tcBorders>
              <w:top w:val="single" w:sz="4" w:space="0" w:color="auto"/>
              <w:left w:val="nil"/>
              <w:bottom w:val="nil"/>
              <w:right w:val="nil"/>
            </w:tcBorders>
          </w:tcPr>
          <w:p w:rsidR="0066458B" w:rsidRPr="003F1653" w:rsidRDefault="0066458B" w:rsidP="003F1653">
            <w:pPr>
              <w:jc w:val="center"/>
              <w:rPr>
                <w:sz w:val="20"/>
                <w:szCs w:val="20"/>
              </w:rPr>
            </w:pPr>
            <w:r w:rsidRPr="003F1653">
              <w:rPr>
                <w:sz w:val="20"/>
                <w:szCs w:val="20"/>
              </w:rPr>
              <w:t>Defasagem</w:t>
            </w:r>
          </w:p>
        </w:tc>
        <w:tc>
          <w:tcPr>
            <w:tcW w:w="2169" w:type="dxa"/>
            <w:gridSpan w:val="2"/>
            <w:tcBorders>
              <w:top w:val="single" w:sz="4" w:space="0" w:color="auto"/>
              <w:left w:val="nil"/>
              <w:bottom w:val="nil"/>
              <w:right w:val="nil"/>
            </w:tcBorders>
          </w:tcPr>
          <w:p w:rsidR="0066458B" w:rsidRPr="003F1653" w:rsidRDefault="0066458B" w:rsidP="003F1653">
            <w:pPr>
              <w:jc w:val="center"/>
              <w:rPr>
                <w:sz w:val="20"/>
                <w:szCs w:val="20"/>
              </w:rPr>
            </w:pPr>
            <w:r w:rsidRPr="003F1653">
              <w:rPr>
                <w:sz w:val="20"/>
                <w:szCs w:val="20"/>
              </w:rPr>
              <w:t>Defasagem c/</w:t>
            </w:r>
            <w:r w:rsidR="00DE7950" w:rsidRPr="003F1653">
              <w:rPr>
                <w:sz w:val="20"/>
                <w:szCs w:val="20"/>
              </w:rPr>
              <w:t xml:space="preserve"> </w:t>
            </w:r>
            <w:r w:rsidRPr="003F1653">
              <w:rPr>
                <w:sz w:val="20"/>
                <w:szCs w:val="20"/>
              </w:rPr>
              <w:t>Erro</w:t>
            </w:r>
          </w:p>
        </w:tc>
      </w:tr>
      <w:tr w:rsidR="00F36D9B" w:rsidRPr="00616BFA" w:rsidTr="003F1653">
        <w:trPr>
          <w:jc w:val="center"/>
        </w:trPr>
        <w:tc>
          <w:tcPr>
            <w:tcW w:w="2171"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Variável</w:t>
            </w:r>
          </w:p>
        </w:tc>
        <w:tc>
          <w:tcPr>
            <w:tcW w:w="1177" w:type="dxa"/>
            <w:gridSpan w:val="2"/>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Coef.</w:t>
            </w:r>
          </w:p>
        </w:tc>
        <w:tc>
          <w:tcPr>
            <w:tcW w:w="983"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Prob.</w:t>
            </w:r>
          </w:p>
        </w:tc>
        <w:tc>
          <w:tcPr>
            <w:tcW w:w="1177"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Coef.</w:t>
            </w:r>
          </w:p>
        </w:tc>
        <w:tc>
          <w:tcPr>
            <w:tcW w:w="1043"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Prob.</w:t>
            </w:r>
          </w:p>
        </w:tc>
        <w:tc>
          <w:tcPr>
            <w:tcW w:w="1297"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Coef</w:t>
            </w:r>
          </w:p>
        </w:tc>
        <w:tc>
          <w:tcPr>
            <w:tcW w:w="872" w:type="dxa"/>
            <w:tcBorders>
              <w:left w:val="nil"/>
              <w:bottom w:val="single" w:sz="4" w:space="0" w:color="auto"/>
              <w:right w:val="nil"/>
            </w:tcBorders>
          </w:tcPr>
          <w:p w:rsidR="0066458B" w:rsidRPr="003F1653" w:rsidRDefault="0066458B" w:rsidP="003F1653">
            <w:pPr>
              <w:jc w:val="center"/>
              <w:rPr>
                <w:sz w:val="20"/>
                <w:szCs w:val="20"/>
              </w:rPr>
            </w:pPr>
            <w:r w:rsidRPr="003F1653">
              <w:rPr>
                <w:sz w:val="20"/>
                <w:szCs w:val="20"/>
              </w:rPr>
              <w:t>Prob</w:t>
            </w:r>
          </w:p>
        </w:tc>
      </w:tr>
      <w:tr w:rsidR="00F36D9B" w:rsidRPr="00B92CC4" w:rsidTr="003F1653">
        <w:trPr>
          <w:jc w:val="center"/>
        </w:trPr>
        <w:tc>
          <w:tcPr>
            <w:tcW w:w="2171" w:type="dxa"/>
            <w:tcBorders>
              <w:top w:val="single" w:sz="4" w:space="0" w:color="auto"/>
              <w:left w:val="nil"/>
              <w:bottom w:val="nil"/>
              <w:right w:val="nil"/>
            </w:tcBorders>
          </w:tcPr>
          <w:p w:rsidR="00F36D9B" w:rsidRPr="003F1653" w:rsidRDefault="00F36D9B" w:rsidP="003F1653">
            <w:pPr>
              <w:jc w:val="both"/>
              <w:rPr>
                <w:sz w:val="20"/>
                <w:szCs w:val="20"/>
              </w:rPr>
            </w:pPr>
            <w:r w:rsidRPr="003F1653">
              <w:rPr>
                <w:sz w:val="20"/>
                <w:szCs w:val="20"/>
              </w:rPr>
              <w:t>AL</w:t>
            </w:r>
          </w:p>
        </w:tc>
        <w:tc>
          <w:tcPr>
            <w:tcW w:w="1177" w:type="dxa"/>
            <w:gridSpan w:val="2"/>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0.301</w:t>
            </w:r>
          </w:p>
        </w:tc>
        <w:tc>
          <w:tcPr>
            <w:tcW w:w="983" w:type="dxa"/>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177" w:type="dxa"/>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0.288</w:t>
            </w:r>
          </w:p>
        </w:tc>
        <w:tc>
          <w:tcPr>
            <w:tcW w:w="1043" w:type="dxa"/>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297" w:type="dxa"/>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0.299</w:t>
            </w:r>
          </w:p>
        </w:tc>
        <w:tc>
          <w:tcPr>
            <w:tcW w:w="872" w:type="dxa"/>
            <w:tcBorders>
              <w:top w:val="single" w:sz="4" w:space="0" w:color="auto"/>
              <w:left w:val="nil"/>
              <w:bottom w:val="nil"/>
              <w:right w:val="nil"/>
            </w:tcBorders>
          </w:tcPr>
          <w:p w:rsidR="00F36D9B" w:rsidRPr="003F1653" w:rsidRDefault="00F36D9B" w:rsidP="003F1653">
            <w:pPr>
              <w:jc w:val="center"/>
              <w:rPr>
                <w:b/>
                <w:sz w:val="20"/>
                <w:szCs w:val="20"/>
              </w:rPr>
            </w:pPr>
            <w:r w:rsidRPr="003F1653">
              <w:rPr>
                <w:sz w:val="20"/>
                <w:szCs w:val="20"/>
              </w:rPr>
              <w:t>0.000</w:t>
            </w:r>
          </w:p>
        </w:tc>
      </w:tr>
      <w:tr w:rsidR="00F36D9B" w:rsidRPr="00B92CC4" w:rsidTr="003F1653">
        <w:trPr>
          <w:jc w:val="center"/>
        </w:trPr>
        <w:tc>
          <w:tcPr>
            <w:tcW w:w="2171" w:type="dxa"/>
            <w:tcBorders>
              <w:top w:val="nil"/>
              <w:left w:val="nil"/>
              <w:bottom w:val="nil"/>
              <w:right w:val="nil"/>
            </w:tcBorders>
          </w:tcPr>
          <w:p w:rsidR="00F36D9B" w:rsidRPr="003F1653" w:rsidRDefault="00F36D9B" w:rsidP="003F1653">
            <w:pPr>
              <w:jc w:val="both"/>
              <w:rPr>
                <w:sz w:val="20"/>
                <w:szCs w:val="20"/>
              </w:rPr>
            </w:pPr>
            <w:r w:rsidRPr="003F1653">
              <w:rPr>
                <w:sz w:val="20"/>
                <w:szCs w:val="20"/>
              </w:rPr>
              <w:t>AK</w:t>
            </w:r>
          </w:p>
        </w:tc>
        <w:tc>
          <w:tcPr>
            <w:tcW w:w="1177" w:type="dxa"/>
            <w:gridSpan w:val="2"/>
            <w:tcBorders>
              <w:top w:val="nil"/>
              <w:left w:val="nil"/>
              <w:bottom w:val="nil"/>
              <w:right w:val="nil"/>
            </w:tcBorders>
          </w:tcPr>
          <w:p w:rsidR="00F36D9B" w:rsidRPr="003F1653" w:rsidRDefault="00F36D9B" w:rsidP="003F1653">
            <w:pPr>
              <w:jc w:val="center"/>
              <w:rPr>
                <w:b/>
                <w:sz w:val="20"/>
                <w:szCs w:val="20"/>
              </w:rPr>
            </w:pPr>
            <w:r w:rsidRPr="003F1653">
              <w:rPr>
                <w:sz w:val="20"/>
                <w:szCs w:val="20"/>
              </w:rPr>
              <w:t>0.344</w:t>
            </w:r>
          </w:p>
        </w:tc>
        <w:tc>
          <w:tcPr>
            <w:tcW w:w="98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 xml:space="preserve">0.358  </w:t>
            </w:r>
          </w:p>
        </w:tc>
        <w:tc>
          <w:tcPr>
            <w:tcW w:w="104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0.332</w:t>
            </w:r>
          </w:p>
        </w:tc>
        <w:tc>
          <w:tcPr>
            <w:tcW w:w="872"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r>
      <w:tr w:rsidR="00F36D9B" w:rsidRPr="00B92CC4" w:rsidTr="003F1653">
        <w:trPr>
          <w:jc w:val="center"/>
        </w:trPr>
        <w:tc>
          <w:tcPr>
            <w:tcW w:w="2171" w:type="dxa"/>
            <w:tcBorders>
              <w:top w:val="nil"/>
              <w:left w:val="nil"/>
              <w:bottom w:val="nil"/>
              <w:right w:val="nil"/>
            </w:tcBorders>
          </w:tcPr>
          <w:p w:rsidR="00F36D9B" w:rsidRPr="003F1653" w:rsidRDefault="00F36D9B" w:rsidP="003F1653">
            <w:pPr>
              <w:jc w:val="both"/>
              <w:rPr>
                <w:sz w:val="20"/>
                <w:szCs w:val="20"/>
              </w:rPr>
            </w:pPr>
            <w:r w:rsidRPr="003F1653">
              <w:rPr>
                <w:sz w:val="20"/>
                <w:szCs w:val="20"/>
              </w:rPr>
              <w:t>H(b)</w:t>
            </w:r>
          </w:p>
        </w:tc>
        <w:tc>
          <w:tcPr>
            <w:tcW w:w="1177" w:type="dxa"/>
            <w:gridSpan w:val="2"/>
            <w:tcBorders>
              <w:top w:val="nil"/>
              <w:left w:val="nil"/>
              <w:bottom w:val="nil"/>
              <w:right w:val="nil"/>
            </w:tcBorders>
          </w:tcPr>
          <w:p w:rsidR="00F36D9B" w:rsidRPr="003F1653" w:rsidRDefault="00F36D9B" w:rsidP="003F1653">
            <w:pPr>
              <w:jc w:val="center"/>
              <w:rPr>
                <w:b/>
                <w:sz w:val="20"/>
                <w:szCs w:val="20"/>
              </w:rPr>
            </w:pPr>
            <w:r w:rsidRPr="003F1653">
              <w:rPr>
                <w:sz w:val="20"/>
                <w:szCs w:val="20"/>
              </w:rPr>
              <w:t>0.374</w:t>
            </w:r>
          </w:p>
        </w:tc>
        <w:tc>
          <w:tcPr>
            <w:tcW w:w="98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 xml:space="preserve">0.385    </w:t>
            </w:r>
          </w:p>
        </w:tc>
        <w:tc>
          <w:tcPr>
            <w:tcW w:w="104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0.246</w:t>
            </w:r>
          </w:p>
        </w:tc>
        <w:tc>
          <w:tcPr>
            <w:tcW w:w="872"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r>
      <w:tr w:rsidR="00F36D9B" w:rsidRPr="00B92CC4" w:rsidTr="003F1653">
        <w:trPr>
          <w:jc w:val="center"/>
        </w:trPr>
        <w:tc>
          <w:tcPr>
            <w:tcW w:w="2171" w:type="dxa"/>
            <w:tcBorders>
              <w:top w:val="nil"/>
              <w:left w:val="nil"/>
              <w:bottom w:val="nil"/>
              <w:right w:val="nil"/>
            </w:tcBorders>
          </w:tcPr>
          <w:p w:rsidR="00F36D9B" w:rsidRPr="003F1653" w:rsidRDefault="00F36D9B" w:rsidP="003F1653">
            <w:pPr>
              <w:jc w:val="both"/>
              <w:rPr>
                <w:sz w:val="20"/>
                <w:szCs w:val="20"/>
              </w:rPr>
            </w:pPr>
            <w:r w:rsidRPr="003F1653">
              <w:rPr>
                <w:sz w:val="20"/>
                <w:szCs w:val="20"/>
              </w:rPr>
              <w:sym w:font="Symbol" w:char="F06C"/>
            </w:r>
          </w:p>
        </w:tc>
        <w:tc>
          <w:tcPr>
            <w:tcW w:w="1177" w:type="dxa"/>
            <w:gridSpan w:val="2"/>
            <w:tcBorders>
              <w:top w:val="nil"/>
              <w:left w:val="nil"/>
              <w:bottom w:val="nil"/>
              <w:right w:val="nil"/>
            </w:tcBorders>
          </w:tcPr>
          <w:p w:rsidR="00F36D9B" w:rsidRPr="003F1653" w:rsidRDefault="00F36D9B" w:rsidP="003F1653">
            <w:pPr>
              <w:jc w:val="center"/>
              <w:rPr>
                <w:b/>
                <w:sz w:val="20"/>
                <w:szCs w:val="20"/>
              </w:rPr>
            </w:pPr>
            <w:r w:rsidRPr="003F1653">
              <w:rPr>
                <w:sz w:val="20"/>
                <w:szCs w:val="20"/>
              </w:rPr>
              <w:t>0.256</w:t>
            </w:r>
          </w:p>
        </w:tc>
        <w:tc>
          <w:tcPr>
            <w:tcW w:w="983" w:type="dxa"/>
            <w:tcBorders>
              <w:top w:val="nil"/>
              <w:left w:val="nil"/>
              <w:bottom w:val="nil"/>
              <w:right w:val="nil"/>
            </w:tcBorders>
          </w:tcPr>
          <w:p w:rsidR="00F36D9B" w:rsidRPr="003F1653" w:rsidRDefault="00F36D9B" w:rsidP="003F1653">
            <w:pPr>
              <w:jc w:val="center"/>
              <w:rPr>
                <w:b/>
                <w:sz w:val="20"/>
                <w:szCs w:val="20"/>
              </w:rPr>
            </w:pPr>
          </w:p>
        </w:tc>
        <w:tc>
          <w:tcPr>
            <w:tcW w:w="1177" w:type="dxa"/>
            <w:tcBorders>
              <w:top w:val="nil"/>
              <w:left w:val="nil"/>
              <w:bottom w:val="nil"/>
              <w:right w:val="nil"/>
            </w:tcBorders>
          </w:tcPr>
          <w:p w:rsidR="00F36D9B" w:rsidRPr="003F1653" w:rsidRDefault="00F36D9B" w:rsidP="003F1653">
            <w:pPr>
              <w:jc w:val="center"/>
              <w:rPr>
                <w:b/>
                <w:sz w:val="20"/>
                <w:szCs w:val="20"/>
              </w:rPr>
            </w:pPr>
          </w:p>
        </w:tc>
        <w:tc>
          <w:tcPr>
            <w:tcW w:w="1043" w:type="dxa"/>
            <w:tcBorders>
              <w:top w:val="nil"/>
              <w:left w:val="nil"/>
              <w:bottom w:val="nil"/>
              <w:right w:val="nil"/>
            </w:tcBorders>
          </w:tcPr>
          <w:p w:rsidR="00F36D9B" w:rsidRPr="003F1653" w:rsidRDefault="00F36D9B" w:rsidP="003F1653">
            <w:pPr>
              <w:jc w:val="center"/>
              <w:rPr>
                <w:b/>
                <w:sz w:val="20"/>
                <w:szCs w:val="20"/>
              </w:rPr>
            </w:pP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0.127</w:t>
            </w:r>
          </w:p>
        </w:tc>
        <w:tc>
          <w:tcPr>
            <w:tcW w:w="872" w:type="dxa"/>
            <w:tcBorders>
              <w:top w:val="nil"/>
              <w:left w:val="nil"/>
              <w:bottom w:val="nil"/>
              <w:right w:val="nil"/>
            </w:tcBorders>
          </w:tcPr>
          <w:p w:rsidR="00F36D9B" w:rsidRPr="003F1653" w:rsidRDefault="00F36D9B" w:rsidP="003F1653">
            <w:pPr>
              <w:jc w:val="center"/>
              <w:rPr>
                <w:b/>
                <w:sz w:val="20"/>
                <w:szCs w:val="20"/>
              </w:rPr>
            </w:pPr>
          </w:p>
        </w:tc>
      </w:tr>
      <w:tr w:rsidR="00F36D9B" w:rsidRPr="00B92CC4" w:rsidTr="003F1653">
        <w:trPr>
          <w:jc w:val="center"/>
        </w:trPr>
        <w:tc>
          <w:tcPr>
            <w:tcW w:w="2171" w:type="dxa"/>
            <w:tcBorders>
              <w:top w:val="nil"/>
              <w:left w:val="nil"/>
              <w:bottom w:val="nil"/>
              <w:right w:val="nil"/>
            </w:tcBorders>
            <w:vAlign w:val="bottom"/>
          </w:tcPr>
          <w:p w:rsidR="00F36D9B" w:rsidRPr="003F1653" w:rsidRDefault="00F36D9B" w:rsidP="00000A8D">
            <w:pPr>
              <w:rPr>
                <w:sz w:val="20"/>
                <w:szCs w:val="20"/>
              </w:rPr>
            </w:pPr>
            <w:r w:rsidRPr="003F1653">
              <w:rPr>
                <w:sz w:val="20"/>
                <w:szCs w:val="20"/>
              </w:rPr>
              <w:sym w:font="Symbol" w:char="F072"/>
            </w:r>
          </w:p>
        </w:tc>
        <w:tc>
          <w:tcPr>
            <w:tcW w:w="1177" w:type="dxa"/>
            <w:gridSpan w:val="2"/>
            <w:tcBorders>
              <w:top w:val="nil"/>
              <w:left w:val="nil"/>
              <w:bottom w:val="nil"/>
              <w:right w:val="nil"/>
            </w:tcBorders>
          </w:tcPr>
          <w:p w:rsidR="00F36D9B" w:rsidRPr="003F1653" w:rsidRDefault="00F36D9B" w:rsidP="003F1653">
            <w:pPr>
              <w:jc w:val="center"/>
              <w:rPr>
                <w:b/>
                <w:sz w:val="20"/>
                <w:szCs w:val="20"/>
              </w:rPr>
            </w:pPr>
          </w:p>
        </w:tc>
        <w:tc>
          <w:tcPr>
            <w:tcW w:w="983" w:type="dxa"/>
            <w:tcBorders>
              <w:top w:val="nil"/>
              <w:left w:val="nil"/>
              <w:bottom w:val="nil"/>
              <w:right w:val="nil"/>
            </w:tcBorders>
          </w:tcPr>
          <w:p w:rsidR="00F36D9B" w:rsidRPr="003F1653" w:rsidRDefault="00F36D9B" w:rsidP="003F1653">
            <w:pPr>
              <w:jc w:val="center"/>
              <w:rPr>
                <w:b/>
                <w:sz w:val="20"/>
                <w:szCs w:val="20"/>
              </w:rPr>
            </w:pP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-0.018</w:t>
            </w:r>
          </w:p>
        </w:tc>
        <w:tc>
          <w:tcPr>
            <w:tcW w:w="104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-0.052</w:t>
            </w:r>
          </w:p>
        </w:tc>
        <w:tc>
          <w:tcPr>
            <w:tcW w:w="872"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0.135</w:t>
            </w:r>
          </w:p>
        </w:tc>
      </w:tr>
      <w:tr w:rsidR="00F36D9B" w:rsidRPr="00B92CC4" w:rsidTr="003F1653">
        <w:trPr>
          <w:jc w:val="center"/>
        </w:trPr>
        <w:tc>
          <w:tcPr>
            <w:tcW w:w="8720" w:type="dxa"/>
            <w:gridSpan w:val="8"/>
            <w:tcBorders>
              <w:left w:val="nil"/>
              <w:right w:val="nil"/>
            </w:tcBorders>
            <w:vAlign w:val="bottom"/>
          </w:tcPr>
          <w:p w:rsidR="00F36D9B" w:rsidRPr="003F1653" w:rsidRDefault="00F36D9B" w:rsidP="003F1653">
            <w:pPr>
              <w:jc w:val="center"/>
              <w:rPr>
                <w:b/>
                <w:sz w:val="20"/>
                <w:szCs w:val="20"/>
              </w:rPr>
            </w:pPr>
          </w:p>
        </w:tc>
      </w:tr>
      <w:tr w:rsidR="00F36D9B" w:rsidRPr="00B92CC4" w:rsidTr="003F1653">
        <w:trPr>
          <w:jc w:val="center"/>
        </w:trPr>
        <w:tc>
          <w:tcPr>
            <w:tcW w:w="2171" w:type="dxa"/>
            <w:tcBorders>
              <w:top w:val="nil"/>
              <w:left w:val="nil"/>
              <w:bottom w:val="nil"/>
              <w:right w:val="nil"/>
            </w:tcBorders>
            <w:vAlign w:val="bottom"/>
          </w:tcPr>
          <w:p w:rsidR="00F36D9B" w:rsidRPr="003F1653" w:rsidRDefault="00F36D9B" w:rsidP="00000A8D">
            <w:pPr>
              <w:rPr>
                <w:sz w:val="20"/>
                <w:szCs w:val="20"/>
              </w:rPr>
            </w:pPr>
            <w:r w:rsidRPr="003F1653">
              <w:rPr>
                <w:i/>
                <w:sz w:val="20"/>
                <w:szCs w:val="20"/>
              </w:rPr>
              <w:t>ML</w:t>
            </w:r>
            <w:r w:rsidRPr="003F1653">
              <w:rPr>
                <w:sz w:val="20"/>
                <w:szCs w:val="20"/>
              </w:rPr>
              <w:t xml:space="preserve"> - Erro</w:t>
            </w:r>
          </w:p>
        </w:tc>
        <w:tc>
          <w:tcPr>
            <w:tcW w:w="1177" w:type="dxa"/>
            <w:gridSpan w:val="2"/>
            <w:tcBorders>
              <w:top w:val="nil"/>
              <w:left w:val="nil"/>
              <w:bottom w:val="nil"/>
              <w:right w:val="nil"/>
            </w:tcBorders>
          </w:tcPr>
          <w:p w:rsidR="00F36D9B" w:rsidRPr="003F1653" w:rsidRDefault="00F36D9B" w:rsidP="003F1653">
            <w:pPr>
              <w:jc w:val="center"/>
              <w:rPr>
                <w:b/>
                <w:sz w:val="20"/>
                <w:szCs w:val="20"/>
              </w:rPr>
            </w:pPr>
          </w:p>
        </w:tc>
        <w:tc>
          <w:tcPr>
            <w:tcW w:w="983" w:type="dxa"/>
            <w:tcBorders>
              <w:top w:val="nil"/>
              <w:left w:val="nil"/>
              <w:bottom w:val="nil"/>
              <w:right w:val="nil"/>
            </w:tcBorders>
          </w:tcPr>
          <w:p w:rsidR="00F36D9B" w:rsidRPr="003F1653" w:rsidRDefault="00F36D9B" w:rsidP="003F1653">
            <w:pPr>
              <w:jc w:val="center"/>
              <w:rPr>
                <w:b/>
                <w:sz w:val="20"/>
                <w:szCs w:val="20"/>
              </w:rPr>
            </w:pP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43.448</w:t>
            </w:r>
          </w:p>
        </w:tc>
        <w:tc>
          <w:tcPr>
            <w:tcW w:w="1043"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29.133</w:t>
            </w:r>
          </w:p>
        </w:tc>
        <w:tc>
          <w:tcPr>
            <w:tcW w:w="872"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0.000</w:t>
            </w:r>
          </w:p>
        </w:tc>
      </w:tr>
      <w:tr w:rsidR="00F36D9B" w:rsidRPr="00B92CC4" w:rsidTr="003F1653">
        <w:trPr>
          <w:jc w:val="center"/>
        </w:trPr>
        <w:tc>
          <w:tcPr>
            <w:tcW w:w="8720" w:type="dxa"/>
            <w:gridSpan w:val="8"/>
            <w:tcBorders>
              <w:left w:val="nil"/>
              <w:right w:val="nil"/>
            </w:tcBorders>
            <w:vAlign w:val="bottom"/>
          </w:tcPr>
          <w:p w:rsidR="00F36D9B" w:rsidRPr="003F1653" w:rsidRDefault="00F36D9B" w:rsidP="003F1653">
            <w:pPr>
              <w:jc w:val="center"/>
              <w:rPr>
                <w:b/>
                <w:sz w:val="20"/>
                <w:szCs w:val="20"/>
              </w:rPr>
            </w:pPr>
          </w:p>
        </w:tc>
      </w:tr>
      <w:tr w:rsidR="00F36D9B" w:rsidRPr="00B92CC4" w:rsidTr="003F1653">
        <w:trPr>
          <w:jc w:val="center"/>
        </w:trPr>
        <w:tc>
          <w:tcPr>
            <w:tcW w:w="2171" w:type="dxa"/>
            <w:tcBorders>
              <w:top w:val="nil"/>
              <w:left w:val="nil"/>
              <w:bottom w:val="nil"/>
              <w:right w:val="nil"/>
            </w:tcBorders>
          </w:tcPr>
          <w:p w:rsidR="00F36D9B" w:rsidRPr="003F1653" w:rsidRDefault="00F36D9B" w:rsidP="003F1653">
            <w:pPr>
              <w:jc w:val="both"/>
              <w:rPr>
                <w:sz w:val="20"/>
                <w:szCs w:val="20"/>
              </w:rPr>
            </w:pPr>
            <w:r w:rsidRPr="003F1653">
              <w:rPr>
                <w:sz w:val="20"/>
                <w:szCs w:val="20"/>
              </w:rPr>
              <w:t>Graus de Liberdade</w:t>
            </w:r>
          </w:p>
        </w:tc>
        <w:tc>
          <w:tcPr>
            <w:tcW w:w="1177" w:type="dxa"/>
            <w:gridSpan w:val="2"/>
            <w:tcBorders>
              <w:top w:val="nil"/>
              <w:left w:val="nil"/>
              <w:bottom w:val="nil"/>
              <w:right w:val="nil"/>
            </w:tcBorders>
          </w:tcPr>
          <w:p w:rsidR="00F36D9B" w:rsidRPr="003F1653" w:rsidRDefault="00F36D9B" w:rsidP="003F1653">
            <w:pPr>
              <w:jc w:val="center"/>
              <w:rPr>
                <w:b/>
                <w:sz w:val="20"/>
                <w:szCs w:val="20"/>
              </w:rPr>
            </w:pPr>
            <w:r w:rsidRPr="003F1653">
              <w:rPr>
                <w:sz w:val="20"/>
                <w:szCs w:val="20"/>
              </w:rPr>
              <w:t>850</w:t>
            </w:r>
          </w:p>
        </w:tc>
        <w:tc>
          <w:tcPr>
            <w:tcW w:w="983" w:type="dxa"/>
            <w:tcBorders>
              <w:top w:val="nil"/>
              <w:left w:val="nil"/>
              <w:bottom w:val="nil"/>
              <w:right w:val="nil"/>
            </w:tcBorders>
          </w:tcPr>
          <w:p w:rsidR="00F36D9B" w:rsidRPr="003F1653" w:rsidRDefault="00F36D9B" w:rsidP="003F1653">
            <w:pPr>
              <w:jc w:val="center"/>
              <w:rPr>
                <w:b/>
                <w:sz w:val="20"/>
                <w:szCs w:val="20"/>
              </w:rPr>
            </w:pP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849</w:t>
            </w:r>
          </w:p>
        </w:tc>
        <w:tc>
          <w:tcPr>
            <w:tcW w:w="1043" w:type="dxa"/>
            <w:tcBorders>
              <w:top w:val="nil"/>
              <w:left w:val="nil"/>
              <w:bottom w:val="nil"/>
              <w:right w:val="nil"/>
            </w:tcBorders>
          </w:tcPr>
          <w:p w:rsidR="00F36D9B" w:rsidRPr="003F1653" w:rsidRDefault="00F36D9B" w:rsidP="003F1653">
            <w:pPr>
              <w:jc w:val="center"/>
              <w:rPr>
                <w:b/>
                <w:sz w:val="20"/>
                <w:szCs w:val="20"/>
              </w:rPr>
            </w:pP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848</w:t>
            </w:r>
          </w:p>
        </w:tc>
        <w:tc>
          <w:tcPr>
            <w:tcW w:w="872" w:type="dxa"/>
            <w:tcBorders>
              <w:top w:val="nil"/>
              <w:left w:val="nil"/>
              <w:bottom w:val="nil"/>
              <w:right w:val="nil"/>
            </w:tcBorders>
          </w:tcPr>
          <w:p w:rsidR="00F36D9B" w:rsidRPr="003F1653" w:rsidRDefault="00F36D9B" w:rsidP="003F1653">
            <w:pPr>
              <w:jc w:val="center"/>
              <w:rPr>
                <w:b/>
                <w:sz w:val="20"/>
                <w:szCs w:val="20"/>
              </w:rPr>
            </w:pPr>
          </w:p>
        </w:tc>
      </w:tr>
      <w:tr w:rsidR="00F36D9B" w:rsidRPr="00B92CC4" w:rsidTr="003F1653">
        <w:trPr>
          <w:jc w:val="center"/>
        </w:trPr>
        <w:tc>
          <w:tcPr>
            <w:tcW w:w="2171" w:type="dxa"/>
            <w:tcBorders>
              <w:top w:val="nil"/>
              <w:left w:val="nil"/>
              <w:bottom w:val="single" w:sz="4" w:space="0" w:color="auto"/>
              <w:right w:val="nil"/>
            </w:tcBorders>
          </w:tcPr>
          <w:p w:rsidR="00F36D9B" w:rsidRPr="003F1653" w:rsidRDefault="00F36D9B" w:rsidP="003F1653">
            <w:pPr>
              <w:jc w:val="both"/>
              <w:rPr>
                <w:b/>
                <w:sz w:val="20"/>
                <w:szCs w:val="20"/>
              </w:rPr>
            </w:pPr>
            <w:r w:rsidRPr="003F1653">
              <w:rPr>
                <w:sz w:val="20"/>
                <w:szCs w:val="20"/>
              </w:rPr>
              <w:t>Pseudo R</w:t>
            </w:r>
            <w:r w:rsidRPr="003F1653">
              <w:rPr>
                <w:sz w:val="20"/>
                <w:szCs w:val="20"/>
                <w:vertAlign w:val="superscript"/>
              </w:rPr>
              <w:t xml:space="preserve">2 </w:t>
            </w:r>
          </w:p>
        </w:tc>
        <w:tc>
          <w:tcPr>
            <w:tcW w:w="1177" w:type="dxa"/>
            <w:gridSpan w:val="2"/>
            <w:tcBorders>
              <w:top w:val="nil"/>
              <w:left w:val="nil"/>
              <w:bottom w:val="nil"/>
              <w:right w:val="nil"/>
            </w:tcBorders>
          </w:tcPr>
          <w:p w:rsidR="00F36D9B" w:rsidRPr="003F1653" w:rsidRDefault="00F36D9B" w:rsidP="003F1653">
            <w:pPr>
              <w:jc w:val="center"/>
              <w:rPr>
                <w:b/>
                <w:sz w:val="20"/>
                <w:szCs w:val="20"/>
              </w:rPr>
            </w:pPr>
            <w:r w:rsidRPr="003F1653">
              <w:rPr>
                <w:sz w:val="20"/>
                <w:szCs w:val="20"/>
              </w:rPr>
              <w:t>0.932</w:t>
            </w:r>
          </w:p>
        </w:tc>
        <w:tc>
          <w:tcPr>
            <w:tcW w:w="983" w:type="dxa"/>
            <w:tcBorders>
              <w:top w:val="nil"/>
              <w:left w:val="nil"/>
              <w:bottom w:val="nil"/>
              <w:right w:val="nil"/>
            </w:tcBorders>
          </w:tcPr>
          <w:p w:rsidR="00F36D9B" w:rsidRPr="003F1653" w:rsidRDefault="00F36D9B" w:rsidP="003F1653">
            <w:pPr>
              <w:jc w:val="center"/>
              <w:rPr>
                <w:b/>
                <w:sz w:val="20"/>
                <w:szCs w:val="20"/>
              </w:rPr>
            </w:pPr>
          </w:p>
        </w:tc>
        <w:tc>
          <w:tcPr>
            <w:tcW w:w="117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0.9698</w:t>
            </w:r>
          </w:p>
        </w:tc>
        <w:tc>
          <w:tcPr>
            <w:tcW w:w="1043" w:type="dxa"/>
            <w:tcBorders>
              <w:top w:val="nil"/>
              <w:left w:val="nil"/>
              <w:bottom w:val="nil"/>
              <w:right w:val="nil"/>
            </w:tcBorders>
          </w:tcPr>
          <w:p w:rsidR="00F36D9B" w:rsidRPr="003F1653" w:rsidRDefault="00F36D9B" w:rsidP="003F1653">
            <w:pPr>
              <w:jc w:val="center"/>
              <w:rPr>
                <w:b/>
                <w:sz w:val="20"/>
                <w:szCs w:val="20"/>
              </w:rPr>
            </w:pPr>
          </w:p>
        </w:tc>
        <w:tc>
          <w:tcPr>
            <w:tcW w:w="1297" w:type="dxa"/>
            <w:tcBorders>
              <w:top w:val="nil"/>
              <w:left w:val="nil"/>
              <w:bottom w:val="nil"/>
              <w:right w:val="nil"/>
            </w:tcBorders>
          </w:tcPr>
          <w:p w:rsidR="00F36D9B" w:rsidRPr="003F1653" w:rsidRDefault="00F36D9B" w:rsidP="003F1653">
            <w:pPr>
              <w:jc w:val="center"/>
              <w:rPr>
                <w:b/>
                <w:sz w:val="20"/>
                <w:szCs w:val="20"/>
              </w:rPr>
            </w:pPr>
            <w:r w:rsidRPr="003F1653">
              <w:rPr>
                <w:sz w:val="20"/>
                <w:szCs w:val="20"/>
              </w:rPr>
              <w:t>0.9021</w:t>
            </w:r>
          </w:p>
        </w:tc>
        <w:tc>
          <w:tcPr>
            <w:tcW w:w="872" w:type="dxa"/>
            <w:tcBorders>
              <w:top w:val="nil"/>
              <w:left w:val="nil"/>
              <w:bottom w:val="nil"/>
              <w:right w:val="nil"/>
            </w:tcBorders>
          </w:tcPr>
          <w:p w:rsidR="00F36D9B" w:rsidRPr="003F1653" w:rsidRDefault="00F36D9B" w:rsidP="003F1653">
            <w:pPr>
              <w:jc w:val="center"/>
              <w:rPr>
                <w:b/>
                <w:sz w:val="20"/>
                <w:szCs w:val="20"/>
              </w:rPr>
            </w:pPr>
          </w:p>
        </w:tc>
      </w:tr>
      <w:tr w:rsidR="00F36D9B" w:rsidRPr="00303020" w:rsidTr="003F1653">
        <w:trPr>
          <w:jc w:val="center"/>
        </w:trPr>
        <w:tc>
          <w:tcPr>
            <w:tcW w:w="8720" w:type="dxa"/>
            <w:gridSpan w:val="8"/>
            <w:tcBorders>
              <w:top w:val="single" w:sz="4" w:space="0" w:color="auto"/>
              <w:left w:val="nil"/>
              <w:bottom w:val="nil"/>
              <w:right w:val="nil"/>
            </w:tcBorders>
          </w:tcPr>
          <w:p w:rsidR="00F36D9B" w:rsidRPr="003F1653" w:rsidRDefault="00F138B2" w:rsidP="003F1653">
            <w:pPr>
              <w:jc w:val="both"/>
              <w:rPr>
                <w:sz w:val="20"/>
                <w:szCs w:val="20"/>
              </w:rPr>
            </w:pPr>
            <w:r w:rsidRPr="003F1653">
              <w:rPr>
                <w:sz w:val="20"/>
                <w:szCs w:val="20"/>
              </w:rPr>
              <w:t>Fonte: Elaboração do autor com base no SpaceStat</w:t>
            </w:r>
            <w:r w:rsidR="00424600" w:rsidRPr="003F1653">
              <w:rPr>
                <w:sz w:val="20"/>
                <w:szCs w:val="20"/>
              </w:rPr>
              <w:t>.</w:t>
            </w:r>
          </w:p>
        </w:tc>
      </w:tr>
    </w:tbl>
    <w:p w:rsidR="00336D4C" w:rsidRDefault="00336D4C" w:rsidP="00000A8D">
      <w:pPr>
        <w:jc w:val="both"/>
      </w:pPr>
    </w:p>
    <w:p w:rsidR="003A24F0" w:rsidRDefault="00C00D79" w:rsidP="00000A8D">
      <w:pPr>
        <w:ind w:firstLine="360"/>
        <w:jc w:val="both"/>
      </w:pPr>
      <w:r>
        <w:t xml:space="preserve">Observando o valor de prova dos multiplicadores de Lagrange (Tabela 2) para o modelo de Defasagem (0.00) e Defasagem com erro (0.00), pode-se concluir que nenhum dos dois modelos </w:t>
      </w:r>
      <w:r w:rsidR="00012E7F">
        <w:t xml:space="preserve">mostrou-se capaz </w:t>
      </w:r>
      <w:r>
        <w:t>de acomodar a autocorrelação espacial no erro. Além disso, no modelo de Defasagem com Erro</w:t>
      </w:r>
      <w:r w:rsidR="00012E7F">
        <w:t>,</w:t>
      </w:r>
      <w:r>
        <w:t xml:space="preserve"> o coeficiente </w:t>
      </w:r>
      <w:r w:rsidRPr="00C00D79">
        <w:t>“</w:t>
      </w:r>
      <w:r w:rsidRPr="00C00D79">
        <w:sym w:font="Symbol" w:char="F072"/>
      </w:r>
      <w:r w:rsidRPr="00C00D79">
        <w:t>”</w:t>
      </w:r>
      <w:r>
        <w:t xml:space="preserve"> que acompanha a defasagem espacial não </w:t>
      </w:r>
      <w:r w:rsidR="00012E7F">
        <w:t xml:space="preserve">foi </w:t>
      </w:r>
      <w:r>
        <w:t>significativo (0.135)</w:t>
      </w:r>
      <w:r>
        <w:rPr>
          <w:rStyle w:val="Refdenotaderodap"/>
        </w:rPr>
        <w:footnoteReference w:id="22"/>
      </w:r>
      <w:r>
        <w:t>.</w:t>
      </w:r>
      <w:r w:rsidR="00012E7F">
        <w:t xml:space="preserve"> Portanto o modelo mais apropriado para mensurar o crescimento da renda </w:t>
      </w:r>
      <w:r w:rsidR="00012E7F" w:rsidRPr="003A24F0">
        <w:rPr>
          <w:i/>
        </w:rPr>
        <w:t>per capta</w:t>
      </w:r>
      <w:r w:rsidR="00012E7F">
        <w:t xml:space="preserve"> nos municípios do estado de Minas Gerais no período de </w:t>
      </w:r>
      <w:smartTag w:uri="urn:schemas-microsoft-com:office:smarttags" w:element="metricconverter">
        <w:smartTagPr>
          <w:attr w:name="ProductID" w:val="1991 a"/>
        </w:smartTagPr>
        <w:r w:rsidR="00012E7F">
          <w:t>1991 a</w:t>
        </w:r>
      </w:smartTag>
      <w:r w:rsidR="00012E7F">
        <w:t xml:space="preserve"> 2000 foi o modelo de erro espacial.</w:t>
      </w:r>
      <w:r w:rsidR="003A24F0">
        <w:t xml:space="preserve"> </w:t>
      </w:r>
      <w:r w:rsidR="007A73F3" w:rsidRPr="003A24F0">
        <w:t>Segue, então, a análise dos resultados para esse</w:t>
      </w:r>
      <w:r w:rsidR="003A24F0" w:rsidRPr="003A24F0">
        <w:t xml:space="preserve"> </w:t>
      </w:r>
      <w:r w:rsidR="007A73F3" w:rsidRPr="003A24F0">
        <w:t>mod</w:t>
      </w:r>
      <w:r w:rsidR="003A24F0" w:rsidRPr="003A24F0">
        <w:t xml:space="preserve">elo. </w:t>
      </w:r>
      <w:r w:rsidR="003A24F0">
        <w:t xml:space="preserve">O coeficiente (0.301) que acompanha a variável “AL”, que corresponde ao trabalho produtivo se mostrou altamente significativo do ponto de vista estatístico. Corroborando com a teoria econômica proposta por Mankiw, Romer e Weill (1992). Logo, pode-se concluir que o </w:t>
      </w:r>
      <w:r w:rsidR="003A24F0">
        <w:lastRenderedPageBreak/>
        <w:t>crescimento percentual do trabalhador produtivo</w:t>
      </w:r>
      <w:r w:rsidR="003A24F0">
        <w:rPr>
          <w:rStyle w:val="Refdenotaderodap"/>
        </w:rPr>
        <w:footnoteReference w:id="23"/>
      </w:r>
      <w:r w:rsidR="003A24F0">
        <w:t xml:space="preserve"> economicamente </w:t>
      </w:r>
      <w:r w:rsidR="00663333">
        <w:t>ativo</w:t>
      </w:r>
      <w:r w:rsidR="003A24F0">
        <w:t xml:space="preserve"> contribui para o crescimento da renda </w:t>
      </w:r>
      <w:r w:rsidR="003A24F0" w:rsidRPr="003A24F0">
        <w:rPr>
          <w:i/>
        </w:rPr>
        <w:t>per capta</w:t>
      </w:r>
      <w:r w:rsidR="003A24F0">
        <w:rPr>
          <w:i/>
        </w:rPr>
        <w:t xml:space="preserve"> </w:t>
      </w:r>
      <w:r w:rsidR="003A24F0">
        <w:t>nos municípios analisados.</w:t>
      </w:r>
      <w:r w:rsidR="00663333">
        <w:t xml:space="preserve"> O coeficiente (0.344), correspondente à variável “AK”, referente à variação percentual de capital fixo, também está diretamente correlacionado com o crescimento da renda, com elevado nível de significância. Por fim, o coeficiente (0.374), que acompanha a variável H(b), referente à variação de capital humano, contribui para o crescimento da renda </w:t>
      </w:r>
      <w:r w:rsidR="00663333" w:rsidRPr="00663333">
        <w:rPr>
          <w:i/>
        </w:rPr>
        <w:t>per capta</w:t>
      </w:r>
      <w:r w:rsidR="00663333">
        <w:t xml:space="preserve"> e apresenta elevado nível de significância.</w:t>
      </w:r>
      <w:r w:rsidR="00757CFB">
        <w:t xml:space="preserve"> Cabe ressaltar que as três variáveis citadas apresentaram coeficientes semelhantes, AL =0.301, AK = 0.344 e H(b) = 0.374. Logo, todas são extremamente importantes para explicar o crescimento da renda </w:t>
      </w:r>
      <w:r w:rsidR="00757CFB" w:rsidRPr="00757CFB">
        <w:rPr>
          <w:i/>
        </w:rPr>
        <w:t>per capta</w:t>
      </w:r>
      <w:r w:rsidR="00757CFB">
        <w:t xml:space="preserve"> nos municípios mineiros entre 1991-2000.</w:t>
      </w:r>
    </w:p>
    <w:p w:rsidR="004F2390" w:rsidRPr="00185D85" w:rsidRDefault="004F2390" w:rsidP="004F2390">
      <w:pPr>
        <w:jc w:val="both"/>
      </w:pPr>
    </w:p>
    <w:p w:rsidR="007A73F3" w:rsidRDefault="003B7CFB" w:rsidP="00000A8D">
      <w:pPr>
        <w:autoSpaceDE w:val="0"/>
        <w:autoSpaceDN w:val="0"/>
        <w:adjustRightInd w:val="0"/>
        <w:ind w:firstLine="360"/>
        <w:jc w:val="both"/>
      </w:pPr>
      <w:r>
        <w:t>Segundo Almeida</w:t>
      </w:r>
      <w:r w:rsidR="00185D85">
        <w:t>.</w:t>
      </w:r>
      <w:r>
        <w:t xml:space="preserve"> (2006</w:t>
      </w:r>
      <w:r w:rsidR="00185D85">
        <w:t>), n</w:t>
      </w:r>
      <w:r w:rsidR="007A73F3" w:rsidRPr="00185D85">
        <w:t>o método generalizado dos momentos proposto por Keleji</w:t>
      </w:r>
      <w:r w:rsidR="00185D85" w:rsidRPr="00185D85">
        <w:t xml:space="preserve">an e Prucha (1999), o parâmetro </w:t>
      </w:r>
      <w:r w:rsidR="007A73F3" w:rsidRPr="00185D85">
        <w:t>espacial</w:t>
      </w:r>
      <w:r w:rsidR="00185D85" w:rsidRPr="00185D85">
        <w:t xml:space="preserve"> </w:t>
      </w:r>
      <w:r w:rsidR="007A73F3" w:rsidRPr="00185D85">
        <w:t>estimado é considerado como um termo de distúrbio (</w:t>
      </w:r>
      <w:r w:rsidR="007A73F3" w:rsidRPr="00185D85">
        <w:rPr>
          <w:i/>
          <w:iCs/>
        </w:rPr>
        <w:t>nuisance</w:t>
      </w:r>
      <w:r w:rsidR="00185D85" w:rsidRPr="00185D85">
        <w:t xml:space="preserve">) e não apresenta </w:t>
      </w:r>
      <w:r w:rsidR="007A73F3" w:rsidRPr="00185D85">
        <w:t>nível de significância.</w:t>
      </w:r>
      <w:r w:rsidR="00185D85" w:rsidRPr="00185D85">
        <w:t xml:space="preserve"> </w:t>
      </w:r>
      <w:r w:rsidR="007A73F3" w:rsidRPr="00185D85">
        <w:t>Contudo, a correção da autocorrelaçã</w:t>
      </w:r>
      <w:r w:rsidR="00185D85" w:rsidRPr="00185D85">
        <w:t xml:space="preserve">o espacial nos resíduos aumenta </w:t>
      </w:r>
      <w:r w:rsidR="007A73F3" w:rsidRPr="00185D85">
        <w:t>a eficiência das estimativas.</w:t>
      </w:r>
      <w:r w:rsidR="00185D85" w:rsidRPr="00185D85">
        <w:t xml:space="preserve"> </w:t>
      </w:r>
      <w:r w:rsidR="007A73F3" w:rsidRPr="00185D85">
        <w:t>Em modelos nos quais os erros n</w:t>
      </w:r>
      <w:r w:rsidR="00185D85" w:rsidRPr="00185D85">
        <w:t xml:space="preserve">ão são esféricos, a tradicional </w:t>
      </w:r>
      <w:r w:rsidR="007A73F3" w:rsidRPr="00185D85">
        <w:t>medida de ajuste da regressão, o</w:t>
      </w:r>
      <w:r w:rsidR="00185D85" w:rsidRPr="00185D85">
        <w:t xml:space="preserve"> </w:t>
      </w:r>
      <w:r w:rsidR="007A73F3" w:rsidRPr="00185D85">
        <w:t>coeficiente de determinação (R2</w:t>
      </w:r>
      <w:r w:rsidR="00185D85" w:rsidRPr="00185D85">
        <w:t xml:space="preserve">), perde sentido, não </w:t>
      </w:r>
      <w:r w:rsidR="007A73F3" w:rsidRPr="00185D85">
        <w:t>podendo ser usada para comparar modelos espaciais</w:t>
      </w:r>
      <w:r w:rsidR="00185D85" w:rsidRPr="00185D85">
        <w:t xml:space="preserve"> concorrentes. Com o intuito de </w:t>
      </w:r>
      <w:r w:rsidR="007A73F3" w:rsidRPr="00185D85">
        <w:t>contornar isso, é mostrada a medida de um pseudo R2 expresso como a</w:t>
      </w:r>
      <w:r w:rsidR="00185D85" w:rsidRPr="00185D85">
        <w:t xml:space="preserve"> razão entre a </w:t>
      </w:r>
      <w:r w:rsidR="007A73F3" w:rsidRPr="00185D85">
        <w:t>variância dos valores previstos pelo modelo e a variância dos valores observados para a</w:t>
      </w:r>
      <w:r w:rsidR="00185D85" w:rsidRPr="00185D85">
        <w:t xml:space="preserve"> </w:t>
      </w:r>
      <w:r w:rsidR="007A73F3" w:rsidRPr="00185D85">
        <w:t>variável dependente (Anselin, 1988).</w:t>
      </w:r>
      <w:r w:rsidR="00D72F68">
        <w:t xml:space="preserve"> No caso do modelo de erro apresentado na tabela 2, esse valor foi de (0.932).</w:t>
      </w:r>
    </w:p>
    <w:p w:rsidR="004F2390" w:rsidRDefault="004F2390" w:rsidP="00000A8D">
      <w:pPr>
        <w:autoSpaceDE w:val="0"/>
        <w:autoSpaceDN w:val="0"/>
        <w:adjustRightInd w:val="0"/>
        <w:ind w:firstLine="360"/>
        <w:jc w:val="both"/>
      </w:pPr>
    </w:p>
    <w:p w:rsidR="00BA3724" w:rsidRPr="00E9605B" w:rsidRDefault="00BA3724" w:rsidP="00000A8D">
      <w:pPr>
        <w:autoSpaceDE w:val="0"/>
        <w:autoSpaceDN w:val="0"/>
        <w:adjustRightInd w:val="0"/>
        <w:ind w:firstLine="360"/>
        <w:jc w:val="both"/>
      </w:pPr>
      <w:r>
        <w:t>O efeito da autocorrelação espacial foi acomodado no modelo. A intenção agora é incorporar o efeito da heterogeneidade espacial (instabilidade estrutural) manifestado nos parâmetros (</w:t>
      </w:r>
      <w:r>
        <w:sym w:font="Symbol" w:char="F062"/>
      </w:r>
      <w:r>
        <w:t xml:space="preserve">). </w:t>
      </w:r>
      <w:r w:rsidR="00E9605B">
        <w:t xml:space="preserve">Para isso, pretende-se introduzir uma variável categórica para identificar regimes espaciais. </w:t>
      </w:r>
      <w:r w:rsidR="00E9605B" w:rsidRPr="00E9605B">
        <w:t xml:space="preserve">Logo, foram selecionados três grupos “G”, com base no Mapa de Clusters (Figura 1), visando “suavizar” a heterogeneidade espacial, onde G1 corresponde aos municípios AA, G2 são os BB e G3 os demais municípios. </w:t>
      </w:r>
      <w:r w:rsidR="00E9605B">
        <w:t>A idéia é verificar se existem respostas distintas dependendo do subconjunto de dados.</w:t>
      </w:r>
      <w:r w:rsidR="0045676E">
        <w:t xml:space="preserve"> </w:t>
      </w:r>
      <w:r w:rsidRPr="00E9605B">
        <w:t>O modelo de erro espacial com mudança estrutural nos par</w:t>
      </w:r>
      <w:r w:rsidR="00E9605B" w:rsidRPr="00E9605B">
        <w:t xml:space="preserve">âmetros, definida pelos regimes </w:t>
      </w:r>
      <w:r w:rsidRPr="00E9605B">
        <w:t>espaciais, foi</w:t>
      </w:r>
      <w:r w:rsidR="00E9605B" w:rsidRPr="00E9605B">
        <w:t xml:space="preserve"> </w:t>
      </w:r>
      <w:r w:rsidRPr="00E9605B">
        <w:t>estimado pelo método generalizado do</w:t>
      </w:r>
      <w:r w:rsidR="00E9605B" w:rsidRPr="00E9605B">
        <w:t xml:space="preserve">s momentos de Kelejian e Prucha </w:t>
      </w:r>
      <w:r w:rsidRPr="00E9605B">
        <w:t>(1999). Os resultados estão</w:t>
      </w:r>
      <w:r w:rsidR="00E9605B" w:rsidRPr="00E9605B">
        <w:t xml:space="preserve"> </w:t>
      </w:r>
      <w:r w:rsidR="0045676E">
        <w:t>apresentados na tabela 3</w:t>
      </w:r>
      <w:r w:rsidRPr="00E9605B">
        <w:t>.</w:t>
      </w:r>
    </w:p>
    <w:p w:rsidR="00336D4C" w:rsidRDefault="00336D4C" w:rsidP="00000A8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676"/>
        <w:gridCol w:w="391"/>
        <w:gridCol w:w="971"/>
        <w:gridCol w:w="1283"/>
        <w:gridCol w:w="262"/>
        <w:gridCol w:w="767"/>
        <w:gridCol w:w="1277"/>
        <w:gridCol w:w="863"/>
      </w:tblGrid>
      <w:tr w:rsidR="00146336" w:rsidTr="003F1653">
        <w:trPr>
          <w:jc w:val="center"/>
        </w:trPr>
        <w:tc>
          <w:tcPr>
            <w:tcW w:w="8720" w:type="dxa"/>
            <w:gridSpan w:val="9"/>
            <w:tcBorders>
              <w:top w:val="nil"/>
              <w:left w:val="nil"/>
              <w:bottom w:val="single" w:sz="4" w:space="0" w:color="auto"/>
              <w:right w:val="nil"/>
            </w:tcBorders>
          </w:tcPr>
          <w:p w:rsidR="00146336" w:rsidRPr="003F1653" w:rsidRDefault="00146336" w:rsidP="003F1653">
            <w:pPr>
              <w:jc w:val="center"/>
              <w:rPr>
                <w:b/>
              </w:rPr>
            </w:pPr>
            <w:r>
              <w:t>Tabela 3</w:t>
            </w:r>
            <w:r w:rsidRPr="00616BFA">
              <w:t>. Estimação d</w:t>
            </w:r>
            <w:r>
              <w:t>o Modelo de Erro Espacial com Regimes Espaciais por MGM</w:t>
            </w:r>
          </w:p>
        </w:tc>
      </w:tr>
      <w:tr w:rsidR="00146336" w:rsidRPr="00A73E9B" w:rsidTr="003F1653">
        <w:trPr>
          <w:jc w:val="center"/>
        </w:trPr>
        <w:tc>
          <w:tcPr>
            <w:tcW w:w="2230" w:type="dxa"/>
            <w:tcBorders>
              <w:left w:val="nil"/>
              <w:bottom w:val="nil"/>
              <w:right w:val="single" w:sz="4" w:space="0" w:color="auto"/>
            </w:tcBorders>
          </w:tcPr>
          <w:p w:rsidR="00146336" w:rsidRPr="003F1653" w:rsidRDefault="00146336" w:rsidP="003F1653">
            <w:pPr>
              <w:jc w:val="both"/>
              <w:rPr>
                <w:sz w:val="20"/>
                <w:szCs w:val="20"/>
              </w:rPr>
            </w:pPr>
            <w:r w:rsidRPr="003F1653">
              <w:rPr>
                <w:sz w:val="20"/>
                <w:szCs w:val="20"/>
              </w:rPr>
              <w:t>Var. dependente: Y</w:t>
            </w:r>
          </w:p>
        </w:tc>
        <w:tc>
          <w:tcPr>
            <w:tcW w:w="6490" w:type="dxa"/>
            <w:gridSpan w:val="8"/>
            <w:tcBorders>
              <w:left w:val="single" w:sz="4" w:space="0" w:color="auto"/>
              <w:bottom w:val="single" w:sz="4" w:space="0" w:color="auto"/>
              <w:right w:val="nil"/>
            </w:tcBorders>
          </w:tcPr>
          <w:p w:rsidR="00146336" w:rsidRPr="008F4C03" w:rsidRDefault="00146336" w:rsidP="003F1653">
            <w:pPr>
              <w:jc w:val="center"/>
            </w:pPr>
            <w:r w:rsidRPr="008F4C03">
              <w:t>Grupos</w:t>
            </w:r>
          </w:p>
        </w:tc>
      </w:tr>
      <w:tr w:rsidR="008F4C03" w:rsidRPr="00616BFA" w:rsidTr="003F1653">
        <w:trPr>
          <w:jc w:val="center"/>
        </w:trPr>
        <w:tc>
          <w:tcPr>
            <w:tcW w:w="2230" w:type="dxa"/>
            <w:tcBorders>
              <w:top w:val="nil"/>
              <w:left w:val="nil"/>
              <w:bottom w:val="single" w:sz="4" w:space="0" w:color="auto"/>
              <w:right w:val="single" w:sz="4" w:space="0" w:color="auto"/>
            </w:tcBorders>
          </w:tcPr>
          <w:p w:rsidR="00146336" w:rsidRPr="003F1653" w:rsidRDefault="008F4C03" w:rsidP="003F1653">
            <w:pPr>
              <w:jc w:val="both"/>
              <w:rPr>
                <w:sz w:val="20"/>
                <w:szCs w:val="20"/>
              </w:rPr>
            </w:pPr>
            <w:r w:rsidRPr="003F1653">
              <w:rPr>
                <w:sz w:val="20"/>
                <w:szCs w:val="20"/>
              </w:rPr>
              <w:t>Pseudo R</w:t>
            </w:r>
            <w:r w:rsidRPr="003F1653">
              <w:rPr>
                <w:sz w:val="20"/>
                <w:szCs w:val="20"/>
                <w:vertAlign w:val="superscript"/>
              </w:rPr>
              <w:t>2</w:t>
            </w:r>
            <w:r w:rsidRPr="003F1653">
              <w:rPr>
                <w:sz w:val="20"/>
                <w:szCs w:val="20"/>
              </w:rPr>
              <w:t>: 0.932</w:t>
            </w:r>
          </w:p>
        </w:tc>
        <w:tc>
          <w:tcPr>
            <w:tcW w:w="2038" w:type="dxa"/>
            <w:gridSpan w:val="3"/>
            <w:tcBorders>
              <w:top w:val="single" w:sz="4" w:space="0" w:color="auto"/>
              <w:left w:val="single" w:sz="4" w:space="0" w:color="auto"/>
              <w:bottom w:val="nil"/>
              <w:right w:val="nil"/>
            </w:tcBorders>
          </w:tcPr>
          <w:p w:rsidR="00146336" w:rsidRPr="003F1653" w:rsidRDefault="00146336" w:rsidP="003F1653">
            <w:pPr>
              <w:jc w:val="center"/>
              <w:rPr>
                <w:sz w:val="20"/>
                <w:szCs w:val="20"/>
              </w:rPr>
            </w:pPr>
            <w:r w:rsidRPr="003F1653">
              <w:rPr>
                <w:sz w:val="20"/>
                <w:szCs w:val="20"/>
              </w:rPr>
              <w:t>G1 (AA)</w:t>
            </w:r>
          </w:p>
        </w:tc>
        <w:tc>
          <w:tcPr>
            <w:tcW w:w="2312" w:type="dxa"/>
            <w:gridSpan w:val="3"/>
            <w:tcBorders>
              <w:top w:val="single" w:sz="4" w:space="0" w:color="auto"/>
              <w:left w:val="nil"/>
              <w:bottom w:val="nil"/>
              <w:right w:val="nil"/>
            </w:tcBorders>
          </w:tcPr>
          <w:p w:rsidR="00146336" w:rsidRPr="003F1653" w:rsidRDefault="00146336" w:rsidP="003F1653">
            <w:pPr>
              <w:jc w:val="center"/>
              <w:rPr>
                <w:sz w:val="20"/>
                <w:szCs w:val="20"/>
              </w:rPr>
            </w:pPr>
            <w:r w:rsidRPr="003F1653">
              <w:rPr>
                <w:sz w:val="20"/>
                <w:szCs w:val="20"/>
              </w:rPr>
              <w:t>G2 (BB)</w:t>
            </w:r>
          </w:p>
        </w:tc>
        <w:tc>
          <w:tcPr>
            <w:tcW w:w="2140" w:type="dxa"/>
            <w:gridSpan w:val="2"/>
            <w:tcBorders>
              <w:top w:val="single" w:sz="4" w:space="0" w:color="auto"/>
              <w:left w:val="nil"/>
              <w:bottom w:val="nil"/>
              <w:right w:val="nil"/>
            </w:tcBorders>
          </w:tcPr>
          <w:p w:rsidR="00146336" w:rsidRPr="003F1653" w:rsidRDefault="00146336" w:rsidP="003F1653">
            <w:pPr>
              <w:jc w:val="center"/>
              <w:rPr>
                <w:sz w:val="20"/>
                <w:szCs w:val="20"/>
              </w:rPr>
            </w:pPr>
            <w:r w:rsidRPr="003F1653">
              <w:rPr>
                <w:sz w:val="20"/>
                <w:szCs w:val="20"/>
              </w:rPr>
              <w:t>G3 (Outros)</w:t>
            </w:r>
          </w:p>
        </w:tc>
      </w:tr>
      <w:tr w:rsidR="00CF706A" w:rsidRPr="00616BFA" w:rsidTr="003F1653">
        <w:trPr>
          <w:jc w:val="center"/>
        </w:trPr>
        <w:tc>
          <w:tcPr>
            <w:tcW w:w="2230" w:type="dxa"/>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Variável</w:t>
            </w:r>
          </w:p>
        </w:tc>
        <w:tc>
          <w:tcPr>
            <w:tcW w:w="1067" w:type="dxa"/>
            <w:gridSpan w:val="2"/>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Coef.</w:t>
            </w:r>
          </w:p>
        </w:tc>
        <w:tc>
          <w:tcPr>
            <w:tcW w:w="971" w:type="dxa"/>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Prob.</w:t>
            </w:r>
          </w:p>
        </w:tc>
        <w:tc>
          <w:tcPr>
            <w:tcW w:w="1283" w:type="dxa"/>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Coef.</w:t>
            </w:r>
          </w:p>
        </w:tc>
        <w:tc>
          <w:tcPr>
            <w:tcW w:w="1029" w:type="dxa"/>
            <w:gridSpan w:val="2"/>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Prob.</w:t>
            </w:r>
          </w:p>
        </w:tc>
        <w:tc>
          <w:tcPr>
            <w:tcW w:w="1277" w:type="dxa"/>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Coef</w:t>
            </w:r>
          </w:p>
        </w:tc>
        <w:tc>
          <w:tcPr>
            <w:tcW w:w="863" w:type="dxa"/>
            <w:tcBorders>
              <w:left w:val="nil"/>
              <w:bottom w:val="single" w:sz="4" w:space="0" w:color="auto"/>
              <w:right w:val="nil"/>
            </w:tcBorders>
          </w:tcPr>
          <w:p w:rsidR="00146336" w:rsidRPr="003F1653" w:rsidRDefault="00146336" w:rsidP="003F1653">
            <w:pPr>
              <w:jc w:val="center"/>
              <w:rPr>
                <w:sz w:val="20"/>
                <w:szCs w:val="20"/>
              </w:rPr>
            </w:pPr>
            <w:r w:rsidRPr="003F1653">
              <w:rPr>
                <w:sz w:val="20"/>
                <w:szCs w:val="20"/>
              </w:rPr>
              <w:t>Prob</w:t>
            </w:r>
          </w:p>
        </w:tc>
      </w:tr>
      <w:tr w:rsidR="00931B25" w:rsidRPr="00B92CC4" w:rsidTr="003F1653">
        <w:trPr>
          <w:jc w:val="center"/>
        </w:trPr>
        <w:tc>
          <w:tcPr>
            <w:tcW w:w="2230" w:type="dxa"/>
            <w:tcBorders>
              <w:top w:val="single" w:sz="4" w:space="0" w:color="auto"/>
              <w:left w:val="nil"/>
              <w:bottom w:val="nil"/>
              <w:right w:val="nil"/>
            </w:tcBorders>
          </w:tcPr>
          <w:p w:rsidR="00931B25" w:rsidRPr="003F1653" w:rsidRDefault="00931B25" w:rsidP="003F1653">
            <w:pPr>
              <w:jc w:val="both"/>
              <w:rPr>
                <w:sz w:val="20"/>
                <w:szCs w:val="20"/>
              </w:rPr>
            </w:pPr>
            <w:r w:rsidRPr="003F1653">
              <w:rPr>
                <w:sz w:val="20"/>
                <w:szCs w:val="20"/>
              </w:rPr>
              <w:t>AL</w:t>
            </w:r>
          </w:p>
        </w:tc>
        <w:tc>
          <w:tcPr>
            <w:tcW w:w="1067" w:type="dxa"/>
            <w:gridSpan w:val="2"/>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0.388</w:t>
            </w:r>
          </w:p>
        </w:tc>
        <w:tc>
          <w:tcPr>
            <w:tcW w:w="971" w:type="dxa"/>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83" w:type="dxa"/>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0.246</w:t>
            </w:r>
          </w:p>
        </w:tc>
        <w:tc>
          <w:tcPr>
            <w:tcW w:w="1029" w:type="dxa"/>
            <w:gridSpan w:val="2"/>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77" w:type="dxa"/>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0.280</w:t>
            </w:r>
          </w:p>
        </w:tc>
        <w:tc>
          <w:tcPr>
            <w:tcW w:w="863" w:type="dxa"/>
            <w:tcBorders>
              <w:top w:val="single" w:sz="4" w:space="0" w:color="auto"/>
              <w:left w:val="nil"/>
              <w:bottom w:val="nil"/>
              <w:right w:val="nil"/>
            </w:tcBorders>
          </w:tcPr>
          <w:p w:rsidR="00931B25" w:rsidRPr="003F1653" w:rsidRDefault="00931B25" w:rsidP="003F1653">
            <w:pPr>
              <w:jc w:val="center"/>
              <w:rPr>
                <w:b/>
                <w:sz w:val="20"/>
                <w:szCs w:val="20"/>
              </w:rPr>
            </w:pPr>
            <w:r w:rsidRPr="003F1653">
              <w:rPr>
                <w:sz w:val="20"/>
                <w:szCs w:val="20"/>
              </w:rPr>
              <w:t>0.000</w:t>
            </w:r>
          </w:p>
        </w:tc>
      </w:tr>
      <w:tr w:rsidR="00931B25" w:rsidRPr="00B92CC4" w:rsidTr="003F1653">
        <w:trPr>
          <w:jc w:val="center"/>
        </w:trPr>
        <w:tc>
          <w:tcPr>
            <w:tcW w:w="2230" w:type="dxa"/>
            <w:tcBorders>
              <w:top w:val="nil"/>
              <w:left w:val="nil"/>
              <w:bottom w:val="nil"/>
              <w:right w:val="nil"/>
            </w:tcBorders>
          </w:tcPr>
          <w:p w:rsidR="00931B25" w:rsidRPr="003F1653" w:rsidRDefault="00931B25" w:rsidP="003F1653">
            <w:pPr>
              <w:jc w:val="both"/>
              <w:rPr>
                <w:sz w:val="20"/>
                <w:szCs w:val="20"/>
              </w:rPr>
            </w:pPr>
            <w:r w:rsidRPr="003F1653">
              <w:rPr>
                <w:sz w:val="20"/>
                <w:szCs w:val="20"/>
              </w:rPr>
              <w:t>AK</w:t>
            </w:r>
          </w:p>
        </w:tc>
        <w:tc>
          <w:tcPr>
            <w:tcW w:w="1067" w:type="dxa"/>
            <w:gridSpan w:val="2"/>
            <w:tcBorders>
              <w:top w:val="nil"/>
              <w:left w:val="nil"/>
              <w:bottom w:val="nil"/>
              <w:right w:val="nil"/>
            </w:tcBorders>
          </w:tcPr>
          <w:p w:rsidR="00931B25" w:rsidRPr="003F1653" w:rsidRDefault="00931B25" w:rsidP="003F1653">
            <w:pPr>
              <w:jc w:val="center"/>
              <w:rPr>
                <w:b/>
                <w:sz w:val="20"/>
                <w:szCs w:val="20"/>
              </w:rPr>
            </w:pPr>
            <w:r w:rsidRPr="003F1653">
              <w:rPr>
                <w:sz w:val="20"/>
                <w:szCs w:val="20"/>
              </w:rPr>
              <w:t>0.272</w:t>
            </w:r>
          </w:p>
        </w:tc>
        <w:tc>
          <w:tcPr>
            <w:tcW w:w="971"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83"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0.426</w:t>
            </w:r>
          </w:p>
        </w:tc>
        <w:tc>
          <w:tcPr>
            <w:tcW w:w="1029" w:type="dxa"/>
            <w:gridSpan w:val="2"/>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77"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0.358</w:t>
            </w:r>
          </w:p>
        </w:tc>
        <w:tc>
          <w:tcPr>
            <w:tcW w:w="863"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r>
      <w:tr w:rsidR="00931B25" w:rsidRPr="00B92CC4" w:rsidTr="003F1653">
        <w:trPr>
          <w:jc w:val="center"/>
        </w:trPr>
        <w:tc>
          <w:tcPr>
            <w:tcW w:w="2230" w:type="dxa"/>
            <w:tcBorders>
              <w:top w:val="nil"/>
              <w:left w:val="nil"/>
              <w:bottom w:val="nil"/>
              <w:right w:val="nil"/>
            </w:tcBorders>
          </w:tcPr>
          <w:p w:rsidR="00931B25" w:rsidRPr="003F1653" w:rsidRDefault="00931B25" w:rsidP="003F1653">
            <w:pPr>
              <w:jc w:val="both"/>
              <w:rPr>
                <w:sz w:val="20"/>
                <w:szCs w:val="20"/>
              </w:rPr>
            </w:pPr>
            <w:r w:rsidRPr="003F1653">
              <w:rPr>
                <w:sz w:val="20"/>
                <w:szCs w:val="20"/>
              </w:rPr>
              <w:t>H(b)</w:t>
            </w:r>
          </w:p>
        </w:tc>
        <w:tc>
          <w:tcPr>
            <w:tcW w:w="1067" w:type="dxa"/>
            <w:gridSpan w:val="2"/>
            <w:tcBorders>
              <w:top w:val="nil"/>
              <w:left w:val="nil"/>
              <w:bottom w:val="nil"/>
              <w:right w:val="nil"/>
            </w:tcBorders>
          </w:tcPr>
          <w:p w:rsidR="00931B25" w:rsidRPr="003F1653" w:rsidRDefault="00931B25" w:rsidP="003F1653">
            <w:pPr>
              <w:jc w:val="center"/>
              <w:rPr>
                <w:b/>
                <w:sz w:val="20"/>
                <w:szCs w:val="20"/>
              </w:rPr>
            </w:pPr>
            <w:r w:rsidRPr="003F1653">
              <w:rPr>
                <w:sz w:val="20"/>
                <w:szCs w:val="20"/>
              </w:rPr>
              <w:t>0.408</w:t>
            </w:r>
          </w:p>
        </w:tc>
        <w:tc>
          <w:tcPr>
            <w:tcW w:w="971"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83"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0.300</w:t>
            </w:r>
          </w:p>
        </w:tc>
        <w:tc>
          <w:tcPr>
            <w:tcW w:w="1029" w:type="dxa"/>
            <w:gridSpan w:val="2"/>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c>
          <w:tcPr>
            <w:tcW w:w="1277"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0.376</w:t>
            </w:r>
          </w:p>
        </w:tc>
        <w:tc>
          <w:tcPr>
            <w:tcW w:w="863"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0.000</w:t>
            </w:r>
          </w:p>
        </w:tc>
      </w:tr>
      <w:tr w:rsidR="00931B25" w:rsidRPr="00B92CC4" w:rsidTr="003F1653">
        <w:trPr>
          <w:jc w:val="center"/>
        </w:trPr>
        <w:tc>
          <w:tcPr>
            <w:tcW w:w="2230" w:type="dxa"/>
            <w:tcBorders>
              <w:top w:val="nil"/>
              <w:left w:val="nil"/>
              <w:bottom w:val="nil"/>
              <w:right w:val="nil"/>
            </w:tcBorders>
          </w:tcPr>
          <w:p w:rsidR="00931B25" w:rsidRPr="003F1653" w:rsidRDefault="00931B25" w:rsidP="003F1653">
            <w:pPr>
              <w:jc w:val="both"/>
              <w:rPr>
                <w:sz w:val="20"/>
                <w:szCs w:val="20"/>
              </w:rPr>
            </w:pPr>
            <w:r w:rsidRPr="003F1653">
              <w:rPr>
                <w:sz w:val="20"/>
                <w:szCs w:val="20"/>
              </w:rPr>
              <w:sym w:font="Symbol" w:char="F06C"/>
            </w:r>
          </w:p>
        </w:tc>
        <w:tc>
          <w:tcPr>
            <w:tcW w:w="1067" w:type="dxa"/>
            <w:gridSpan w:val="2"/>
            <w:tcBorders>
              <w:top w:val="nil"/>
              <w:left w:val="nil"/>
              <w:bottom w:val="nil"/>
              <w:right w:val="nil"/>
            </w:tcBorders>
          </w:tcPr>
          <w:p w:rsidR="00931B25" w:rsidRPr="003F1653" w:rsidRDefault="00931B25" w:rsidP="003F1653">
            <w:pPr>
              <w:jc w:val="center"/>
              <w:rPr>
                <w:b/>
                <w:sz w:val="20"/>
                <w:szCs w:val="20"/>
              </w:rPr>
            </w:pPr>
            <w:r w:rsidRPr="003F1653">
              <w:rPr>
                <w:sz w:val="20"/>
                <w:szCs w:val="20"/>
              </w:rPr>
              <w:t>0.216</w:t>
            </w:r>
          </w:p>
        </w:tc>
        <w:tc>
          <w:tcPr>
            <w:tcW w:w="971" w:type="dxa"/>
            <w:tcBorders>
              <w:top w:val="nil"/>
              <w:left w:val="nil"/>
              <w:bottom w:val="nil"/>
              <w:right w:val="nil"/>
            </w:tcBorders>
          </w:tcPr>
          <w:p w:rsidR="00931B25" w:rsidRPr="003F1653" w:rsidRDefault="00931B25" w:rsidP="003F1653">
            <w:pPr>
              <w:jc w:val="center"/>
              <w:rPr>
                <w:b/>
                <w:sz w:val="20"/>
                <w:szCs w:val="20"/>
              </w:rPr>
            </w:pPr>
          </w:p>
        </w:tc>
        <w:tc>
          <w:tcPr>
            <w:tcW w:w="1283"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0.216</w:t>
            </w:r>
          </w:p>
        </w:tc>
        <w:tc>
          <w:tcPr>
            <w:tcW w:w="1029" w:type="dxa"/>
            <w:gridSpan w:val="2"/>
            <w:tcBorders>
              <w:top w:val="nil"/>
              <w:left w:val="nil"/>
              <w:bottom w:val="nil"/>
              <w:right w:val="nil"/>
            </w:tcBorders>
          </w:tcPr>
          <w:p w:rsidR="00931B25" w:rsidRPr="003F1653" w:rsidRDefault="00931B25" w:rsidP="003F1653">
            <w:pPr>
              <w:jc w:val="center"/>
              <w:rPr>
                <w:b/>
                <w:sz w:val="20"/>
                <w:szCs w:val="20"/>
              </w:rPr>
            </w:pPr>
          </w:p>
        </w:tc>
        <w:tc>
          <w:tcPr>
            <w:tcW w:w="1277" w:type="dxa"/>
            <w:tcBorders>
              <w:top w:val="nil"/>
              <w:left w:val="nil"/>
              <w:bottom w:val="nil"/>
              <w:right w:val="nil"/>
            </w:tcBorders>
          </w:tcPr>
          <w:p w:rsidR="00931B25" w:rsidRPr="003F1653" w:rsidRDefault="00931B25" w:rsidP="003F1653">
            <w:pPr>
              <w:jc w:val="center"/>
              <w:rPr>
                <w:b/>
                <w:sz w:val="20"/>
                <w:szCs w:val="20"/>
              </w:rPr>
            </w:pPr>
            <w:r w:rsidRPr="003F1653">
              <w:rPr>
                <w:sz w:val="20"/>
                <w:szCs w:val="20"/>
              </w:rPr>
              <w:t>0.216</w:t>
            </w:r>
          </w:p>
        </w:tc>
        <w:tc>
          <w:tcPr>
            <w:tcW w:w="863" w:type="dxa"/>
            <w:tcBorders>
              <w:top w:val="nil"/>
              <w:left w:val="nil"/>
              <w:bottom w:val="nil"/>
              <w:right w:val="nil"/>
            </w:tcBorders>
          </w:tcPr>
          <w:p w:rsidR="00931B25" w:rsidRPr="003F1653" w:rsidRDefault="00931B25" w:rsidP="003F1653">
            <w:pPr>
              <w:jc w:val="center"/>
              <w:rPr>
                <w:b/>
                <w:sz w:val="20"/>
                <w:szCs w:val="20"/>
              </w:rPr>
            </w:pPr>
          </w:p>
        </w:tc>
      </w:tr>
      <w:tr w:rsidR="00931B25" w:rsidRPr="006766C3" w:rsidTr="003F1653">
        <w:trPr>
          <w:trHeight w:val="173"/>
          <w:jc w:val="center"/>
        </w:trPr>
        <w:tc>
          <w:tcPr>
            <w:tcW w:w="8720" w:type="dxa"/>
            <w:gridSpan w:val="9"/>
            <w:tcBorders>
              <w:top w:val="nil"/>
              <w:left w:val="nil"/>
              <w:bottom w:val="single" w:sz="4" w:space="0" w:color="auto"/>
              <w:right w:val="nil"/>
            </w:tcBorders>
          </w:tcPr>
          <w:p w:rsidR="00931B25" w:rsidRPr="003F1653" w:rsidRDefault="00931B25" w:rsidP="003F1653">
            <w:pPr>
              <w:jc w:val="center"/>
              <w:rPr>
                <w:b/>
                <w:sz w:val="20"/>
                <w:szCs w:val="20"/>
              </w:rPr>
            </w:pPr>
          </w:p>
        </w:tc>
      </w:tr>
      <w:tr w:rsidR="00DA68A4" w:rsidRPr="006766C3" w:rsidTr="003F1653">
        <w:trPr>
          <w:trHeight w:val="172"/>
          <w:jc w:val="center"/>
        </w:trPr>
        <w:tc>
          <w:tcPr>
            <w:tcW w:w="2906" w:type="dxa"/>
            <w:gridSpan w:val="2"/>
            <w:tcBorders>
              <w:top w:val="single" w:sz="4" w:space="0" w:color="auto"/>
              <w:left w:val="nil"/>
              <w:bottom w:val="single" w:sz="4" w:space="0" w:color="auto"/>
              <w:right w:val="nil"/>
            </w:tcBorders>
          </w:tcPr>
          <w:p w:rsidR="00DA68A4" w:rsidRPr="003F1653" w:rsidRDefault="00DA68A4" w:rsidP="003F1653">
            <w:pPr>
              <w:jc w:val="center"/>
              <w:rPr>
                <w:b/>
                <w:sz w:val="20"/>
                <w:szCs w:val="20"/>
              </w:rPr>
            </w:pPr>
            <w:r w:rsidRPr="003F1653">
              <w:rPr>
                <w:b/>
                <w:sz w:val="20"/>
                <w:szCs w:val="20"/>
              </w:rPr>
              <w:t>Testes</w:t>
            </w:r>
          </w:p>
        </w:tc>
        <w:tc>
          <w:tcPr>
            <w:tcW w:w="2907" w:type="dxa"/>
            <w:gridSpan w:val="4"/>
            <w:tcBorders>
              <w:top w:val="single" w:sz="4" w:space="0" w:color="auto"/>
              <w:left w:val="nil"/>
              <w:bottom w:val="single" w:sz="4" w:space="0" w:color="auto"/>
              <w:right w:val="nil"/>
            </w:tcBorders>
          </w:tcPr>
          <w:p w:rsidR="00DA68A4" w:rsidRPr="003F1653" w:rsidRDefault="00DA68A4" w:rsidP="003F1653">
            <w:pPr>
              <w:jc w:val="center"/>
              <w:rPr>
                <w:sz w:val="20"/>
                <w:szCs w:val="20"/>
              </w:rPr>
            </w:pPr>
            <w:r w:rsidRPr="003F1653">
              <w:rPr>
                <w:sz w:val="20"/>
                <w:szCs w:val="20"/>
              </w:rPr>
              <w:t>Valor</w:t>
            </w:r>
          </w:p>
        </w:tc>
        <w:tc>
          <w:tcPr>
            <w:tcW w:w="2907" w:type="dxa"/>
            <w:gridSpan w:val="3"/>
            <w:tcBorders>
              <w:top w:val="single" w:sz="4" w:space="0" w:color="auto"/>
              <w:left w:val="nil"/>
              <w:bottom w:val="single" w:sz="4" w:space="0" w:color="auto"/>
              <w:right w:val="nil"/>
            </w:tcBorders>
          </w:tcPr>
          <w:p w:rsidR="00DA68A4" w:rsidRPr="003F1653" w:rsidRDefault="00DA68A4" w:rsidP="003F1653">
            <w:pPr>
              <w:jc w:val="center"/>
              <w:rPr>
                <w:sz w:val="20"/>
                <w:szCs w:val="20"/>
              </w:rPr>
            </w:pPr>
            <w:r w:rsidRPr="003F1653">
              <w:rPr>
                <w:sz w:val="20"/>
                <w:szCs w:val="20"/>
              </w:rPr>
              <w:t>Prob</w:t>
            </w:r>
          </w:p>
        </w:tc>
      </w:tr>
      <w:tr w:rsidR="00DA68A4" w:rsidRPr="006766C3" w:rsidTr="003F1653">
        <w:trPr>
          <w:trHeight w:val="172"/>
          <w:jc w:val="center"/>
        </w:trPr>
        <w:tc>
          <w:tcPr>
            <w:tcW w:w="8720" w:type="dxa"/>
            <w:gridSpan w:val="9"/>
            <w:tcBorders>
              <w:top w:val="single" w:sz="4" w:space="0" w:color="auto"/>
              <w:left w:val="nil"/>
              <w:bottom w:val="single" w:sz="4" w:space="0" w:color="auto"/>
              <w:right w:val="nil"/>
            </w:tcBorders>
          </w:tcPr>
          <w:p w:rsidR="00DA68A4" w:rsidRPr="003F1653" w:rsidRDefault="00DA68A4" w:rsidP="003F1653">
            <w:pPr>
              <w:jc w:val="both"/>
              <w:rPr>
                <w:sz w:val="20"/>
                <w:szCs w:val="20"/>
              </w:rPr>
            </w:pPr>
            <w:r w:rsidRPr="003F1653">
              <w:rPr>
                <w:sz w:val="20"/>
                <w:szCs w:val="20"/>
              </w:rPr>
              <w:t>Instabilidade Estrutural</w:t>
            </w:r>
          </w:p>
        </w:tc>
      </w:tr>
      <w:tr w:rsidR="00DA68A4" w:rsidRPr="00B92CC4" w:rsidTr="003F1653">
        <w:trPr>
          <w:jc w:val="center"/>
        </w:trPr>
        <w:tc>
          <w:tcPr>
            <w:tcW w:w="3297" w:type="dxa"/>
            <w:gridSpan w:val="3"/>
            <w:tcBorders>
              <w:top w:val="single" w:sz="4" w:space="0" w:color="auto"/>
              <w:left w:val="nil"/>
              <w:bottom w:val="single" w:sz="4" w:space="0" w:color="auto"/>
              <w:right w:val="nil"/>
            </w:tcBorders>
            <w:vAlign w:val="bottom"/>
          </w:tcPr>
          <w:p w:rsidR="00DA68A4" w:rsidRPr="003F1653" w:rsidRDefault="00DA68A4" w:rsidP="003F1653">
            <w:pPr>
              <w:jc w:val="both"/>
              <w:rPr>
                <w:b/>
                <w:sz w:val="20"/>
                <w:szCs w:val="20"/>
              </w:rPr>
            </w:pPr>
            <w:r w:rsidRPr="003F1653">
              <w:rPr>
                <w:sz w:val="20"/>
                <w:szCs w:val="20"/>
              </w:rPr>
              <w:t>Teste de Chow - Wald</w:t>
            </w:r>
          </w:p>
        </w:tc>
        <w:tc>
          <w:tcPr>
            <w:tcW w:w="2254" w:type="dxa"/>
            <w:gridSpan w:val="2"/>
            <w:tcBorders>
              <w:top w:val="single" w:sz="4" w:space="0" w:color="auto"/>
              <w:left w:val="nil"/>
              <w:bottom w:val="single" w:sz="4" w:space="0" w:color="auto"/>
              <w:right w:val="nil"/>
            </w:tcBorders>
          </w:tcPr>
          <w:p w:rsidR="00DA68A4" w:rsidRPr="003F1653" w:rsidRDefault="006430AE" w:rsidP="003F1653">
            <w:pPr>
              <w:jc w:val="center"/>
              <w:rPr>
                <w:b/>
                <w:sz w:val="20"/>
                <w:szCs w:val="20"/>
              </w:rPr>
            </w:pPr>
            <w:r w:rsidRPr="003F1653">
              <w:rPr>
                <w:sz w:val="20"/>
                <w:szCs w:val="20"/>
              </w:rPr>
              <w:t>33.358</w:t>
            </w:r>
          </w:p>
        </w:tc>
        <w:tc>
          <w:tcPr>
            <w:tcW w:w="3169" w:type="dxa"/>
            <w:gridSpan w:val="4"/>
            <w:tcBorders>
              <w:top w:val="single" w:sz="4" w:space="0" w:color="auto"/>
              <w:left w:val="nil"/>
              <w:bottom w:val="single" w:sz="4" w:space="0" w:color="auto"/>
              <w:right w:val="nil"/>
            </w:tcBorders>
          </w:tcPr>
          <w:p w:rsidR="00DA68A4" w:rsidRPr="003F1653" w:rsidRDefault="006430AE" w:rsidP="003F1653">
            <w:pPr>
              <w:jc w:val="center"/>
              <w:rPr>
                <w:b/>
                <w:sz w:val="20"/>
                <w:szCs w:val="20"/>
              </w:rPr>
            </w:pPr>
            <w:r w:rsidRPr="003F1653">
              <w:rPr>
                <w:sz w:val="20"/>
                <w:szCs w:val="20"/>
              </w:rPr>
              <w:t>0.000</w:t>
            </w:r>
          </w:p>
        </w:tc>
      </w:tr>
      <w:tr w:rsidR="00DA68A4" w:rsidRPr="00B92CC4" w:rsidTr="003F1653">
        <w:trPr>
          <w:jc w:val="center"/>
        </w:trPr>
        <w:tc>
          <w:tcPr>
            <w:tcW w:w="8720" w:type="dxa"/>
            <w:gridSpan w:val="9"/>
            <w:tcBorders>
              <w:top w:val="single" w:sz="4" w:space="0" w:color="auto"/>
              <w:left w:val="nil"/>
              <w:bottom w:val="single" w:sz="4" w:space="0" w:color="auto"/>
              <w:right w:val="nil"/>
            </w:tcBorders>
            <w:vAlign w:val="bottom"/>
          </w:tcPr>
          <w:p w:rsidR="00DA68A4" w:rsidRPr="003F1653" w:rsidRDefault="00DA68A4" w:rsidP="003F1653">
            <w:pPr>
              <w:jc w:val="both"/>
              <w:rPr>
                <w:sz w:val="20"/>
                <w:szCs w:val="20"/>
              </w:rPr>
            </w:pPr>
            <w:r w:rsidRPr="003F1653">
              <w:rPr>
                <w:sz w:val="20"/>
                <w:szCs w:val="20"/>
              </w:rPr>
              <w:t xml:space="preserve">Estabilidade dos </w:t>
            </w:r>
            <w:r w:rsidRPr="003F1653">
              <w:rPr>
                <w:sz w:val="20"/>
                <w:szCs w:val="20"/>
              </w:rPr>
              <w:sym w:font="Symbol" w:char="F062"/>
            </w:r>
            <w:r w:rsidRPr="003F1653">
              <w:rPr>
                <w:sz w:val="20"/>
                <w:szCs w:val="20"/>
              </w:rPr>
              <w:t xml:space="preserve"> Individuais</w:t>
            </w:r>
          </w:p>
        </w:tc>
      </w:tr>
      <w:tr w:rsidR="00DA68A4" w:rsidRPr="00B92CC4" w:rsidTr="003F1653">
        <w:trPr>
          <w:jc w:val="center"/>
        </w:trPr>
        <w:tc>
          <w:tcPr>
            <w:tcW w:w="3297" w:type="dxa"/>
            <w:gridSpan w:val="3"/>
            <w:vMerge w:val="restart"/>
            <w:tcBorders>
              <w:top w:val="single" w:sz="4" w:space="0" w:color="auto"/>
              <w:left w:val="nil"/>
              <w:bottom w:val="nil"/>
              <w:right w:val="nil"/>
            </w:tcBorders>
            <w:vAlign w:val="bottom"/>
          </w:tcPr>
          <w:p w:rsidR="00DA68A4" w:rsidRPr="003F1653" w:rsidRDefault="00DA68A4" w:rsidP="003F1653">
            <w:pPr>
              <w:jc w:val="both"/>
              <w:rPr>
                <w:sz w:val="20"/>
                <w:szCs w:val="20"/>
              </w:rPr>
            </w:pPr>
            <w:r w:rsidRPr="003F1653">
              <w:rPr>
                <w:sz w:val="20"/>
                <w:szCs w:val="20"/>
              </w:rPr>
              <w:t>AL</w:t>
            </w:r>
          </w:p>
          <w:p w:rsidR="00DA68A4" w:rsidRPr="003F1653" w:rsidRDefault="00DA68A4" w:rsidP="003F1653">
            <w:pPr>
              <w:jc w:val="both"/>
              <w:rPr>
                <w:sz w:val="20"/>
                <w:szCs w:val="20"/>
              </w:rPr>
            </w:pPr>
            <w:r w:rsidRPr="003F1653">
              <w:rPr>
                <w:i/>
                <w:sz w:val="20"/>
                <w:szCs w:val="20"/>
              </w:rPr>
              <w:t>AK</w:t>
            </w:r>
          </w:p>
          <w:p w:rsidR="00DA68A4" w:rsidRPr="003F1653" w:rsidRDefault="00DA68A4" w:rsidP="003F1653">
            <w:pPr>
              <w:jc w:val="both"/>
              <w:rPr>
                <w:b/>
                <w:sz w:val="20"/>
                <w:szCs w:val="20"/>
              </w:rPr>
            </w:pPr>
            <w:r w:rsidRPr="003F1653">
              <w:rPr>
                <w:i/>
                <w:sz w:val="20"/>
                <w:szCs w:val="20"/>
              </w:rPr>
              <w:t>H(b)</w:t>
            </w:r>
          </w:p>
        </w:tc>
        <w:tc>
          <w:tcPr>
            <w:tcW w:w="2254" w:type="dxa"/>
            <w:gridSpan w:val="2"/>
            <w:tcBorders>
              <w:top w:val="single" w:sz="4" w:space="0" w:color="auto"/>
              <w:left w:val="nil"/>
              <w:bottom w:val="nil"/>
              <w:right w:val="nil"/>
            </w:tcBorders>
          </w:tcPr>
          <w:p w:rsidR="00DA68A4" w:rsidRPr="003F1653" w:rsidRDefault="006430AE" w:rsidP="003F1653">
            <w:pPr>
              <w:jc w:val="center"/>
              <w:rPr>
                <w:b/>
                <w:sz w:val="20"/>
                <w:szCs w:val="20"/>
              </w:rPr>
            </w:pPr>
            <w:r w:rsidRPr="003F1653">
              <w:rPr>
                <w:sz w:val="20"/>
                <w:szCs w:val="20"/>
              </w:rPr>
              <w:t>7.572</w:t>
            </w:r>
          </w:p>
        </w:tc>
        <w:tc>
          <w:tcPr>
            <w:tcW w:w="3169" w:type="dxa"/>
            <w:gridSpan w:val="4"/>
            <w:tcBorders>
              <w:top w:val="single" w:sz="4" w:space="0" w:color="auto"/>
              <w:left w:val="nil"/>
              <w:bottom w:val="nil"/>
              <w:right w:val="nil"/>
            </w:tcBorders>
          </w:tcPr>
          <w:p w:rsidR="00DA68A4" w:rsidRPr="003F1653" w:rsidRDefault="006430AE" w:rsidP="003F1653">
            <w:pPr>
              <w:jc w:val="center"/>
              <w:rPr>
                <w:b/>
                <w:sz w:val="20"/>
                <w:szCs w:val="20"/>
              </w:rPr>
            </w:pPr>
            <w:r w:rsidRPr="003F1653">
              <w:rPr>
                <w:sz w:val="20"/>
                <w:szCs w:val="20"/>
              </w:rPr>
              <w:t>0.022</w:t>
            </w:r>
          </w:p>
        </w:tc>
      </w:tr>
      <w:tr w:rsidR="00DA68A4" w:rsidRPr="00B92CC4" w:rsidTr="003F1653">
        <w:trPr>
          <w:jc w:val="center"/>
        </w:trPr>
        <w:tc>
          <w:tcPr>
            <w:tcW w:w="3297" w:type="dxa"/>
            <w:gridSpan w:val="3"/>
            <w:vMerge/>
            <w:tcBorders>
              <w:top w:val="nil"/>
              <w:left w:val="nil"/>
              <w:bottom w:val="nil"/>
              <w:right w:val="nil"/>
            </w:tcBorders>
            <w:vAlign w:val="bottom"/>
          </w:tcPr>
          <w:p w:rsidR="00DA68A4" w:rsidRPr="003F1653" w:rsidRDefault="00DA68A4" w:rsidP="003F1653">
            <w:pPr>
              <w:jc w:val="center"/>
              <w:rPr>
                <w:b/>
                <w:sz w:val="20"/>
                <w:szCs w:val="20"/>
              </w:rPr>
            </w:pPr>
          </w:p>
        </w:tc>
        <w:tc>
          <w:tcPr>
            <w:tcW w:w="2254" w:type="dxa"/>
            <w:gridSpan w:val="2"/>
            <w:tcBorders>
              <w:top w:val="nil"/>
              <w:left w:val="nil"/>
              <w:bottom w:val="nil"/>
              <w:right w:val="nil"/>
            </w:tcBorders>
          </w:tcPr>
          <w:p w:rsidR="00DA68A4" w:rsidRPr="003F1653" w:rsidRDefault="006430AE" w:rsidP="003F1653">
            <w:pPr>
              <w:jc w:val="center"/>
              <w:rPr>
                <w:b/>
                <w:sz w:val="20"/>
                <w:szCs w:val="20"/>
              </w:rPr>
            </w:pPr>
            <w:r w:rsidRPr="003F1653">
              <w:rPr>
                <w:sz w:val="20"/>
                <w:szCs w:val="20"/>
              </w:rPr>
              <w:t>20.181</w:t>
            </w:r>
          </w:p>
        </w:tc>
        <w:tc>
          <w:tcPr>
            <w:tcW w:w="3169" w:type="dxa"/>
            <w:gridSpan w:val="4"/>
            <w:tcBorders>
              <w:top w:val="nil"/>
              <w:left w:val="nil"/>
              <w:bottom w:val="nil"/>
              <w:right w:val="nil"/>
            </w:tcBorders>
          </w:tcPr>
          <w:p w:rsidR="00DA68A4" w:rsidRPr="003F1653" w:rsidRDefault="006430AE" w:rsidP="003F1653">
            <w:pPr>
              <w:jc w:val="center"/>
              <w:rPr>
                <w:b/>
                <w:sz w:val="20"/>
                <w:szCs w:val="20"/>
              </w:rPr>
            </w:pPr>
            <w:r w:rsidRPr="003F1653">
              <w:rPr>
                <w:sz w:val="20"/>
                <w:szCs w:val="20"/>
              </w:rPr>
              <w:t>0.000</w:t>
            </w:r>
          </w:p>
        </w:tc>
      </w:tr>
      <w:tr w:rsidR="00DA68A4" w:rsidRPr="00B92CC4" w:rsidTr="003F1653">
        <w:trPr>
          <w:jc w:val="center"/>
        </w:trPr>
        <w:tc>
          <w:tcPr>
            <w:tcW w:w="3297" w:type="dxa"/>
            <w:gridSpan w:val="3"/>
            <w:vMerge/>
            <w:tcBorders>
              <w:top w:val="nil"/>
              <w:left w:val="nil"/>
              <w:bottom w:val="single" w:sz="4" w:space="0" w:color="auto"/>
              <w:right w:val="nil"/>
            </w:tcBorders>
            <w:vAlign w:val="bottom"/>
          </w:tcPr>
          <w:p w:rsidR="00DA68A4" w:rsidRPr="003F1653" w:rsidRDefault="00DA68A4" w:rsidP="003F1653">
            <w:pPr>
              <w:jc w:val="center"/>
              <w:rPr>
                <w:b/>
                <w:sz w:val="20"/>
                <w:szCs w:val="20"/>
              </w:rPr>
            </w:pPr>
          </w:p>
        </w:tc>
        <w:tc>
          <w:tcPr>
            <w:tcW w:w="2254" w:type="dxa"/>
            <w:gridSpan w:val="2"/>
            <w:tcBorders>
              <w:top w:val="nil"/>
              <w:left w:val="nil"/>
              <w:bottom w:val="single" w:sz="4" w:space="0" w:color="auto"/>
              <w:right w:val="nil"/>
            </w:tcBorders>
          </w:tcPr>
          <w:p w:rsidR="00DA68A4" w:rsidRPr="003F1653" w:rsidRDefault="006430AE" w:rsidP="003F1653">
            <w:pPr>
              <w:jc w:val="center"/>
              <w:rPr>
                <w:b/>
                <w:sz w:val="20"/>
                <w:szCs w:val="20"/>
              </w:rPr>
            </w:pPr>
            <w:r w:rsidRPr="003F1653">
              <w:rPr>
                <w:sz w:val="20"/>
                <w:szCs w:val="20"/>
              </w:rPr>
              <w:t>7.517</w:t>
            </w:r>
          </w:p>
        </w:tc>
        <w:tc>
          <w:tcPr>
            <w:tcW w:w="3169" w:type="dxa"/>
            <w:gridSpan w:val="4"/>
            <w:tcBorders>
              <w:top w:val="nil"/>
              <w:left w:val="nil"/>
              <w:bottom w:val="single" w:sz="4" w:space="0" w:color="auto"/>
              <w:right w:val="nil"/>
            </w:tcBorders>
          </w:tcPr>
          <w:p w:rsidR="00DA68A4" w:rsidRPr="003F1653" w:rsidRDefault="006430AE" w:rsidP="003F1653">
            <w:pPr>
              <w:jc w:val="center"/>
              <w:rPr>
                <w:b/>
                <w:sz w:val="20"/>
                <w:szCs w:val="20"/>
              </w:rPr>
            </w:pPr>
            <w:r w:rsidRPr="003F1653">
              <w:rPr>
                <w:sz w:val="20"/>
                <w:szCs w:val="20"/>
              </w:rPr>
              <w:t>0.023</w:t>
            </w:r>
          </w:p>
        </w:tc>
      </w:tr>
      <w:tr w:rsidR="00DA68A4" w:rsidRPr="00303020" w:rsidTr="003F1653">
        <w:trPr>
          <w:jc w:val="center"/>
        </w:trPr>
        <w:tc>
          <w:tcPr>
            <w:tcW w:w="8720" w:type="dxa"/>
            <w:gridSpan w:val="9"/>
            <w:tcBorders>
              <w:top w:val="single" w:sz="4" w:space="0" w:color="auto"/>
              <w:left w:val="nil"/>
              <w:bottom w:val="nil"/>
              <w:right w:val="nil"/>
            </w:tcBorders>
          </w:tcPr>
          <w:p w:rsidR="00DA68A4" w:rsidRPr="003F1653" w:rsidRDefault="00DA68A4" w:rsidP="003F1653">
            <w:pPr>
              <w:jc w:val="both"/>
              <w:rPr>
                <w:sz w:val="20"/>
                <w:szCs w:val="20"/>
              </w:rPr>
            </w:pPr>
            <w:r w:rsidRPr="003F1653">
              <w:rPr>
                <w:sz w:val="20"/>
                <w:szCs w:val="20"/>
              </w:rPr>
              <w:t>Fonte: Elaboração do autor com base no SpaceStat</w:t>
            </w:r>
          </w:p>
        </w:tc>
      </w:tr>
    </w:tbl>
    <w:p w:rsidR="00146336" w:rsidRDefault="00146336" w:rsidP="00000A8D">
      <w:pPr>
        <w:jc w:val="both"/>
      </w:pPr>
    </w:p>
    <w:p w:rsidR="00784B61" w:rsidRDefault="00784B61" w:rsidP="00000A8D">
      <w:pPr>
        <w:autoSpaceDE w:val="0"/>
        <w:autoSpaceDN w:val="0"/>
        <w:adjustRightInd w:val="0"/>
        <w:ind w:firstLine="360"/>
        <w:jc w:val="both"/>
      </w:pPr>
      <w:r w:rsidRPr="007E6238">
        <w:t xml:space="preserve">O teste Chow-Wald averigua a hipótese nula da estabilidade estrutural conjunta dos coeficientes da regressão. Essa hipótese é amplamente rejeitada, pois o valor estimado do teste (33.358) é um valor muito extremo na distribuição qui-quadrado. </w:t>
      </w:r>
      <w:r w:rsidR="00A84147" w:rsidRPr="007E6238">
        <w:t xml:space="preserve">Portanto, pode-se dizer que existe uma diferença significativa entre os coeficientes dos três regimes estimados. </w:t>
      </w:r>
      <w:r w:rsidRPr="007E6238">
        <w:t>Os testes sobre os coeficientes individuais indicam que há uma significativa diferença entre os coeficientes do intercepto, da variável “AK”</w:t>
      </w:r>
      <w:r w:rsidR="00A84147" w:rsidRPr="007E6238">
        <w:t xml:space="preserve"> (20.181)</w:t>
      </w:r>
      <w:r w:rsidRPr="007E6238">
        <w:t>, relacionada à variação de capital físico, entre os três grupos especificados. Se for considerado um nível de significânc</w:t>
      </w:r>
      <w:r w:rsidR="00A84147" w:rsidRPr="007E6238">
        <w:t>ia de 1%, pode-se constatar que</w:t>
      </w:r>
      <w:r w:rsidRPr="007E6238">
        <w:t xml:space="preserve"> </w:t>
      </w:r>
      <w:r w:rsidR="00A84147" w:rsidRPr="007E6238">
        <w:t>as variáveis “AL” (7.572)</w:t>
      </w:r>
      <w:r w:rsidR="006B084C" w:rsidRPr="007E6238">
        <w:t>, relacionada à variação de mão-de-obra qualificada</w:t>
      </w:r>
      <w:r w:rsidR="00A84147" w:rsidRPr="007E6238">
        <w:t xml:space="preserve"> e “H(b)” (7.517), </w:t>
      </w:r>
      <w:r w:rsidR="006B084C" w:rsidRPr="007E6238">
        <w:t xml:space="preserve">referente ao capital humano, </w:t>
      </w:r>
      <w:r w:rsidR="00A84147" w:rsidRPr="007E6238">
        <w:t>não apresentam diferenças significativas entre seus coeficientes. No entanto, se for considerado um nível de significância de 5%, concluí-se que todas as variáveis apresentam diferença significativa entre os três grupos</w:t>
      </w:r>
      <w:r w:rsidR="00C8397C">
        <w:rPr>
          <w:rStyle w:val="Refdenotaderodap"/>
        </w:rPr>
        <w:footnoteReference w:id="24"/>
      </w:r>
      <w:r w:rsidR="00A84147" w:rsidRPr="007E6238">
        <w:t xml:space="preserve">. </w:t>
      </w:r>
    </w:p>
    <w:p w:rsidR="004F2390" w:rsidRPr="007E6238" w:rsidRDefault="004F2390" w:rsidP="00000A8D">
      <w:pPr>
        <w:autoSpaceDE w:val="0"/>
        <w:autoSpaceDN w:val="0"/>
        <w:adjustRightInd w:val="0"/>
        <w:ind w:firstLine="360"/>
        <w:jc w:val="both"/>
      </w:pPr>
    </w:p>
    <w:p w:rsidR="00E15192" w:rsidRPr="003C6AFD" w:rsidRDefault="006B084C" w:rsidP="00000A8D">
      <w:pPr>
        <w:autoSpaceDE w:val="0"/>
        <w:autoSpaceDN w:val="0"/>
        <w:adjustRightInd w:val="0"/>
        <w:ind w:firstLine="360"/>
        <w:jc w:val="both"/>
      </w:pPr>
      <w:r w:rsidRPr="007E6238">
        <w:t xml:space="preserve">Cabe ressaltar que o </w:t>
      </w:r>
      <w:r w:rsidRPr="007E6238">
        <w:rPr>
          <w:i/>
        </w:rPr>
        <w:t>cluster</w:t>
      </w:r>
      <w:r w:rsidRPr="007E6238">
        <w:t xml:space="preserve"> “G1”, representado pelos municípios mineiros que obtiveram crescimento </w:t>
      </w:r>
      <w:r w:rsidRPr="007E6238">
        <w:rPr>
          <w:i/>
        </w:rPr>
        <w:t>per capta</w:t>
      </w:r>
      <w:r w:rsidRPr="007E6238">
        <w:t xml:space="preserve"> elevado e estão circuncidados por outros municípios com crescimento elevado, apresentaram o maior índice relativo à variável H(b) (0.408), que representa a variação de capital humano. E o </w:t>
      </w:r>
      <w:r w:rsidRPr="007E6238">
        <w:rPr>
          <w:i/>
        </w:rPr>
        <w:t>cluster</w:t>
      </w:r>
      <w:r w:rsidRPr="007E6238">
        <w:t xml:space="preserve"> “G2” representado pelos municípios que obtiveram baixo crescimento </w:t>
      </w:r>
      <w:r w:rsidRPr="007E6238">
        <w:rPr>
          <w:i/>
        </w:rPr>
        <w:t>per capta</w:t>
      </w:r>
      <w:r w:rsidRPr="007E6238">
        <w:t xml:space="preserve"> e estão cercados por outros municípios com crescimento diminuto, apresentaram o menor índice relativo à variável H(b) (0.300).</w:t>
      </w:r>
      <w:r w:rsidR="003C6AFD">
        <w:t xml:space="preserve"> </w:t>
      </w:r>
      <w:r w:rsidR="003C6AFD" w:rsidRPr="003C6AFD">
        <w:t>Além disso, o</w:t>
      </w:r>
      <w:r w:rsidR="00784B61" w:rsidRPr="003C6AFD">
        <w:t xml:space="preserve"> pseudo </w:t>
      </w:r>
      <w:r w:rsidR="003C6AFD" w:rsidRPr="003C6AFD">
        <w:t>R</w:t>
      </w:r>
      <w:r w:rsidR="003C6AFD" w:rsidRPr="003C6AFD">
        <w:rPr>
          <w:vertAlign w:val="superscript"/>
        </w:rPr>
        <w:t>2</w:t>
      </w:r>
      <w:r w:rsidR="003C6AFD" w:rsidRPr="003C6AFD">
        <w:t xml:space="preserve"> </w:t>
      </w:r>
      <w:r w:rsidR="00784B61" w:rsidRPr="003C6AFD">
        <w:t xml:space="preserve">tem </w:t>
      </w:r>
      <w:r w:rsidR="003C6AFD" w:rsidRPr="003C6AFD">
        <w:t>um valor de 0,932, indicando que 93.2</w:t>
      </w:r>
      <w:r w:rsidR="00784B61" w:rsidRPr="003C6AFD">
        <w:t>% da</w:t>
      </w:r>
      <w:r w:rsidR="003C6AFD" w:rsidRPr="003C6AFD">
        <w:t xml:space="preserve"> variação da renda per capta dos municípios do estado de Minas Gerais, no período de </w:t>
      </w:r>
      <w:smartTag w:uri="urn:schemas-microsoft-com:office:smarttags" w:element="metricconverter">
        <w:smartTagPr>
          <w:attr w:name="ProductID" w:val="1991 a"/>
        </w:smartTagPr>
        <w:r w:rsidR="003C6AFD" w:rsidRPr="003C6AFD">
          <w:t>1991 a</w:t>
        </w:r>
      </w:smartTag>
      <w:r w:rsidR="003C6AFD" w:rsidRPr="003C6AFD">
        <w:t xml:space="preserve"> 2000 podem ser explicadas pelas três variáveis utilizadas: Variação do capital físico (AK), variação da mão-de-obra eficiente economicamente ativa (AL) e variação de capital humano.</w:t>
      </w:r>
      <w:r w:rsidR="00784B61" w:rsidRPr="003C6AFD">
        <w:t xml:space="preserve"> </w:t>
      </w:r>
    </w:p>
    <w:p w:rsidR="003C6AFD" w:rsidRDefault="003C6AFD" w:rsidP="00000A8D">
      <w:pPr>
        <w:jc w:val="both"/>
        <w:rPr>
          <w:b/>
        </w:rPr>
      </w:pPr>
    </w:p>
    <w:p w:rsidR="00440C8B" w:rsidRDefault="00AC4059" w:rsidP="00000A8D">
      <w:pPr>
        <w:jc w:val="both"/>
        <w:rPr>
          <w:b/>
        </w:rPr>
      </w:pPr>
      <w:r>
        <w:rPr>
          <w:b/>
        </w:rPr>
        <w:t>6</w:t>
      </w:r>
      <w:r w:rsidR="002712E6">
        <w:rPr>
          <w:b/>
        </w:rPr>
        <w:t xml:space="preserve">. </w:t>
      </w:r>
      <w:r w:rsidR="00695D9B">
        <w:rPr>
          <w:b/>
        </w:rPr>
        <w:t>C</w:t>
      </w:r>
      <w:r w:rsidR="00454128">
        <w:rPr>
          <w:b/>
        </w:rPr>
        <w:t>onsiderações Finais</w:t>
      </w:r>
    </w:p>
    <w:p w:rsidR="002A4830" w:rsidRDefault="002A4830" w:rsidP="00000A8D">
      <w:pPr>
        <w:jc w:val="both"/>
        <w:rPr>
          <w:b/>
        </w:rPr>
      </w:pPr>
    </w:p>
    <w:p w:rsidR="008A2F39" w:rsidRDefault="00A35A33" w:rsidP="00000A8D">
      <w:pPr>
        <w:ind w:firstLine="360"/>
        <w:jc w:val="both"/>
      </w:pPr>
      <w:r>
        <w:t xml:space="preserve">Este trabalho se mostrou interessante pois, através das técnicas de AEDE e Econometria Espacial, pôde-se constatar que, levando-se em consideração as variáveis adotadas para os municípios do estado de Minas Gerais </w:t>
      </w:r>
      <w:r w:rsidR="00692710">
        <w:t>no período de 1991 à 2000</w:t>
      </w:r>
      <w:r>
        <w:t xml:space="preserve">, o modelo proposto por Mankin, Romer e Weill </w:t>
      </w:r>
      <w:r w:rsidR="00650661">
        <w:t xml:space="preserve">– MRW - </w:t>
      </w:r>
      <w:r>
        <w:t>(1992)</w:t>
      </w:r>
      <w:r w:rsidR="008A2F39">
        <w:t xml:space="preserve"> </w:t>
      </w:r>
      <w:r w:rsidR="007541F3">
        <w:t>, onde incorpora-se a variável representativa do capital humano,</w:t>
      </w:r>
      <w:r>
        <w:t xml:space="preserve"> apresentou-se superior ao Modelo clássico de Solow (1956) em vários testes. Logo, trata-se de um modelo mais ajustado para explicar o crescimento diferenciado entre regiões díspares. </w:t>
      </w:r>
      <w:r w:rsidR="007541F3">
        <w:t>Além disso, a “</w:t>
      </w:r>
      <w:r w:rsidR="007541F3" w:rsidRPr="007541F3">
        <w:rPr>
          <w:i/>
        </w:rPr>
        <w:t>proxy</w:t>
      </w:r>
      <w:r w:rsidR="007541F3">
        <w:t xml:space="preserve">” para capital humano obtida junto ao IPEA </w:t>
      </w:r>
      <w:r w:rsidR="008A2F39">
        <w:t xml:space="preserve">“H(b) </w:t>
      </w:r>
      <w:r w:rsidR="007541F3">
        <w:t xml:space="preserve">apresentou índices superiores </w:t>
      </w:r>
      <w:r w:rsidR="008A2F39">
        <w:t xml:space="preserve">quando comparada com </w:t>
      </w:r>
      <w:r w:rsidR="00692710">
        <w:t>àquela</w:t>
      </w:r>
      <w:r w:rsidR="008A2F39">
        <w:t xml:space="preserve"> prosposta por Nakabashi (2005), H(a). </w:t>
      </w:r>
    </w:p>
    <w:p w:rsidR="004F2390" w:rsidRDefault="004F2390" w:rsidP="00000A8D">
      <w:pPr>
        <w:ind w:firstLine="360"/>
        <w:jc w:val="both"/>
      </w:pPr>
    </w:p>
    <w:p w:rsidR="009A12D0" w:rsidRDefault="009A12D0" w:rsidP="00000A8D">
      <w:pPr>
        <w:ind w:firstLine="360"/>
        <w:jc w:val="both"/>
      </w:pPr>
      <w:r>
        <w:t>Através da AEDE, pode-se perceber que a vari</w:t>
      </w:r>
      <w:r w:rsidR="007541F3">
        <w:t xml:space="preserve">ável dependente utilizada, </w:t>
      </w:r>
      <w:r>
        <w:t>representa</w:t>
      </w:r>
      <w:r w:rsidR="00495989">
        <w:t>n</w:t>
      </w:r>
      <w:r>
        <w:t xml:space="preserve">do o crescimento da renda </w:t>
      </w:r>
      <w:r w:rsidRPr="009A12D0">
        <w:rPr>
          <w:i/>
        </w:rPr>
        <w:t xml:space="preserve">per capta </w:t>
      </w:r>
      <w:r>
        <w:t xml:space="preserve">em cada município “Y”, apresentava indícios de autocorrelação espacial, </w:t>
      </w:r>
      <w:r w:rsidR="00495989">
        <w:t>portanto a estimação de modelos</w:t>
      </w:r>
      <w:r>
        <w:t xml:space="preserve"> que não levassem em co</w:t>
      </w:r>
      <w:r w:rsidR="00495989">
        <w:t>nsideração tais efeitos estaria</w:t>
      </w:r>
      <w:r>
        <w:t xml:space="preserve"> incorrendo em estimativas inconsistente</w:t>
      </w:r>
      <w:r w:rsidR="00495989">
        <w:t>s</w:t>
      </w:r>
      <w:r>
        <w:t xml:space="preserve"> e/ou ineficientes. Além disso, a possibilidade de verificar os </w:t>
      </w:r>
      <w:r w:rsidR="007541F3">
        <w:t xml:space="preserve">diferentes </w:t>
      </w:r>
      <w:r w:rsidRPr="009A12D0">
        <w:rPr>
          <w:i/>
        </w:rPr>
        <w:t>cluster</w:t>
      </w:r>
      <w:r w:rsidR="007541F3">
        <w:rPr>
          <w:i/>
        </w:rPr>
        <w:t>s</w:t>
      </w:r>
      <w:r>
        <w:t xml:space="preserve"> </w:t>
      </w:r>
      <w:r w:rsidR="007541F3">
        <w:t xml:space="preserve">de renda </w:t>
      </w:r>
      <w:r w:rsidR="007541F3" w:rsidRPr="007541F3">
        <w:rPr>
          <w:i/>
        </w:rPr>
        <w:t xml:space="preserve">per capta </w:t>
      </w:r>
      <w:r>
        <w:t xml:space="preserve">que apresentavam-se </w:t>
      </w:r>
      <w:r w:rsidR="007541F3">
        <w:t xml:space="preserve">significativos foi de extrema utilidade para contornar o problema da heterogeneidade espacial. </w:t>
      </w:r>
    </w:p>
    <w:p w:rsidR="004F2390" w:rsidRDefault="004F2390" w:rsidP="00000A8D">
      <w:pPr>
        <w:ind w:firstLine="360"/>
        <w:jc w:val="both"/>
      </w:pPr>
    </w:p>
    <w:p w:rsidR="00B65062" w:rsidRDefault="008A2F39" w:rsidP="00000A8D">
      <w:pPr>
        <w:ind w:firstLine="360"/>
        <w:jc w:val="both"/>
      </w:pPr>
      <w:r>
        <w:t xml:space="preserve">Analisando os multiplicadores de Lagrange da estimação da equação do modelo de crescimento proposto por MRW (1992) </w:t>
      </w:r>
      <w:r w:rsidR="00650661">
        <w:t>estimada por MQO, constatou-se que o modelo mais apropriado par</w:t>
      </w:r>
      <w:r>
        <w:t>a estima</w:t>
      </w:r>
      <w:r w:rsidR="00650661">
        <w:t>r</w:t>
      </w:r>
      <w:r>
        <w:t xml:space="preserve"> o modelo de crescimento </w:t>
      </w:r>
      <w:r w:rsidR="00650661">
        <w:t>s</w:t>
      </w:r>
      <w:r w:rsidR="00A55109">
        <w:t>eria o de erro espacial. Para ta</w:t>
      </w:r>
      <w:r w:rsidR="00650661">
        <w:t>nto, foi utilizado</w:t>
      </w:r>
      <w:r>
        <w:t xml:space="preserve"> </w:t>
      </w:r>
      <w:r w:rsidR="00650661">
        <w:t>o</w:t>
      </w:r>
      <w:r w:rsidRPr="005055F1">
        <w:t xml:space="preserve"> método generalizado de momentos (MGM), proposto por Kelejian e Prucha (1999)</w:t>
      </w:r>
      <w:r w:rsidR="00650661">
        <w:t xml:space="preserve">, </w:t>
      </w:r>
      <w:r w:rsidR="00650661" w:rsidRPr="005055F1">
        <w:t>com uma especificação para o erro heterocedástico na forma de grupos</w:t>
      </w:r>
      <w:r w:rsidR="00650661">
        <w:t xml:space="preserve">. </w:t>
      </w:r>
      <w:r w:rsidR="00F86C44">
        <w:t xml:space="preserve">Os </w:t>
      </w:r>
      <w:r w:rsidR="00F86C44">
        <w:lastRenderedPageBreak/>
        <w:t xml:space="preserve">coeficientes obtidos </w:t>
      </w:r>
      <w:r w:rsidR="00B65062">
        <w:t xml:space="preserve">para as três variáveis exógenas do modelo, </w:t>
      </w:r>
      <w:r w:rsidR="00F86C44">
        <w:t>por intermédio deste método</w:t>
      </w:r>
      <w:r w:rsidR="00B65062">
        <w:t>,</w:t>
      </w:r>
      <w:r w:rsidR="00F86C44">
        <w:t xml:space="preserve"> mostraram-se </w:t>
      </w:r>
      <w:r w:rsidR="00B65062">
        <w:t>bem equilibrados, como se segue: AL (0.301), AK (0.344) e H(b) (0.374).</w:t>
      </w:r>
      <w:r w:rsidR="001A4CAE">
        <w:t xml:space="preserve"> Este resultado</w:t>
      </w:r>
      <w:r w:rsidR="00B65062">
        <w:t xml:space="preserve"> </w:t>
      </w:r>
      <w:r w:rsidR="00FC330D">
        <w:t xml:space="preserve">salienta a participação da variação de capital humano no processo de crescimento da renda </w:t>
      </w:r>
      <w:r w:rsidR="00FC330D" w:rsidRPr="00FC330D">
        <w:rPr>
          <w:i/>
        </w:rPr>
        <w:t>per capta</w:t>
      </w:r>
      <w:r w:rsidR="00FC330D">
        <w:t xml:space="preserve">. </w:t>
      </w:r>
      <w:r w:rsidR="00B65062">
        <w:t xml:space="preserve"> </w:t>
      </w:r>
      <w:r w:rsidR="00FC330D">
        <w:t xml:space="preserve">Todas as variáveis apresentaram-se significativas e </w:t>
      </w:r>
      <w:r w:rsidR="001A4CAE">
        <w:t>diretamente proporcionais ao crescimento.</w:t>
      </w:r>
    </w:p>
    <w:p w:rsidR="00A55109" w:rsidRDefault="00A55109" w:rsidP="00000A8D">
      <w:pPr>
        <w:ind w:firstLine="360"/>
        <w:jc w:val="both"/>
      </w:pPr>
    </w:p>
    <w:p w:rsidR="00A55109" w:rsidRDefault="00A55109" w:rsidP="00000A8D">
      <w:pPr>
        <w:ind w:firstLine="360"/>
        <w:jc w:val="both"/>
      </w:pPr>
      <w:r>
        <w:t xml:space="preserve">Note que o capital humano – H(b) – apresentou o maior coeficiente dentre as variáveis. Além disso, o somatório dos coeficientes </w:t>
      </w:r>
      <w:r w:rsidR="00991BB4">
        <w:t xml:space="preserve">de AK, AL e H(b) </w:t>
      </w:r>
      <w:r w:rsidR="00AC40E6">
        <w:t>foi um pouco superior à 1. O que fornece um indí</w:t>
      </w:r>
      <w:r>
        <w:t>cio de que existem retornos crescentes de escala no modelo</w:t>
      </w:r>
      <w:r w:rsidR="000B4056">
        <w:t xml:space="preserve">. Porém, seria necessário </w:t>
      </w:r>
      <w:r w:rsidR="00991BB4">
        <w:t xml:space="preserve">elaborar </w:t>
      </w:r>
      <w:r w:rsidR="000B4056">
        <w:t>um teste de hipótese para confirmar tal questão.</w:t>
      </w:r>
    </w:p>
    <w:p w:rsidR="004F2390" w:rsidRDefault="004F2390" w:rsidP="00000A8D">
      <w:pPr>
        <w:ind w:firstLine="360"/>
        <w:jc w:val="both"/>
      </w:pPr>
    </w:p>
    <w:p w:rsidR="00421AD8" w:rsidRDefault="00421AD8" w:rsidP="00000A8D">
      <w:pPr>
        <w:ind w:firstLine="360"/>
        <w:jc w:val="both"/>
      </w:pPr>
      <w:r>
        <w:t>Utilizando o mapa de clusters (Figura 1), foram selecionados três grupos de municípios (AA, BB e outros</w:t>
      </w:r>
      <w:r w:rsidR="0042686A">
        <w:rPr>
          <w:rStyle w:val="Refdenotaderodap"/>
        </w:rPr>
        <w:footnoteReference w:id="25"/>
      </w:r>
      <w:r>
        <w:t xml:space="preserve">) em uma variável categórica, com objetivo de “suavizar” a heterogeneidade espacial. </w:t>
      </w:r>
      <w:r w:rsidR="00E92BEE">
        <w:t xml:space="preserve">Esta variável foi utilizada para estimar </w:t>
      </w:r>
      <w:r>
        <w:t>o modelo de erro espacial com regimes espaciais</w:t>
      </w:r>
      <w:r w:rsidR="00E92BEE">
        <w:t xml:space="preserve">. </w:t>
      </w:r>
      <w:r w:rsidR="00443582">
        <w:t xml:space="preserve">O modelo gerado indica que todos os </w:t>
      </w:r>
      <w:r w:rsidR="00443582" w:rsidRPr="000B4056">
        <w:t>coeficientes individuais obtidos apresentam diferenças significativas entre os grupos, a 5% de significância. Logo, pode-se dizer que as variáveis apresentam instabilidade estrutural, ou seja</w:t>
      </w:r>
      <w:r w:rsidR="00F26413" w:rsidRPr="000B4056">
        <w:t>,</w:t>
      </w:r>
      <w:r w:rsidR="00443582" w:rsidRPr="000B4056">
        <w:t xml:space="preserve"> elas </w:t>
      </w:r>
      <w:r w:rsidR="000B4056" w:rsidRPr="000B4056">
        <w:t>significativamente heterogêneas</w:t>
      </w:r>
      <w:r w:rsidR="00443582" w:rsidRPr="000B4056">
        <w:t xml:space="preserve"> no espaço.</w:t>
      </w:r>
    </w:p>
    <w:p w:rsidR="004F2390" w:rsidRDefault="004F2390" w:rsidP="00000A8D">
      <w:pPr>
        <w:ind w:firstLine="360"/>
        <w:jc w:val="both"/>
      </w:pPr>
    </w:p>
    <w:p w:rsidR="002122F0" w:rsidRDefault="002122F0" w:rsidP="00000A8D">
      <w:pPr>
        <w:ind w:firstLine="360"/>
        <w:jc w:val="both"/>
      </w:pPr>
      <w:r>
        <w:t xml:space="preserve">A análise dos coeficientes encontrados dentro dos regimes mostra que o </w:t>
      </w:r>
      <w:r w:rsidRPr="002122F0">
        <w:rPr>
          <w:i/>
        </w:rPr>
        <w:t>cluster</w:t>
      </w:r>
      <w:r>
        <w:t xml:space="preserve"> de municípios AA é o que mais depende de capital humano (0.408) para obter crescimento e o que menos necessita de capital físico (0.272). Por outro lado o </w:t>
      </w:r>
      <w:r w:rsidRPr="002122F0">
        <w:rPr>
          <w:i/>
        </w:rPr>
        <w:t>cluster</w:t>
      </w:r>
      <w:r>
        <w:t xml:space="preserve"> de municípios BB é o que mais depende de capital físico (0.426) e o que menos necessita de capital humano (0.3).</w:t>
      </w:r>
      <w:r w:rsidR="00991BB4">
        <w:t xml:space="preserve"> </w:t>
      </w:r>
    </w:p>
    <w:p w:rsidR="00991BB4" w:rsidRDefault="00991BB4" w:rsidP="00000A8D">
      <w:pPr>
        <w:ind w:firstLine="360"/>
        <w:jc w:val="both"/>
      </w:pPr>
    </w:p>
    <w:p w:rsidR="00991BB4" w:rsidRDefault="00991BB4" w:rsidP="00000A8D">
      <w:pPr>
        <w:ind w:firstLine="360"/>
        <w:jc w:val="both"/>
      </w:pPr>
      <w:r>
        <w:t>Portanto, pode-se inferir que o grupo de municípios que apresentou elevado crescimento entre 1991 e 2000 (AA) era intensivo em capital humano. Enquanto o grupo de municípios que apresentou baixo crescimento no mesmo período (B) era intensivo em capital físico.</w:t>
      </w:r>
      <w:r w:rsidR="00990A67">
        <w:t xml:space="preserve"> Outra característica interessante refere-se ao somatório dos coeficientes AK, AL e H(b). No grupo AA, este valor foi 1,068. Já no grupo BB foi apenas 0,972. Isto sugere que o grupo intensivo em capital humano (AA) apresentou retornos crescentes de escala enquanto o grupo intensivo em capital físico (BB) apresentou retornos decrescentes.</w:t>
      </w:r>
    </w:p>
    <w:p w:rsidR="00831567" w:rsidRDefault="00831567" w:rsidP="00000A8D">
      <w:pPr>
        <w:jc w:val="both"/>
        <w:rPr>
          <w:b/>
        </w:rPr>
      </w:pPr>
    </w:p>
    <w:p w:rsidR="00831567" w:rsidRDefault="00831567" w:rsidP="00000A8D">
      <w:pPr>
        <w:rPr>
          <w:b/>
        </w:rPr>
      </w:pPr>
      <w:r>
        <w:rPr>
          <w:b/>
        </w:rPr>
        <w:t>7. Referências</w:t>
      </w:r>
    </w:p>
    <w:p w:rsidR="00831567" w:rsidRDefault="00831567" w:rsidP="00000A8D">
      <w:pPr>
        <w:rPr>
          <w:b/>
        </w:rPr>
      </w:pPr>
    </w:p>
    <w:p w:rsidR="00185D85" w:rsidRPr="003B7CFB" w:rsidRDefault="00185D85" w:rsidP="00000A8D">
      <w:pPr>
        <w:autoSpaceDE w:val="0"/>
        <w:autoSpaceDN w:val="0"/>
        <w:adjustRightInd w:val="0"/>
        <w:jc w:val="both"/>
        <w:rPr>
          <w:bCs/>
        </w:rPr>
      </w:pPr>
      <w:r w:rsidRPr="003B7CFB">
        <w:t>ALMEIDA, Eduardo S. PEROBELLI, Fernando S. FERREIRA, Pedro G. C.</w:t>
      </w:r>
      <w:r w:rsidR="003B7CFB" w:rsidRPr="003B7CFB">
        <w:t xml:space="preserve"> FARIA, Weslem R.</w:t>
      </w:r>
      <w:r w:rsidRPr="003B7CFB">
        <w:t xml:space="preserve"> </w:t>
      </w:r>
      <w:r w:rsidR="003B7CFB" w:rsidRPr="003B7CFB">
        <w:rPr>
          <w:b/>
          <w:bCs/>
        </w:rPr>
        <w:t>O FATOR “AGORA É LULA” NA ELEIÇÃO PRESIDENCIAL DE 2002</w:t>
      </w:r>
      <w:r w:rsidRPr="003B7CFB">
        <w:rPr>
          <w:b/>
          <w:bCs/>
        </w:rPr>
        <w:t xml:space="preserve">. </w:t>
      </w:r>
      <w:r w:rsidR="003B7CFB" w:rsidRPr="003B7CFB">
        <w:rPr>
          <w:bCs/>
        </w:rPr>
        <w:t>2006</w:t>
      </w:r>
    </w:p>
    <w:p w:rsidR="00185D85" w:rsidRDefault="00185D85" w:rsidP="00000A8D">
      <w:pPr>
        <w:rPr>
          <w:b/>
        </w:rPr>
      </w:pPr>
    </w:p>
    <w:p w:rsidR="00831567" w:rsidRDefault="00831567" w:rsidP="00000A8D">
      <w:pPr>
        <w:autoSpaceDE w:val="0"/>
        <w:autoSpaceDN w:val="0"/>
        <w:adjustRightInd w:val="0"/>
        <w:jc w:val="both"/>
        <w:rPr>
          <w:bCs/>
        </w:rPr>
      </w:pPr>
      <w:r w:rsidRPr="0059597B">
        <w:t xml:space="preserve">ALMEIDA, Eduardo S. PEROBELLI, Fernando S. </w:t>
      </w:r>
      <w:r>
        <w:t xml:space="preserve">ALVIM, Maria I. S. A. FERREIRA, </w:t>
      </w:r>
      <w:r w:rsidRPr="0059597B">
        <w:t xml:space="preserve">Pedro G. C. </w:t>
      </w:r>
      <w:r w:rsidRPr="0059597B">
        <w:rPr>
          <w:b/>
          <w:bCs/>
        </w:rPr>
        <w:t xml:space="preserve">PRODUTIVIDADE DO </w:t>
      </w:r>
      <w:r>
        <w:rPr>
          <w:b/>
          <w:bCs/>
        </w:rPr>
        <w:t xml:space="preserve">SETOR AGRÍCOLA BRASILEIRO (1991 </w:t>
      </w:r>
      <w:r w:rsidRPr="0059597B">
        <w:rPr>
          <w:b/>
          <w:bCs/>
        </w:rPr>
        <w:t>2003): UMA</w:t>
      </w:r>
      <w:r>
        <w:rPr>
          <w:b/>
          <w:bCs/>
        </w:rPr>
        <w:t xml:space="preserve"> </w:t>
      </w:r>
      <w:r w:rsidRPr="0059597B">
        <w:rPr>
          <w:b/>
          <w:bCs/>
        </w:rPr>
        <w:t xml:space="preserve">ANÁLISE ESPACIAL. </w:t>
      </w:r>
      <w:r w:rsidRPr="0059597B">
        <w:rPr>
          <w:bCs/>
        </w:rPr>
        <w:t>2007</w:t>
      </w:r>
    </w:p>
    <w:p w:rsidR="00831567" w:rsidRDefault="00831567" w:rsidP="00000A8D">
      <w:pPr>
        <w:autoSpaceDE w:val="0"/>
        <w:autoSpaceDN w:val="0"/>
        <w:adjustRightInd w:val="0"/>
        <w:jc w:val="both"/>
        <w:rPr>
          <w:bCs/>
        </w:rPr>
      </w:pPr>
    </w:p>
    <w:p w:rsidR="00831567" w:rsidRDefault="00831567" w:rsidP="00000A8D">
      <w:pPr>
        <w:autoSpaceDE w:val="0"/>
        <w:autoSpaceDN w:val="0"/>
        <w:adjustRightInd w:val="0"/>
        <w:jc w:val="both"/>
      </w:pPr>
      <w:r w:rsidRPr="00FC037B">
        <w:t xml:space="preserve">ANSELIN, L. </w:t>
      </w:r>
      <w:r w:rsidRPr="00FC037B">
        <w:rPr>
          <w:b/>
          <w:bCs/>
          <w:i/>
        </w:rPr>
        <w:t>Spatial econometrics: methods and models</w:t>
      </w:r>
      <w:r w:rsidRPr="00FC037B">
        <w:t>. Kluwer Academic, Boston, 1988.</w:t>
      </w:r>
    </w:p>
    <w:p w:rsidR="00CC63C9" w:rsidRDefault="00CC63C9" w:rsidP="00000A8D">
      <w:pPr>
        <w:autoSpaceDE w:val="0"/>
        <w:autoSpaceDN w:val="0"/>
        <w:adjustRightInd w:val="0"/>
        <w:jc w:val="both"/>
      </w:pPr>
    </w:p>
    <w:p w:rsidR="00CC63C9" w:rsidRPr="00FC037B" w:rsidRDefault="00CC63C9" w:rsidP="00000A8D">
      <w:pPr>
        <w:autoSpaceDE w:val="0"/>
        <w:autoSpaceDN w:val="0"/>
        <w:adjustRightInd w:val="0"/>
        <w:jc w:val="both"/>
        <w:rPr>
          <w:b/>
          <w:bCs/>
        </w:rPr>
      </w:pPr>
      <w:r>
        <w:t xml:space="preserve">ANSELIN, L. </w:t>
      </w:r>
      <w:r w:rsidRPr="00CC63C9">
        <w:rPr>
          <w:b/>
          <w:i/>
        </w:rPr>
        <w:t>SpaceStat TUTORIAL: A Workbook for Using SpaceStat in the Analysis of Spatial Data.</w:t>
      </w:r>
      <w:r>
        <w:t xml:space="preserve"> 1992.</w:t>
      </w:r>
    </w:p>
    <w:p w:rsidR="00831567" w:rsidRPr="00FC037B" w:rsidRDefault="00831567" w:rsidP="00000A8D">
      <w:pPr>
        <w:jc w:val="both"/>
        <w:rPr>
          <w:b/>
        </w:rPr>
      </w:pPr>
    </w:p>
    <w:p w:rsidR="00831567" w:rsidRPr="0059597B" w:rsidRDefault="00831567" w:rsidP="00000A8D">
      <w:pPr>
        <w:autoSpaceDE w:val="0"/>
        <w:autoSpaceDN w:val="0"/>
        <w:adjustRightInd w:val="0"/>
        <w:jc w:val="both"/>
      </w:pPr>
      <w:r w:rsidRPr="0059597B">
        <w:lastRenderedPageBreak/>
        <w:t xml:space="preserve">ANSELIN, L </w:t>
      </w:r>
      <w:r w:rsidRPr="0059597B">
        <w:rPr>
          <w:i/>
        </w:rPr>
        <w:t>The Moran scatterplot as an ESDAtool to assess local instability in spatial association.</w:t>
      </w:r>
      <w:r w:rsidRPr="0059597B">
        <w:t xml:space="preserve"> Fisher, M, Scholten, H.J and Unwin, D W (eds). </w:t>
      </w:r>
      <w:r w:rsidRPr="0059597B">
        <w:rPr>
          <w:b/>
          <w:bCs/>
          <w:i/>
        </w:rPr>
        <w:t>Spatial analytical perspectives in GIS</w:t>
      </w:r>
      <w:r w:rsidRPr="0059597B">
        <w:t>. Taylor&amp;Francis. London. p 111-125. 1996.</w:t>
      </w:r>
    </w:p>
    <w:p w:rsidR="00831567" w:rsidRDefault="00831567" w:rsidP="00000A8D">
      <w:pPr>
        <w:jc w:val="both"/>
        <w:rPr>
          <w:b/>
        </w:rPr>
      </w:pPr>
    </w:p>
    <w:p w:rsidR="00831567" w:rsidRPr="00FC037B" w:rsidRDefault="00831567" w:rsidP="00000A8D">
      <w:pPr>
        <w:autoSpaceDE w:val="0"/>
        <w:autoSpaceDN w:val="0"/>
        <w:adjustRightInd w:val="0"/>
        <w:jc w:val="both"/>
      </w:pPr>
      <w:r>
        <w:t>ANSELIN, L. e BERA, A</w:t>
      </w:r>
      <w:r w:rsidRPr="00FC037B">
        <w:t xml:space="preserve">. </w:t>
      </w:r>
      <w:r w:rsidRPr="00FC037B">
        <w:rPr>
          <w:i/>
        </w:rPr>
        <w:t>Spatial dependence in linear regression models with na introduction to spatial econometrics.</w:t>
      </w:r>
      <w:r w:rsidRPr="00FC037B">
        <w:t xml:space="preserve"> In: Ullah A. e Giles D. E. (eds.) </w:t>
      </w:r>
      <w:r w:rsidRPr="00FC037B">
        <w:rPr>
          <w:b/>
          <w:bCs/>
          <w:i/>
        </w:rPr>
        <w:t>Handbook of applied economic statistics</w:t>
      </w:r>
      <w:r w:rsidRPr="00FC037B">
        <w:t xml:space="preserve">. Marcel </w:t>
      </w:r>
      <w:r>
        <w:t>Dekker, New York, p. 237-289. 1998</w:t>
      </w:r>
    </w:p>
    <w:p w:rsidR="00831567" w:rsidRPr="0059597B" w:rsidRDefault="00831567" w:rsidP="00000A8D">
      <w:pPr>
        <w:jc w:val="both"/>
        <w:rPr>
          <w:b/>
        </w:rPr>
      </w:pPr>
    </w:p>
    <w:p w:rsidR="00831567" w:rsidRDefault="00831567" w:rsidP="00000A8D">
      <w:pPr>
        <w:autoSpaceDE w:val="0"/>
        <w:autoSpaceDN w:val="0"/>
        <w:adjustRightInd w:val="0"/>
        <w:jc w:val="both"/>
      </w:pPr>
      <w:r w:rsidRPr="0059597B">
        <w:t xml:space="preserve">ANSELIN, L. Local indicators of spatial association – LISA. </w:t>
      </w:r>
      <w:r w:rsidRPr="0059597B">
        <w:rPr>
          <w:b/>
          <w:bCs/>
        </w:rPr>
        <w:t>Geographical Analysis</w:t>
      </w:r>
      <w:r w:rsidRPr="0059597B">
        <w:t>. V 27 (2), April. P 93-115. 1995.</w:t>
      </w:r>
    </w:p>
    <w:p w:rsidR="00CB185E" w:rsidRDefault="00CB185E" w:rsidP="00000A8D">
      <w:pPr>
        <w:autoSpaceDE w:val="0"/>
        <w:autoSpaceDN w:val="0"/>
        <w:adjustRightInd w:val="0"/>
        <w:jc w:val="both"/>
      </w:pPr>
    </w:p>
    <w:p w:rsidR="00CB185E" w:rsidRPr="00CB185E" w:rsidRDefault="00CB185E" w:rsidP="00CB185E">
      <w:pPr>
        <w:autoSpaceDE w:val="0"/>
        <w:autoSpaceDN w:val="0"/>
        <w:adjustRightInd w:val="0"/>
        <w:jc w:val="both"/>
        <w:rPr>
          <w:rFonts w:ascii="Times-Roman" w:hAnsi="Times-Roman" w:cs="Times-Roman"/>
          <w:b/>
        </w:rPr>
      </w:pPr>
      <w:r>
        <w:rPr>
          <w:rFonts w:ascii="Times-Roman" w:hAnsi="Times-Roman" w:cs="Times-Roman"/>
        </w:rPr>
        <w:t xml:space="preserve">BARRETTO, Elba S. de S.; MITRULIS, Eleny. </w:t>
      </w:r>
      <w:r w:rsidRPr="00CB185E">
        <w:rPr>
          <w:rFonts w:ascii="Times-Roman" w:hAnsi="Times-Roman" w:cs="Times-Roman"/>
          <w:b/>
        </w:rPr>
        <w:t>Trajetória e d</w:t>
      </w:r>
      <w:r>
        <w:rPr>
          <w:rFonts w:ascii="Times-Roman" w:hAnsi="Times-Roman" w:cs="Times-Roman"/>
          <w:b/>
        </w:rPr>
        <w:t xml:space="preserve">esafios dos ciclos escolares no </w:t>
      </w:r>
      <w:r w:rsidRPr="00CB185E">
        <w:rPr>
          <w:rFonts w:ascii="Times-Roman" w:hAnsi="Times-Roman" w:cs="Times-Roman"/>
          <w:b/>
        </w:rPr>
        <w:t>País</w:t>
      </w:r>
      <w:r w:rsidRPr="00CB185E">
        <w:rPr>
          <w:rFonts w:ascii="Times-Roman" w:hAnsi="Times-Roman" w:cs="Times-Roman"/>
        </w:rPr>
        <w:t xml:space="preserve">. </w:t>
      </w:r>
      <w:r w:rsidRPr="00CB185E">
        <w:rPr>
          <w:rFonts w:ascii="Times-Bold" w:hAnsi="Times-Bold" w:cs="Times-Bold"/>
          <w:bCs/>
        </w:rPr>
        <w:t xml:space="preserve">Revista Estudos Avançados USP, </w:t>
      </w:r>
      <w:r w:rsidRPr="00CB185E">
        <w:rPr>
          <w:rFonts w:ascii="Times-Roman" w:hAnsi="Times-Roman" w:cs="Times-Roman"/>
        </w:rPr>
        <w:t>São Pa</w:t>
      </w:r>
      <w:r>
        <w:rPr>
          <w:rFonts w:ascii="Times-Roman" w:hAnsi="Times-Roman" w:cs="Times-Roman"/>
        </w:rPr>
        <w:t>ulo, n. 42, p. 1-39, 2001.</w:t>
      </w:r>
    </w:p>
    <w:p w:rsidR="00831567" w:rsidRPr="0059597B" w:rsidRDefault="00831567" w:rsidP="00000A8D">
      <w:pPr>
        <w:jc w:val="both"/>
        <w:rPr>
          <w:b/>
        </w:rPr>
      </w:pPr>
    </w:p>
    <w:p w:rsidR="00831567" w:rsidRDefault="00831567" w:rsidP="00000A8D">
      <w:pPr>
        <w:autoSpaceDE w:val="0"/>
        <w:autoSpaceDN w:val="0"/>
        <w:adjustRightInd w:val="0"/>
        <w:jc w:val="both"/>
      </w:pPr>
      <w:r w:rsidRPr="0059597B">
        <w:t xml:space="preserve">BARRO, R. J. </w:t>
      </w:r>
      <w:r w:rsidRPr="0059597B">
        <w:rPr>
          <w:b/>
          <w:i/>
        </w:rPr>
        <w:t>Economic growth in a cross section of countries</w:t>
      </w:r>
      <w:r w:rsidRPr="0059597B">
        <w:t xml:space="preserve">. </w:t>
      </w:r>
      <w:r w:rsidRPr="0059597B">
        <w:rPr>
          <w:i/>
          <w:iCs/>
        </w:rPr>
        <w:t>The Quarterly Journal of Economics</w:t>
      </w:r>
      <w:r w:rsidRPr="0059597B">
        <w:t>, v.106, n.2, p.407-443, 1991.</w:t>
      </w:r>
    </w:p>
    <w:p w:rsidR="00915FFB" w:rsidRDefault="00915FFB" w:rsidP="00915FFB">
      <w:pPr>
        <w:autoSpaceDE w:val="0"/>
        <w:autoSpaceDN w:val="0"/>
        <w:adjustRightInd w:val="0"/>
        <w:jc w:val="both"/>
      </w:pPr>
    </w:p>
    <w:p w:rsidR="00915FFB" w:rsidRDefault="00915FFB" w:rsidP="00915FFB">
      <w:pPr>
        <w:autoSpaceDE w:val="0"/>
        <w:autoSpaceDN w:val="0"/>
        <w:adjustRightInd w:val="0"/>
        <w:jc w:val="both"/>
      </w:pPr>
      <w:r w:rsidRPr="00915FFB">
        <w:t xml:space="preserve">CASSUCE, F. C. C., CASALI, G. F. R e CARAVALHO F. M. A. </w:t>
      </w:r>
      <w:r w:rsidRPr="00915FFB">
        <w:rPr>
          <w:b/>
        </w:rPr>
        <w:t>Uma Análise Espacial do Nível de Desenvolvimento Associado a Capital Humano e a Capital Fixo no Estado de Minas Gerais</w:t>
      </w:r>
      <w:r>
        <w:t>. Revista Paranaense de Desenvolvimento, Curitiba,</w:t>
      </w:r>
      <w:r w:rsidRPr="00915FFB">
        <w:t xml:space="preserve"> n.112, p.159-179, jan./jun. 2007</w:t>
      </w:r>
      <w:r>
        <w:t>.</w:t>
      </w:r>
    </w:p>
    <w:p w:rsidR="005A113C" w:rsidRDefault="005A113C" w:rsidP="00000A8D">
      <w:pPr>
        <w:autoSpaceDE w:val="0"/>
        <w:autoSpaceDN w:val="0"/>
        <w:adjustRightInd w:val="0"/>
        <w:jc w:val="both"/>
      </w:pPr>
    </w:p>
    <w:p w:rsidR="005A113C" w:rsidRPr="005A113C" w:rsidRDefault="005A113C" w:rsidP="005A113C">
      <w:pPr>
        <w:autoSpaceDE w:val="0"/>
        <w:autoSpaceDN w:val="0"/>
        <w:adjustRightInd w:val="0"/>
        <w:jc w:val="both"/>
        <w:rPr>
          <w:i/>
          <w:iCs/>
        </w:rPr>
      </w:pPr>
      <w:r w:rsidRPr="005A113C">
        <w:t xml:space="preserve">COELHO, </w:t>
      </w:r>
      <w:r>
        <w:t>R. L. P. ; Figueiredo, L</w:t>
      </w:r>
      <w:r w:rsidRPr="005A113C">
        <w:t xml:space="preserve">. </w:t>
      </w:r>
      <w:r w:rsidRPr="005A113C">
        <w:rPr>
          <w:b/>
          <w:i/>
          <w:iCs/>
        </w:rPr>
        <w:t>Uma análise da hipótese da convergência para os municípios brasileiros</w:t>
      </w:r>
      <w:r w:rsidRPr="005A113C">
        <w:t>. Revista Brasileira de Economia, 2007.</w:t>
      </w:r>
    </w:p>
    <w:p w:rsidR="00831567" w:rsidRPr="0059597B" w:rsidRDefault="00831567" w:rsidP="00000A8D">
      <w:pPr>
        <w:rPr>
          <w:b/>
        </w:rPr>
      </w:pPr>
    </w:p>
    <w:p w:rsidR="00831567" w:rsidRDefault="00831567" w:rsidP="00000A8D">
      <w:pPr>
        <w:jc w:val="both"/>
      </w:pPr>
      <w:r w:rsidRPr="0059597B">
        <w:t xml:space="preserve">CLIFF, A. D. e ORD, J.K. </w:t>
      </w:r>
      <w:r w:rsidRPr="0059597B">
        <w:rPr>
          <w:b/>
          <w:bCs/>
          <w:i/>
        </w:rPr>
        <w:t>Spatial processes: models and applications</w:t>
      </w:r>
      <w:r w:rsidRPr="0059597B">
        <w:t>. Pion, London. 1981</w:t>
      </w:r>
      <w:r w:rsidR="00C03257">
        <w:t>.</w:t>
      </w:r>
    </w:p>
    <w:p w:rsidR="00C03257" w:rsidRDefault="00C03257" w:rsidP="00000A8D">
      <w:pPr>
        <w:jc w:val="both"/>
      </w:pPr>
    </w:p>
    <w:p w:rsidR="00C03257" w:rsidRPr="00C03257" w:rsidRDefault="00C03257" w:rsidP="00C03257">
      <w:pPr>
        <w:autoSpaceDE w:val="0"/>
        <w:autoSpaceDN w:val="0"/>
        <w:adjustRightInd w:val="0"/>
        <w:jc w:val="both"/>
        <w:rPr>
          <w:b/>
          <w:bCs/>
        </w:rPr>
      </w:pPr>
      <w:r>
        <w:t xml:space="preserve">EVANS, D.; GREEN, C. J.; MURINDE, V. </w:t>
      </w:r>
      <w:r w:rsidRPr="00C03257">
        <w:rPr>
          <w:b/>
          <w:bCs/>
          <w:i/>
        </w:rPr>
        <w:t>The importance of human capital and financial development in economic growth: new evidence using the translog production function</w:t>
      </w:r>
      <w:r>
        <w:rPr>
          <w:b/>
          <w:bCs/>
        </w:rPr>
        <w:t xml:space="preserve">. </w:t>
      </w:r>
      <w:r>
        <w:t>Santiago: Interamerican</w:t>
      </w:r>
      <w:r>
        <w:rPr>
          <w:b/>
          <w:bCs/>
        </w:rPr>
        <w:t xml:space="preserve"> </w:t>
      </w:r>
      <w:r>
        <w:t>Bank, 2000. (Working paper series, n.22). 2000.</w:t>
      </w:r>
    </w:p>
    <w:p w:rsidR="00831567" w:rsidRDefault="00831567" w:rsidP="00C03257">
      <w:pPr>
        <w:jc w:val="both"/>
      </w:pPr>
    </w:p>
    <w:p w:rsidR="00831567" w:rsidRDefault="00831567" w:rsidP="00000A8D">
      <w:pPr>
        <w:autoSpaceDE w:val="0"/>
        <w:autoSpaceDN w:val="0"/>
        <w:adjustRightInd w:val="0"/>
        <w:jc w:val="both"/>
      </w:pPr>
      <w:r w:rsidRPr="00F5429A">
        <w:t xml:space="preserve">FLORAX, R. J. G. M., FOLMER, H., REY, S. J. </w:t>
      </w:r>
      <w:r w:rsidRPr="00F5429A">
        <w:rPr>
          <w:i/>
        </w:rPr>
        <w:t xml:space="preserve">Specification searches in spatial econometrics: The relevance of Hendry’s methodology. </w:t>
      </w:r>
      <w:r w:rsidRPr="00F5429A">
        <w:rPr>
          <w:b/>
          <w:bCs/>
          <w:i/>
        </w:rPr>
        <w:t>Regional Science and Urban</w:t>
      </w:r>
      <w:r w:rsidRPr="00F5429A">
        <w:rPr>
          <w:i/>
        </w:rPr>
        <w:t xml:space="preserve"> </w:t>
      </w:r>
      <w:r w:rsidRPr="00F5429A">
        <w:rPr>
          <w:b/>
          <w:bCs/>
          <w:i/>
        </w:rPr>
        <w:t>Economics</w:t>
      </w:r>
      <w:r w:rsidRPr="00F5429A">
        <w:rPr>
          <w:b/>
          <w:bCs/>
        </w:rPr>
        <w:t xml:space="preserve">, </w:t>
      </w:r>
      <w:r w:rsidRPr="00F5429A">
        <w:t>vol. 33, n. 5, p. 557-79, 2003.</w:t>
      </w:r>
    </w:p>
    <w:p w:rsidR="00CA0285" w:rsidRDefault="00CA0285" w:rsidP="00000A8D">
      <w:pPr>
        <w:autoSpaceDE w:val="0"/>
        <w:autoSpaceDN w:val="0"/>
        <w:adjustRightInd w:val="0"/>
        <w:jc w:val="both"/>
      </w:pPr>
    </w:p>
    <w:p w:rsidR="00CA0285" w:rsidRDefault="00CA0285" w:rsidP="00CA0285">
      <w:pPr>
        <w:autoSpaceDE w:val="0"/>
        <w:autoSpaceDN w:val="0"/>
        <w:adjustRightInd w:val="0"/>
        <w:jc w:val="both"/>
        <w:rPr>
          <w:rFonts w:ascii="TimesNewRoman" w:hAnsi="TimesNewRoman" w:cs="TimesNewRoman"/>
        </w:rPr>
      </w:pPr>
      <w:r w:rsidRPr="00621650">
        <w:rPr>
          <w:rFonts w:ascii="TimesNewRoman" w:hAnsi="TimesNewRoman" w:cs="TimesNewRoman"/>
        </w:rPr>
        <w:t xml:space="preserve">HALL, R.E.; JONES, C. I. </w:t>
      </w:r>
      <w:r w:rsidRPr="00621650">
        <w:rPr>
          <w:rFonts w:ascii="TimesNewRoman" w:hAnsi="TimesNewRoman" w:cs="TimesNewRoman"/>
          <w:b/>
          <w:i/>
        </w:rPr>
        <w:t>The Productivity of Nations</w:t>
      </w:r>
      <w:r w:rsidRPr="00621650">
        <w:rPr>
          <w:rFonts w:ascii="TimesNewRoman" w:hAnsi="TimesNewRoman" w:cs="TimesNewRoman"/>
          <w:i/>
        </w:rPr>
        <w:t>, NBER Working Paper</w:t>
      </w:r>
      <w:r w:rsidRPr="00621650">
        <w:rPr>
          <w:rFonts w:ascii="TimesNewRoman" w:hAnsi="TimesNewRoman" w:cs="TimesNewRoman"/>
        </w:rPr>
        <w:t xml:space="preserve"> No. 5812. 1996</w:t>
      </w:r>
      <w:r w:rsidR="00E23DBF">
        <w:rPr>
          <w:rFonts w:ascii="TimesNewRoman" w:hAnsi="TimesNewRoman" w:cs="TimesNewRoman"/>
        </w:rPr>
        <w:t>.</w:t>
      </w:r>
    </w:p>
    <w:p w:rsidR="00E23DBF" w:rsidRDefault="00E23DBF" w:rsidP="00CA0285">
      <w:pPr>
        <w:autoSpaceDE w:val="0"/>
        <w:autoSpaceDN w:val="0"/>
        <w:adjustRightInd w:val="0"/>
        <w:jc w:val="both"/>
        <w:rPr>
          <w:rFonts w:ascii="TimesNewRoman" w:hAnsi="TimesNewRoman" w:cs="TimesNewRoman"/>
        </w:rPr>
      </w:pPr>
    </w:p>
    <w:p w:rsidR="00E23DBF" w:rsidRPr="00E23DBF" w:rsidRDefault="00E23DBF" w:rsidP="00E23DBF">
      <w:pPr>
        <w:autoSpaceDE w:val="0"/>
        <w:autoSpaceDN w:val="0"/>
        <w:adjustRightInd w:val="0"/>
        <w:jc w:val="both"/>
      </w:pPr>
      <w:r>
        <w:t xml:space="preserve">HARRISON, A. </w:t>
      </w:r>
      <w:r w:rsidRPr="00E23DBF">
        <w:rPr>
          <w:b/>
          <w:i/>
        </w:rPr>
        <w:t>Openness and growth: a timeseries, cross-country analysis for developing countries</w:t>
      </w:r>
      <w:r w:rsidRPr="00E23DBF">
        <w:rPr>
          <w:i/>
        </w:rPr>
        <w:t xml:space="preserve">. </w:t>
      </w:r>
      <w:r w:rsidRPr="00E23DBF">
        <w:rPr>
          <w:bCs/>
          <w:i/>
        </w:rPr>
        <w:t>Journal of Development Economics</w:t>
      </w:r>
      <w:r w:rsidRPr="00E23DBF">
        <w:rPr>
          <w:i/>
        </w:rPr>
        <w:t>, Amsterdam</w:t>
      </w:r>
      <w:r>
        <w:t>, v. 48, p.419-447,1996.</w:t>
      </w:r>
    </w:p>
    <w:p w:rsidR="00831567" w:rsidRPr="00621650" w:rsidRDefault="00831567" w:rsidP="00CA0285">
      <w:pPr>
        <w:jc w:val="both"/>
        <w:rPr>
          <w:b/>
        </w:rPr>
      </w:pPr>
    </w:p>
    <w:p w:rsidR="00831567" w:rsidRDefault="00831567" w:rsidP="00CA0285">
      <w:pPr>
        <w:jc w:val="both"/>
        <w:rPr>
          <w:bCs/>
          <w:color w:val="000000"/>
        </w:rPr>
      </w:pPr>
      <w:r w:rsidRPr="00621650">
        <w:rPr>
          <w:color w:val="000000"/>
        </w:rPr>
        <w:t xml:space="preserve">IPEA - </w:t>
      </w:r>
      <w:r w:rsidRPr="00621650">
        <w:rPr>
          <w:b/>
          <w:color w:val="000000"/>
        </w:rPr>
        <w:t>Instituto de Pesquisa Econômica Aplicada</w:t>
      </w:r>
      <w:r w:rsidRPr="00621650">
        <w:rPr>
          <w:color w:val="000000"/>
        </w:rPr>
        <w:t xml:space="preserve">. Disponível </w:t>
      </w:r>
      <w:r w:rsidRPr="00621650">
        <w:rPr>
          <w:i/>
          <w:color w:val="000000"/>
        </w:rPr>
        <w:t>on line</w:t>
      </w:r>
      <w:r w:rsidRPr="00621650">
        <w:rPr>
          <w:color w:val="000000"/>
        </w:rPr>
        <w:t xml:space="preserve">, URL: </w:t>
      </w:r>
      <w:r w:rsidRPr="00621650">
        <w:rPr>
          <w:rStyle w:val="a"/>
        </w:rPr>
        <w:t>www.</w:t>
      </w:r>
      <w:r w:rsidRPr="00621650">
        <w:rPr>
          <w:rStyle w:val="a"/>
          <w:bCs/>
        </w:rPr>
        <w:t>ipea</w:t>
      </w:r>
      <w:r w:rsidRPr="00621650">
        <w:rPr>
          <w:rStyle w:val="a"/>
        </w:rPr>
        <w:t>data.gov.br</w:t>
      </w:r>
      <w:r w:rsidRPr="00621650">
        <w:rPr>
          <w:color w:val="000000"/>
        </w:rPr>
        <w:t xml:space="preserve">. </w:t>
      </w:r>
      <w:r w:rsidRPr="00621650">
        <w:rPr>
          <w:bCs/>
          <w:color w:val="000000"/>
        </w:rPr>
        <w:t>Acesso em Janeiro de 2008.</w:t>
      </w:r>
    </w:p>
    <w:p w:rsidR="00795AA7" w:rsidRDefault="00795AA7" w:rsidP="00CA0285">
      <w:pPr>
        <w:jc w:val="both"/>
        <w:rPr>
          <w:bCs/>
          <w:color w:val="000000"/>
        </w:rPr>
      </w:pPr>
    </w:p>
    <w:p w:rsidR="00795AA7" w:rsidRPr="00795AA7" w:rsidRDefault="00795AA7" w:rsidP="00795AA7">
      <w:pPr>
        <w:autoSpaceDE w:val="0"/>
        <w:autoSpaceDN w:val="0"/>
        <w:adjustRightInd w:val="0"/>
        <w:jc w:val="both"/>
      </w:pPr>
      <w:r>
        <w:t xml:space="preserve">JARRET, J. P.; SELODY, J. G. </w:t>
      </w:r>
      <w:r w:rsidRPr="00795AA7">
        <w:rPr>
          <w:b/>
          <w:i/>
        </w:rPr>
        <w:t>The productivity- Inflation Nexus in Canada, 1963-1979</w:t>
      </w:r>
      <w:r w:rsidRPr="00795AA7">
        <w:rPr>
          <w:i/>
        </w:rPr>
        <w:t xml:space="preserve">. </w:t>
      </w:r>
      <w:r w:rsidRPr="00795AA7">
        <w:rPr>
          <w:bCs/>
          <w:i/>
        </w:rPr>
        <w:t>The Review of Economics and Statistics</w:t>
      </w:r>
      <w:r w:rsidRPr="00795AA7">
        <w:rPr>
          <w:i/>
        </w:rPr>
        <w:t>, Cambridge</w:t>
      </w:r>
      <w:r w:rsidRPr="00795AA7">
        <w:t>, v. , n. , p. ,1982.</w:t>
      </w:r>
    </w:p>
    <w:p w:rsidR="00237B51" w:rsidRPr="00795AA7" w:rsidRDefault="00237B51" w:rsidP="00000A8D">
      <w:pPr>
        <w:jc w:val="both"/>
        <w:rPr>
          <w:bCs/>
          <w:color w:val="000000"/>
        </w:rPr>
      </w:pPr>
    </w:p>
    <w:p w:rsidR="00237B51" w:rsidRPr="00237B51" w:rsidRDefault="00237B51" w:rsidP="00000A8D">
      <w:pPr>
        <w:autoSpaceDE w:val="0"/>
        <w:autoSpaceDN w:val="0"/>
        <w:adjustRightInd w:val="0"/>
        <w:jc w:val="both"/>
      </w:pPr>
      <w:r w:rsidRPr="00237B51">
        <w:t xml:space="preserve">KELEJIAN, H. H. e PRUCHA, I. R. </w:t>
      </w:r>
      <w:r w:rsidRPr="00237B51">
        <w:rPr>
          <w:b/>
        </w:rPr>
        <w:t>A generalized moments estimator for the autoregressive parameter in a spatial model</w:t>
      </w:r>
      <w:r w:rsidRPr="00237B51">
        <w:t xml:space="preserve">. </w:t>
      </w:r>
      <w:r w:rsidRPr="00237B51">
        <w:rPr>
          <w:bCs/>
        </w:rPr>
        <w:t>International Economic Review</w:t>
      </w:r>
      <w:r w:rsidRPr="00237B51">
        <w:t>, v. 40, n. 2, 1999.</w:t>
      </w:r>
    </w:p>
    <w:p w:rsidR="00831567" w:rsidRDefault="00831567" w:rsidP="00000A8D"/>
    <w:p w:rsidR="00724D0E" w:rsidRPr="00724D0E" w:rsidRDefault="00724D0E" w:rsidP="00000A8D">
      <w:pPr>
        <w:autoSpaceDE w:val="0"/>
        <w:autoSpaceDN w:val="0"/>
        <w:adjustRightInd w:val="0"/>
        <w:jc w:val="both"/>
        <w:rPr>
          <w:b/>
          <w:bCs/>
        </w:rPr>
      </w:pPr>
      <w:r w:rsidRPr="00724D0E">
        <w:t xml:space="preserve">KELEJIAN, H. H. e PRUCHA, I. R. </w:t>
      </w:r>
      <w:r w:rsidRPr="00724D0E">
        <w:rPr>
          <w:b/>
          <w:bCs/>
        </w:rPr>
        <w:t>A generalized spatial two stage least squares procedure for estimating a spatial autoregressive model with autoregressive disturbances</w:t>
      </w:r>
      <w:r w:rsidRPr="00724D0E">
        <w:t>. Mimeo., Department of</w:t>
      </w:r>
      <w:r w:rsidRPr="00724D0E">
        <w:rPr>
          <w:b/>
          <w:bCs/>
        </w:rPr>
        <w:t xml:space="preserve"> </w:t>
      </w:r>
      <w:r w:rsidRPr="00724D0E">
        <w:t>Economics, University of Maryland, 1998.</w:t>
      </w:r>
    </w:p>
    <w:p w:rsidR="00724D0E" w:rsidRPr="00237B51" w:rsidRDefault="00724D0E" w:rsidP="00000A8D"/>
    <w:p w:rsidR="00831567" w:rsidRPr="0059597B" w:rsidRDefault="00831567" w:rsidP="00C03257">
      <w:pPr>
        <w:autoSpaceDE w:val="0"/>
        <w:autoSpaceDN w:val="0"/>
        <w:adjustRightInd w:val="0"/>
        <w:jc w:val="both"/>
      </w:pPr>
      <w:r w:rsidRPr="0059597B">
        <w:t xml:space="preserve">KHASNOBIS-GUHA, Basudeb and BARI, Faisal.  </w:t>
      </w:r>
      <w:r w:rsidRPr="0059597B">
        <w:rPr>
          <w:b/>
          <w:i/>
        </w:rPr>
        <w:t>Sources of Growth in South Asian Economics</w:t>
      </w:r>
      <w:r w:rsidRPr="0059597B">
        <w:t xml:space="preserve">. </w:t>
      </w:r>
      <w:r w:rsidRPr="0059597B">
        <w:rPr>
          <w:i/>
        </w:rPr>
        <w:t>Global Research Project</w:t>
      </w:r>
      <w:r w:rsidRPr="0059597B">
        <w:t>, 2000.</w:t>
      </w:r>
    </w:p>
    <w:p w:rsidR="00831567" w:rsidRPr="0059597B" w:rsidRDefault="00831567" w:rsidP="00000A8D">
      <w:pPr>
        <w:autoSpaceDE w:val="0"/>
        <w:autoSpaceDN w:val="0"/>
        <w:adjustRightInd w:val="0"/>
      </w:pPr>
    </w:p>
    <w:p w:rsidR="00831567" w:rsidRPr="0059597B" w:rsidRDefault="00831567" w:rsidP="00000A8D">
      <w:pPr>
        <w:autoSpaceDE w:val="0"/>
        <w:autoSpaceDN w:val="0"/>
        <w:adjustRightInd w:val="0"/>
        <w:jc w:val="both"/>
      </w:pPr>
      <w:r w:rsidRPr="0059597B">
        <w:t xml:space="preserve">KRUEGER, A. O. </w:t>
      </w:r>
      <w:r w:rsidRPr="0059597B">
        <w:rPr>
          <w:b/>
          <w:i/>
        </w:rPr>
        <w:t>Factor endowments and per capita income differences among countries</w:t>
      </w:r>
      <w:r w:rsidRPr="0059597B">
        <w:t xml:space="preserve">. </w:t>
      </w:r>
      <w:r w:rsidRPr="0059597B">
        <w:rPr>
          <w:i/>
          <w:iCs/>
        </w:rPr>
        <w:t>The Economic Journal</w:t>
      </w:r>
      <w:r w:rsidRPr="0059597B">
        <w:t>, v.78, n.311, p.641-659, 1968.</w:t>
      </w:r>
    </w:p>
    <w:p w:rsidR="00831567" w:rsidRPr="0059597B" w:rsidRDefault="00831567" w:rsidP="00000A8D">
      <w:pPr>
        <w:autoSpaceDE w:val="0"/>
        <w:autoSpaceDN w:val="0"/>
        <w:adjustRightInd w:val="0"/>
        <w:jc w:val="both"/>
      </w:pPr>
    </w:p>
    <w:p w:rsidR="00831567" w:rsidRPr="0059597B" w:rsidRDefault="00831567" w:rsidP="00000A8D">
      <w:pPr>
        <w:autoSpaceDE w:val="0"/>
        <w:autoSpaceDN w:val="0"/>
        <w:adjustRightInd w:val="0"/>
        <w:jc w:val="both"/>
        <w:rPr>
          <w:b/>
          <w:bCs/>
        </w:rPr>
      </w:pPr>
      <w:r w:rsidRPr="0059597B">
        <w:t xml:space="preserve">LE GALLO, J and ERTHUR, C. </w:t>
      </w:r>
      <w:r w:rsidRPr="0059597B">
        <w:rPr>
          <w:b/>
          <w:bCs/>
          <w:i/>
        </w:rPr>
        <w:t>Exploratory spatial data analysis of the distribution of regional per capita</w:t>
      </w:r>
      <w:r w:rsidRPr="0059597B">
        <w:t>. GDP in Europe, 1980-1995. Papers in Regional Science v 82(2) p 175 201. 2003.</w:t>
      </w:r>
    </w:p>
    <w:p w:rsidR="00831567" w:rsidRPr="0059597B" w:rsidRDefault="00831567" w:rsidP="00000A8D"/>
    <w:p w:rsidR="00831567" w:rsidRPr="0059597B" w:rsidRDefault="00831567" w:rsidP="00000A8D">
      <w:pPr>
        <w:autoSpaceDE w:val="0"/>
        <w:autoSpaceDN w:val="0"/>
        <w:adjustRightInd w:val="0"/>
        <w:jc w:val="both"/>
      </w:pPr>
      <w:r w:rsidRPr="0059597B">
        <w:t xml:space="preserve">LUCAS, Jr., Robert E. </w:t>
      </w:r>
      <w:r w:rsidRPr="0059597B">
        <w:rPr>
          <w:b/>
          <w:i/>
        </w:rPr>
        <w:t xml:space="preserve">On the mechanics of economic development. </w:t>
      </w:r>
      <w:r w:rsidRPr="0059597B">
        <w:rPr>
          <w:i/>
        </w:rPr>
        <w:t>Journal of Monetary Economics</w:t>
      </w:r>
      <w:r w:rsidRPr="0059597B">
        <w:t xml:space="preserve">. 1988. </w:t>
      </w:r>
      <w:r w:rsidRPr="0059597B">
        <w:rPr>
          <w:i/>
        </w:rPr>
        <w:t>Reimpresso em Lectures on Economic Growth. Cambridge, Harvard University Press</w:t>
      </w:r>
      <w:r w:rsidRPr="0059597B">
        <w:t>, 2002.</w:t>
      </w:r>
    </w:p>
    <w:p w:rsidR="00831567" w:rsidRPr="0059597B" w:rsidRDefault="00831567" w:rsidP="00000A8D">
      <w:pPr>
        <w:autoSpaceDE w:val="0"/>
        <w:autoSpaceDN w:val="0"/>
        <w:adjustRightInd w:val="0"/>
        <w:jc w:val="both"/>
      </w:pPr>
    </w:p>
    <w:p w:rsidR="00831567" w:rsidRDefault="00831567" w:rsidP="00000A8D">
      <w:pPr>
        <w:autoSpaceDE w:val="0"/>
        <w:autoSpaceDN w:val="0"/>
        <w:adjustRightInd w:val="0"/>
        <w:jc w:val="both"/>
      </w:pPr>
      <w:r w:rsidRPr="0059597B">
        <w:t xml:space="preserve">MANKIW, N. G., ROMER, D., WEIL, D. </w:t>
      </w:r>
      <w:r w:rsidRPr="00787F94">
        <w:rPr>
          <w:b/>
          <w:i/>
        </w:rPr>
        <w:t>A contribution to the empirics of economic growth</w:t>
      </w:r>
      <w:r w:rsidRPr="00787F94">
        <w:rPr>
          <w:i/>
        </w:rPr>
        <w:t xml:space="preserve">. </w:t>
      </w:r>
      <w:r w:rsidRPr="00787F94">
        <w:rPr>
          <w:i/>
          <w:iCs/>
        </w:rPr>
        <w:t>The Quarterly Journal of Economics</w:t>
      </w:r>
      <w:r w:rsidRPr="00787F94">
        <w:rPr>
          <w:i/>
        </w:rPr>
        <w:t>,</w:t>
      </w:r>
      <w:r w:rsidRPr="0059597B">
        <w:t xml:space="preserve"> v.107, n.2, p.407- 437, 1992.</w:t>
      </w:r>
    </w:p>
    <w:p w:rsidR="006D0300" w:rsidRDefault="006D0300" w:rsidP="00000A8D">
      <w:pPr>
        <w:autoSpaceDE w:val="0"/>
        <w:autoSpaceDN w:val="0"/>
        <w:adjustRightInd w:val="0"/>
        <w:jc w:val="both"/>
      </w:pPr>
    </w:p>
    <w:p w:rsidR="006D0300" w:rsidRPr="006D0300" w:rsidRDefault="006D0300" w:rsidP="006D0300">
      <w:pPr>
        <w:autoSpaceDE w:val="0"/>
        <w:autoSpaceDN w:val="0"/>
        <w:adjustRightInd w:val="0"/>
        <w:jc w:val="both"/>
      </w:pPr>
      <w:r w:rsidRPr="006D0300">
        <w:t xml:space="preserve">MILLER, S. M.; MUKTI P. U. </w:t>
      </w:r>
      <w:r w:rsidRPr="006D0300">
        <w:rPr>
          <w:b/>
          <w:i/>
        </w:rPr>
        <w:t>The effects of openness, trade orientation, and human capital on total factor productivity</w:t>
      </w:r>
      <w:r w:rsidRPr="006D0300">
        <w:rPr>
          <w:i/>
        </w:rPr>
        <w:t xml:space="preserve">. </w:t>
      </w:r>
      <w:r w:rsidRPr="006D0300">
        <w:rPr>
          <w:bCs/>
          <w:i/>
        </w:rPr>
        <w:t>Journal</w:t>
      </w:r>
      <w:r w:rsidRPr="006D0300">
        <w:rPr>
          <w:i/>
        </w:rPr>
        <w:t xml:space="preserve"> </w:t>
      </w:r>
      <w:r w:rsidRPr="006D0300">
        <w:rPr>
          <w:bCs/>
          <w:i/>
        </w:rPr>
        <w:t>of Development Economics</w:t>
      </w:r>
      <w:r w:rsidRPr="006D0300">
        <w:rPr>
          <w:i/>
        </w:rPr>
        <w:t>, Amsterdam</w:t>
      </w:r>
      <w:r w:rsidRPr="006D0300">
        <w:t>, v. 63, p.399-423. 2000.</w:t>
      </w:r>
    </w:p>
    <w:p w:rsidR="00831567" w:rsidRPr="0059597B" w:rsidRDefault="00831567" w:rsidP="00000A8D">
      <w:pPr>
        <w:autoSpaceDE w:val="0"/>
        <w:autoSpaceDN w:val="0"/>
        <w:adjustRightInd w:val="0"/>
        <w:jc w:val="both"/>
      </w:pPr>
    </w:p>
    <w:p w:rsidR="00831567" w:rsidRDefault="00831567" w:rsidP="00000A8D">
      <w:pPr>
        <w:autoSpaceDE w:val="0"/>
        <w:autoSpaceDN w:val="0"/>
        <w:adjustRightInd w:val="0"/>
        <w:jc w:val="both"/>
        <w:rPr>
          <w:b/>
          <w:bCs/>
        </w:rPr>
      </w:pPr>
      <w:r w:rsidRPr="0059597B">
        <w:t>NAKABASHI, Luciano</w:t>
      </w:r>
      <w:r w:rsidRPr="0059597B">
        <w:rPr>
          <w:b/>
        </w:rPr>
        <w:t>. Três Ensaios Sobre Capital Humano e Renda por Trabalhador</w:t>
      </w:r>
      <w:r w:rsidRPr="0059597B">
        <w:t xml:space="preserve">. </w:t>
      </w:r>
      <w:r w:rsidRPr="0059597B">
        <w:rPr>
          <w:bCs/>
        </w:rPr>
        <w:t>Tese de doutorado: CEDEPLAR – UFMG. 2005.</w:t>
      </w:r>
      <w:r w:rsidRPr="0059597B">
        <w:rPr>
          <w:b/>
          <w:bCs/>
        </w:rPr>
        <w:t xml:space="preserve"> </w:t>
      </w:r>
    </w:p>
    <w:p w:rsidR="00002650" w:rsidRDefault="00002650" w:rsidP="00000A8D">
      <w:pPr>
        <w:autoSpaceDE w:val="0"/>
        <w:autoSpaceDN w:val="0"/>
        <w:adjustRightInd w:val="0"/>
        <w:jc w:val="both"/>
        <w:rPr>
          <w:b/>
          <w:bCs/>
        </w:rPr>
      </w:pPr>
    </w:p>
    <w:p w:rsidR="00002650" w:rsidRDefault="00002650" w:rsidP="00002650">
      <w:pPr>
        <w:pStyle w:val="Default"/>
        <w:jc w:val="both"/>
        <w:rPr>
          <w:rStyle w:val="CitaoHTML"/>
        </w:rPr>
      </w:pPr>
      <w:r w:rsidRPr="00002650">
        <w:rPr>
          <w:bCs/>
        </w:rPr>
        <w:t>PEREIRA, A. E. G, NAKABASHI, L. e SACHSIDA, A</w:t>
      </w:r>
      <w:r>
        <w:rPr>
          <w:b/>
          <w:bCs/>
        </w:rPr>
        <w:t xml:space="preserve">. </w:t>
      </w:r>
      <w:r>
        <w:rPr>
          <w:b/>
          <w:bCs/>
          <w:sz w:val="23"/>
          <w:szCs w:val="23"/>
        </w:rPr>
        <w:t xml:space="preserve">Qualidade das Instituições e PIB </w:t>
      </w:r>
      <w:r>
        <w:rPr>
          <w:b/>
          <w:bCs/>
          <w:i/>
          <w:iCs/>
          <w:sz w:val="23"/>
          <w:szCs w:val="23"/>
        </w:rPr>
        <w:t xml:space="preserve">per capita </w:t>
      </w:r>
      <w:r>
        <w:rPr>
          <w:b/>
          <w:bCs/>
          <w:sz w:val="23"/>
          <w:szCs w:val="23"/>
        </w:rPr>
        <w:t xml:space="preserve">nos Municípios Brasileiros. </w:t>
      </w:r>
      <w:r w:rsidRPr="00002650">
        <w:rPr>
          <w:bCs/>
          <w:sz w:val="23"/>
          <w:szCs w:val="23"/>
        </w:rPr>
        <w:t>Disponível em:</w:t>
      </w:r>
      <w:r>
        <w:rPr>
          <w:b/>
          <w:bCs/>
          <w:sz w:val="23"/>
          <w:szCs w:val="23"/>
        </w:rPr>
        <w:t xml:space="preserve"> </w:t>
      </w:r>
      <w:hyperlink r:id="rId62" w:history="1">
        <w:r w:rsidRPr="00002650">
          <w:rPr>
            <w:rStyle w:val="Hyperlink"/>
            <w:i/>
            <w:color w:val="auto"/>
            <w:u w:val="none"/>
          </w:rPr>
          <w:t>http://www.economiaetecnologia.ufpr.br/textos_discussao/texto_para_discussao_ano_2010_texto_12.pdf</w:t>
        </w:r>
      </w:hyperlink>
      <w:r>
        <w:rPr>
          <w:rStyle w:val="CitaoHTML"/>
        </w:rPr>
        <w:t xml:space="preserve"> 2010.</w:t>
      </w:r>
    </w:p>
    <w:p w:rsidR="00677FBF" w:rsidRDefault="00677FBF" w:rsidP="00000A8D">
      <w:pPr>
        <w:autoSpaceDE w:val="0"/>
        <w:autoSpaceDN w:val="0"/>
        <w:adjustRightInd w:val="0"/>
        <w:jc w:val="both"/>
        <w:rPr>
          <w:b/>
          <w:bCs/>
        </w:rPr>
      </w:pPr>
    </w:p>
    <w:p w:rsidR="00677FBF" w:rsidRDefault="00677FBF" w:rsidP="008151E5">
      <w:pPr>
        <w:pStyle w:val="Ttulo"/>
        <w:jc w:val="both"/>
        <w:rPr>
          <w:rFonts w:ascii="Times New Roman" w:hAnsi="Times New Roman" w:cs="Times New Roman"/>
          <w:b w:val="0"/>
          <w:sz w:val="24"/>
        </w:rPr>
      </w:pPr>
      <w:r w:rsidRPr="00677FBF">
        <w:rPr>
          <w:rFonts w:ascii="Times New Roman" w:hAnsi="Times New Roman" w:cs="Times New Roman"/>
          <w:b w:val="0"/>
          <w:i w:val="0"/>
          <w:sz w:val="24"/>
        </w:rPr>
        <w:t>PINDYCK, Robert S. e RUBINFELD, Daniel S</w:t>
      </w:r>
      <w:r w:rsidRPr="00677FBF">
        <w:rPr>
          <w:rFonts w:ascii="Times New Roman" w:hAnsi="Times New Roman" w:cs="Times New Roman"/>
          <w:b w:val="0"/>
          <w:sz w:val="24"/>
        </w:rPr>
        <w:t xml:space="preserve">. </w:t>
      </w:r>
      <w:r w:rsidRPr="00677FBF">
        <w:rPr>
          <w:rFonts w:ascii="Times New Roman" w:hAnsi="Times New Roman" w:cs="Times New Roman"/>
          <w:sz w:val="24"/>
        </w:rPr>
        <w:t>ECONOMETRIA: Modelos &amp; Previsões</w:t>
      </w:r>
      <w:r w:rsidRPr="00677FBF">
        <w:rPr>
          <w:rFonts w:ascii="Times New Roman" w:hAnsi="Times New Roman" w:cs="Times New Roman"/>
          <w:b w:val="0"/>
          <w:sz w:val="24"/>
        </w:rPr>
        <w:t>. Rio de Janeiro: Elsevier, 2004.</w:t>
      </w:r>
    </w:p>
    <w:p w:rsidR="00687085" w:rsidRDefault="00687085" w:rsidP="008151E5">
      <w:pPr>
        <w:pStyle w:val="Ttulo"/>
        <w:jc w:val="both"/>
        <w:rPr>
          <w:rFonts w:ascii="Times New Roman" w:hAnsi="Times New Roman" w:cs="Times New Roman"/>
          <w:b w:val="0"/>
          <w:sz w:val="24"/>
        </w:rPr>
      </w:pPr>
    </w:p>
    <w:p w:rsidR="00687085" w:rsidRPr="008151E5" w:rsidRDefault="00687085" w:rsidP="008151E5">
      <w:pPr>
        <w:autoSpaceDE w:val="0"/>
        <w:autoSpaceDN w:val="0"/>
        <w:adjustRightInd w:val="0"/>
        <w:jc w:val="both"/>
        <w:rPr>
          <w:rFonts w:ascii="TimesNewRoman" w:hAnsi="TimesNewRoman" w:cs="TimesNewRoman"/>
          <w:b/>
          <w:i/>
          <w:sz w:val="23"/>
          <w:szCs w:val="23"/>
        </w:rPr>
      </w:pPr>
      <w:r>
        <w:rPr>
          <w:rFonts w:ascii="TimesNewRoman" w:hAnsi="TimesNewRoman" w:cs="TimesNewRoman"/>
          <w:sz w:val="23"/>
          <w:szCs w:val="23"/>
        </w:rPr>
        <w:t xml:space="preserve">REY, J. S., e MONTOURI, B. D. </w:t>
      </w:r>
      <w:r w:rsidRPr="00687085">
        <w:rPr>
          <w:rFonts w:ascii="TimesNewRoman" w:hAnsi="TimesNewRoman" w:cs="TimesNewRoman"/>
          <w:b/>
          <w:i/>
          <w:sz w:val="23"/>
          <w:szCs w:val="23"/>
        </w:rPr>
        <w:t>US Regional income convergence: a spatial sconometric</w:t>
      </w:r>
      <w:r w:rsidR="008151E5">
        <w:rPr>
          <w:rFonts w:ascii="TimesNewRoman" w:hAnsi="TimesNewRoman" w:cs="TimesNewRoman"/>
          <w:b/>
          <w:i/>
          <w:sz w:val="23"/>
          <w:szCs w:val="23"/>
        </w:rPr>
        <w:t xml:space="preserve"> </w:t>
      </w:r>
      <w:r w:rsidRPr="00687085">
        <w:rPr>
          <w:rFonts w:ascii="TimesNewRoman" w:hAnsi="TimesNewRoman" w:cs="TimesNewRoman"/>
          <w:sz w:val="23"/>
          <w:szCs w:val="23"/>
        </w:rPr>
        <w:t xml:space="preserve">perspective. </w:t>
      </w:r>
      <w:r w:rsidRPr="00687085">
        <w:rPr>
          <w:rFonts w:ascii="TimesNewRoman,Bold" w:hAnsi="TimesNewRoman,Bold" w:cs="TimesNewRoman,Bold"/>
          <w:sz w:val="23"/>
          <w:szCs w:val="23"/>
        </w:rPr>
        <w:t>Regional Studies</w:t>
      </w:r>
      <w:r w:rsidRPr="00687085">
        <w:rPr>
          <w:rFonts w:ascii="TimesNewRoman" w:hAnsi="TimesNewRoman" w:cs="TimesNewRoman"/>
          <w:sz w:val="23"/>
          <w:szCs w:val="23"/>
        </w:rPr>
        <w:t>, vol. 33, n. 2, p. 143-156, 1999.</w:t>
      </w:r>
    </w:p>
    <w:p w:rsidR="00831567" w:rsidRPr="0059597B" w:rsidRDefault="00831567" w:rsidP="008151E5">
      <w:pPr>
        <w:autoSpaceDE w:val="0"/>
        <w:autoSpaceDN w:val="0"/>
        <w:adjustRightInd w:val="0"/>
        <w:jc w:val="both"/>
        <w:rPr>
          <w:b/>
          <w:bCs/>
        </w:rPr>
      </w:pPr>
    </w:p>
    <w:p w:rsidR="00831567" w:rsidRDefault="00831567" w:rsidP="008151E5">
      <w:pPr>
        <w:autoSpaceDE w:val="0"/>
        <w:autoSpaceDN w:val="0"/>
        <w:adjustRightInd w:val="0"/>
        <w:jc w:val="both"/>
        <w:rPr>
          <w:bCs/>
        </w:rPr>
      </w:pPr>
      <w:r w:rsidRPr="0059597B">
        <w:rPr>
          <w:bCs/>
        </w:rPr>
        <w:t xml:space="preserve">ROMER, David. </w:t>
      </w:r>
      <w:r w:rsidRPr="0059597B">
        <w:rPr>
          <w:b/>
          <w:bCs/>
          <w:i/>
        </w:rPr>
        <w:t>Advanced Macroeconomics</w:t>
      </w:r>
      <w:r w:rsidRPr="0059597B">
        <w:rPr>
          <w:bCs/>
        </w:rPr>
        <w:t xml:space="preserve">. </w:t>
      </w:r>
      <w:r w:rsidR="00787F94" w:rsidRPr="00787F94">
        <w:rPr>
          <w:bCs/>
          <w:i/>
        </w:rPr>
        <w:t>McGraw – Hill Advanced Series in Economics</w:t>
      </w:r>
      <w:r w:rsidR="00787F94">
        <w:rPr>
          <w:bCs/>
        </w:rPr>
        <w:t xml:space="preserve">. </w:t>
      </w:r>
      <w:r w:rsidRPr="0059597B">
        <w:rPr>
          <w:bCs/>
        </w:rPr>
        <w:t>1996</w:t>
      </w:r>
    </w:p>
    <w:p w:rsidR="008151E5" w:rsidRDefault="008151E5" w:rsidP="008151E5">
      <w:pPr>
        <w:autoSpaceDE w:val="0"/>
        <w:autoSpaceDN w:val="0"/>
        <w:adjustRightInd w:val="0"/>
        <w:jc w:val="both"/>
      </w:pPr>
    </w:p>
    <w:p w:rsidR="008151E5" w:rsidRPr="008151E5" w:rsidRDefault="008151E5" w:rsidP="008151E5">
      <w:pPr>
        <w:autoSpaceDE w:val="0"/>
        <w:autoSpaceDN w:val="0"/>
        <w:adjustRightInd w:val="0"/>
        <w:jc w:val="both"/>
        <w:rPr>
          <w:bCs/>
        </w:rPr>
      </w:pPr>
      <w:r>
        <w:t xml:space="preserve">SIMON, C. P. e BLUME, L. </w:t>
      </w:r>
      <w:r w:rsidR="00621650">
        <w:rPr>
          <w:rStyle w:val="Forte"/>
        </w:rPr>
        <w:t xml:space="preserve">Matemática para Economistas. </w:t>
      </w:r>
      <w:r w:rsidR="00621650">
        <w:rPr>
          <w:sz w:val="23"/>
          <w:szCs w:val="23"/>
        </w:rPr>
        <w:t>Artmed Editora S. A. 2004.</w:t>
      </w:r>
    </w:p>
    <w:p w:rsidR="00831567" w:rsidRPr="0059597B" w:rsidRDefault="00831567" w:rsidP="008151E5">
      <w:pPr>
        <w:jc w:val="both"/>
      </w:pPr>
    </w:p>
    <w:p w:rsidR="00831567" w:rsidRPr="0059597B" w:rsidRDefault="00831567" w:rsidP="008151E5">
      <w:pPr>
        <w:autoSpaceDE w:val="0"/>
        <w:autoSpaceDN w:val="0"/>
        <w:adjustRightInd w:val="0"/>
        <w:jc w:val="both"/>
        <w:rPr>
          <w:lang w:val="en-US"/>
        </w:rPr>
      </w:pPr>
      <w:r w:rsidRPr="0059597B">
        <w:rPr>
          <w:lang w:val="en-US"/>
        </w:rPr>
        <w:t xml:space="preserve">SOLOW, Robert M. </w:t>
      </w:r>
      <w:r w:rsidRPr="0059597B">
        <w:rPr>
          <w:b/>
          <w:i/>
          <w:lang w:val="en-US"/>
        </w:rPr>
        <w:t>A contribution to the theory of economic growth</w:t>
      </w:r>
      <w:r w:rsidRPr="0059597B">
        <w:rPr>
          <w:i/>
          <w:lang w:val="en-US"/>
        </w:rPr>
        <w:t>. Quarterly Journal of Economics, February</w:t>
      </w:r>
      <w:r w:rsidRPr="0059597B">
        <w:rPr>
          <w:lang w:val="en-US"/>
        </w:rPr>
        <w:t>, 1956, pp. 65-94.</w:t>
      </w:r>
    </w:p>
    <w:p w:rsidR="00831567" w:rsidRPr="0059597B" w:rsidRDefault="00831567" w:rsidP="008151E5">
      <w:pPr>
        <w:autoSpaceDE w:val="0"/>
        <w:autoSpaceDN w:val="0"/>
        <w:adjustRightInd w:val="0"/>
        <w:jc w:val="both"/>
        <w:rPr>
          <w:lang w:val="en-US"/>
        </w:rPr>
      </w:pPr>
    </w:p>
    <w:p w:rsidR="00831567" w:rsidRPr="0059597B" w:rsidRDefault="00831567" w:rsidP="008151E5">
      <w:pPr>
        <w:autoSpaceDE w:val="0"/>
        <w:autoSpaceDN w:val="0"/>
        <w:adjustRightInd w:val="0"/>
        <w:jc w:val="both"/>
      </w:pPr>
      <w:r w:rsidRPr="0059597B">
        <w:rPr>
          <w:lang w:val="en-US"/>
        </w:rPr>
        <w:t xml:space="preserve">SOLOW, Robert M. </w:t>
      </w:r>
      <w:r w:rsidRPr="0059597B">
        <w:rPr>
          <w:b/>
          <w:lang w:val="en-US"/>
        </w:rPr>
        <w:t>Technical change and the aggregate production function</w:t>
      </w:r>
      <w:r w:rsidRPr="0059597B">
        <w:rPr>
          <w:lang w:val="en-US"/>
        </w:rPr>
        <w:t>. Review of Economics and Statistics, 39, August, 1957, pp. 312-</w:t>
      </w:r>
      <w:r w:rsidRPr="0059597B">
        <w:t>320.</w:t>
      </w:r>
    </w:p>
    <w:p w:rsidR="00831567" w:rsidRPr="0059597B" w:rsidRDefault="00831567" w:rsidP="008151E5">
      <w:pPr>
        <w:autoSpaceDE w:val="0"/>
        <w:autoSpaceDN w:val="0"/>
        <w:adjustRightInd w:val="0"/>
        <w:jc w:val="both"/>
      </w:pPr>
    </w:p>
    <w:p w:rsidR="00831567" w:rsidRPr="0059597B" w:rsidRDefault="00831567" w:rsidP="00000A8D">
      <w:pPr>
        <w:autoSpaceDE w:val="0"/>
        <w:autoSpaceDN w:val="0"/>
        <w:adjustRightInd w:val="0"/>
        <w:jc w:val="both"/>
      </w:pPr>
      <w:r w:rsidRPr="0059597B">
        <w:t xml:space="preserve">SUMMERS, R., HESTON, A. </w:t>
      </w:r>
      <w:r w:rsidRPr="0059597B">
        <w:rPr>
          <w:b/>
          <w:i/>
        </w:rPr>
        <w:t>A new set of international comparisons of real product and price levels: estimates for 130 countries</w:t>
      </w:r>
      <w:r w:rsidRPr="0059597B">
        <w:t xml:space="preserve">. </w:t>
      </w:r>
      <w:r w:rsidRPr="0059597B">
        <w:rPr>
          <w:i/>
          <w:iCs/>
        </w:rPr>
        <w:t>Review of Income and Wealth</w:t>
      </w:r>
      <w:r w:rsidRPr="0059597B">
        <w:t>, v.4, n.1, p.1-25, 1988.</w:t>
      </w:r>
    </w:p>
    <w:p w:rsidR="00831567" w:rsidRPr="0059597B" w:rsidRDefault="00831567" w:rsidP="00000A8D">
      <w:pPr>
        <w:autoSpaceDE w:val="0"/>
        <w:autoSpaceDN w:val="0"/>
        <w:adjustRightInd w:val="0"/>
        <w:jc w:val="both"/>
      </w:pPr>
    </w:p>
    <w:p w:rsidR="00AC6A60" w:rsidRDefault="00831567" w:rsidP="002E75BF">
      <w:pPr>
        <w:autoSpaceDE w:val="0"/>
        <w:autoSpaceDN w:val="0"/>
        <w:adjustRightInd w:val="0"/>
        <w:jc w:val="both"/>
      </w:pPr>
      <w:r w:rsidRPr="0059597B">
        <w:t xml:space="preserve">TAVARES, Jean Max, ATALIBA, Flávio e CASTELAR, Ivan. </w:t>
      </w:r>
      <w:r w:rsidRPr="0059597B">
        <w:rPr>
          <w:b/>
        </w:rPr>
        <w:t>Mensuração da Produtividade Total dos Fatores para os Estados Brasileiros, sua Contribuição ao Crescimento do Produto e Influência da Educação: 1986-</w:t>
      </w:r>
      <w:r w:rsidRPr="002E75BF">
        <w:rPr>
          <w:b/>
        </w:rPr>
        <w:t>1998</w:t>
      </w:r>
      <w:r w:rsidRPr="002E75BF">
        <w:t xml:space="preserve">. </w:t>
      </w:r>
      <w:r w:rsidR="002E75BF" w:rsidRPr="002E75BF">
        <w:t>Revista Econômica do Nordeste, Fortaleza, v. 32, n. Especial p. 633-653, novembro 2001</w:t>
      </w:r>
      <w:r w:rsidR="00C03257">
        <w:t>.</w:t>
      </w:r>
    </w:p>
    <w:p w:rsidR="00C03257" w:rsidRDefault="00C03257" w:rsidP="002E75BF">
      <w:pPr>
        <w:autoSpaceDE w:val="0"/>
        <w:autoSpaceDN w:val="0"/>
        <w:adjustRightInd w:val="0"/>
        <w:jc w:val="both"/>
      </w:pPr>
    </w:p>
    <w:p w:rsidR="00C03257" w:rsidRPr="00C03257" w:rsidRDefault="00C03257" w:rsidP="00C03257">
      <w:pPr>
        <w:autoSpaceDE w:val="0"/>
        <w:autoSpaceDN w:val="0"/>
        <w:adjustRightInd w:val="0"/>
        <w:jc w:val="both"/>
        <w:rPr>
          <w:b/>
          <w:bCs/>
        </w:rPr>
      </w:pPr>
      <w:r>
        <w:t xml:space="preserve">VALLEJOS, L.; VALDIVIA, L. </w:t>
      </w:r>
      <w:r w:rsidRPr="00C03257">
        <w:rPr>
          <w:b/>
          <w:bCs/>
          <w:i/>
        </w:rPr>
        <w:t>Productivity growth in Peru</w:t>
      </w:r>
      <w:r w:rsidRPr="00C03257">
        <w:rPr>
          <w:i/>
        </w:rPr>
        <w:t>: 1950 – 1998. Santiago:</w:t>
      </w:r>
      <w:r w:rsidRPr="00C03257">
        <w:rPr>
          <w:b/>
          <w:bCs/>
          <w:i/>
        </w:rPr>
        <w:t xml:space="preserve"> </w:t>
      </w:r>
      <w:r w:rsidRPr="00C03257">
        <w:rPr>
          <w:i/>
        </w:rPr>
        <w:t>Interamerican Development Bank</w:t>
      </w:r>
      <w:r>
        <w:t>, 2000.</w:t>
      </w:r>
      <w:r>
        <w:rPr>
          <w:b/>
          <w:bCs/>
        </w:rPr>
        <w:t xml:space="preserve"> </w:t>
      </w:r>
      <w:r>
        <w:t>(</w:t>
      </w:r>
      <w:r w:rsidRPr="00C03257">
        <w:rPr>
          <w:i/>
        </w:rPr>
        <w:t>Serie de Documentos de Trabajo</w:t>
      </w:r>
      <w:r>
        <w:t xml:space="preserve"> nº 355). 2000.</w:t>
      </w:r>
    </w:p>
    <w:sectPr w:rsidR="00C03257" w:rsidRPr="00C03257" w:rsidSect="00530E3A">
      <w:footerReference w:type="even" r:id="rId63"/>
      <w:footerReference w:type="default" r:id="rId6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25E" w:rsidRDefault="006D125E">
      <w:r>
        <w:separator/>
      </w:r>
    </w:p>
  </w:endnote>
  <w:endnote w:type="continuationSeparator" w:id="1">
    <w:p w:rsidR="006D125E" w:rsidRDefault="006D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8" w:csb1="00000000"/>
  </w:font>
  <w:font w:name="TimesNewRoman,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E6" w:rsidRDefault="00D2285D" w:rsidP="00593CA7">
    <w:pPr>
      <w:pStyle w:val="Rodap"/>
      <w:framePr w:wrap="around" w:vAnchor="text" w:hAnchor="margin" w:xAlign="right" w:y="1"/>
      <w:rPr>
        <w:rStyle w:val="Nmerodepgina"/>
      </w:rPr>
    </w:pPr>
    <w:r>
      <w:rPr>
        <w:rStyle w:val="Nmerodepgina"/>
      </w:rPr>
      <w:fldChar w:fldCharType="begin"/>
    </w:r>
    <w:r w:rsidR="00AC40E6">
      <w:rPr>
        <w:rStyle w:val="Nmerodepgina"/>
      </w:rPr>
      <w:instrText xml:space="preserve">PAGE  </w:instrText>
    </w:r>
    <w:r>
      <w:rPr>
        <w:rStyle w:val="Nmerodepgina"/>
      </w:rPr>
      <w:fldChar w:fldCharType="end"/>
    </w:r>
  </w:p>
  <w:p w:rsidR="00AC40E6" w:rsidRDefault="00AC40E6" w:rsidP="00C304D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E6" w:rsidRDefault="00D2285D" w:rsidP="00593CA7">
    <w:pPr>
      <w:pStyle w:val="Rodap"/>
      <w:framePr w:wrap="around" w:vAnchor="text" w:hAnchor="margin" w:xAlign="right" w:y="1"/>
      <w:rPr>
        <w:rStyle w:val="Nmerodepgina"/>
      </w:rPr>
    </w:pPr>
    <w:r>
      <w:rPr>
        <w:rStyle w:val="Nmerodepgina"/>
      </w:rPr>
      <w:fldChar w:fldCharType="begin"/>
    </w:r>
    <w:r w:rsidR="00AC40E6">
      <w:rPr>
        <w:rStyle w:val="Nmerodepgina"/>
      </w:rPr>
      <w:instrText xml:space="preserve">PAGE  </w:instrText>
    </w:r>
    <w:r>
      <w:rPr>
        <w:rStyle w:val="Nmerodepgina"/>
      </w:rPr>
      <w:fldChar w:fldCharType="separate"/>
    </w:r>
    <w:r w:rsidR="00EA6305">
      <w:rPr>
        <w:rStyle w:val="Nmerodepgina"/>
        <w:noProof/>
      </w:rPr>
      <w:t>2</w:t>
    </w:r>
    <w:r>
      <w:rPr>
        <w:rStyle w:val="Nmerodepgina"/>
      </w:rPr>
      <w:fldChar w:fldCharType="end"/>
    </w:r>
  </w:p>
  <w:p w:rsidR="00AC40E6" w:rsidRDefault="00AC40E6" w:rsidP="00C304D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25E" w:rsidRDefault="006D125E">
      <w:r>
        <w:separator/>
      </w:r>
    </w:p>
  </w:footnote>
  <w:footnote w:type="continuationSeparator" w:id="1">
    <w:p w:rsidR="006D125E" w:rsidRDefault="006D125E">
      <w:r>
        <w:continuationSeparator/>
      </w:r>
    </w:p>
  </w:footnote>
  <w:footnote w:id="2">
    <w:p w:rsidR="00AC40E6" w:rsidRDefault="00AC40E6">
      <w:pPr>
        <w:pStyle w:val="Textodenotaderodap"/>
      </w:pPr>
      <w:r>
        <w:rPr>
          <w:rStyle w:val="Refdenotaderodap"/>
        </w:rPr>
        <w:footnoteRef/>
      </w:r>
      <w:r>
        <w:t xml:space="preserve"> Doutorando em Economia Aplicada pela </w:t>
      </w:r>
      <w:r w:rsidR="004207D3">
        <w:t>Universidade Federal de Juiz de Fora (</w:t>
      </w:r>
      <w:r>
        <w:t>PPGE/</w:t>
      </w:r>
      <w:r w:rsidR="004207D3">
        <w:t>FE/</w:t>
      </w:r>
      <w:r>
        <w:t>UFJF</w:t>
      </w:r>
      <w:r w:rsidR="004207D3">
        <w:t>)</w:t>
      </w:r>
      <w:r>
        <w:t>.</w:t>
      </w:r>
    </w:p>
  </w:footnote>
  <w:footnote w:id="3">
    <w:p w:rsidR="00AC40E6" w:rsidRPr="008653C0" w:rsidRDefault="00AC40E6" w:rsidP="008653C0">
      <w:pPr>
        <w:autoSpaceDE w:val="0"/>
        <w:autoSpaceDN w:val="0"/>
        <w:adjustRightInd w:val="0"/>
        <w:jc w:val="both"/>
        <w:rPr>
          <w:sz w:val="20"/>
          <w:szCs w:val="20"/>
        </w:rPr>
      </w:pPr>
      <w:r w:rsidRPr="008653C0">
        <w:rPr>
          <w:rStyle w:val="Refdenotaderodap"/>
          <w:sz w:val="20"/>
          <w:szCs w:val="20"/>
        </w:rPr>
        <w:footnoteRef/>
      </w:r>
      <w:r w:rsidRPr="008653C0">
        <w:rPr>
          <w:sz w:val="20"/>
          <w:szCs w:val="20"/>
        </w:rPr>
        <w:t xml:space="preserve"> </w:t>
      </w:r>
      <w:r w:rsidR="008653C0" w:rsidRPr="008653C0">
        <w:rPr>
          <w:sz w:val="20"/>
          <w:szCs w:val="20"/>
        </w:rPr>
        <w:t xml:space="preserve">Professor do Programa de Pós-Graduação em Economia Aplicada, Universidade Federal </w:t>
      </w:r>
      <w:r w:rsidR="004207D3">
        <w:rPr>
          <w:sz w:val="20"/>
          <w:szCs w:val="20"/>
        </w:rPr>
        <w:t>de Juiz de Fora (PPGEA/FE/UFJF).</w:t>
      </w:r>
    </w:p>
  </w:footnote>
  <w:footnote w:id="4">
    <w:p w:rsidR="00AC40E6" w:rsidRDefault="00AC40E6">
      <w:pPr>
        <w:pStyle w:val="Textodenotaderodap"/>
      </w:pPr>
      <w:r>
        <w:rPr>
          <w:rStyle w:val="Refdenotaderodap"/>
        </w:rPr>
        <w:footnoteRef/>
      </w:r>
      <w:r>
        <w:t xml:space="preserve"> Os modelos de crescimento propostos neste trabalho são bem discutidos em Romer (1996).</w:t>
      </w:r>
    </w:p>
  </w:footnote>
  <w:footnote w:id="5">
    <w:p w:rsidR="00AC40E6" w:rsidRDefault="00AC40E6">
      <w:pPr>
        <w:pStyle w:val="Textodenotaderodap"/>
      </w:pPr>
      <w:r>
        <w:rPr>
          <w:rStyle w:val="Refdenotaderodap"/>
        </w:rPr>
        <w:footnoteRef/>
      </w:r>
      <w:r>
        <w:t xml:space="preserve"> Quando </w:t>
      </w:r>
      <w:r>
        <w:sym w:font="Symbol" w:char="F061"/>
      </w:r>
      <w:r>
        <w:t>+</w:t>
      </w:r>
      <w:r>
        <w:sym w:font="Symbol" w:char="F062"/>
      </w:r>
      <w:r>
        <w:t>+</w:t>
      </w:r>
      <w:r>
        <w:sym w:font="Symbol" w:char="F071"/>
      </w:r>
      <w:r>
        <w:t xml:space="preserve"> = 1.</w:t>
      </w:r>
    </w:p>
  </w:footnote>
  <w:footnote w:id="6">
    <w:p w:rsidR="00AC40E6" w:rsidRPr="000A4A41" w:rsidRDefault="00AC40E6" w:rsidP="00FB3208">
      <w:pPr>
        <w:jc w:val="both"/>
        <w:rPr>
          <w:sz w:val="20"/>
          <w:szCs w:val="20"/>
        </w:rPr>
      </w:pPr>
      <w:r w:rsidRPr="000A4A41">
        <w:rPr>
          <w:sz w:val="20"/>
          <w:szCs w:val="20"/>
          <w:vertAlign w:val="superscript"/>
        </w:rPr>
        <w:footnoteRef/>
      </w:r>
      <w:r w:rsidRPr="000A4A41">
        <w:rPr>
          <w:sz w:val="20"/>
          <w:szCs w:val="20"/>
        </w:rPr>
        <w:t xml:space="preserve"> Maiores detalhes sobre a estimação de modelos intrinsecamente lineares (que podem ser linearizados) em </w:t>
      </w:r>
      <w:r w:rsidRPr="008151E5">
        <w:rPr>
          <w:sz w:val="20"/>
          <w:szCs w:val="20"/>
        </w:rPr>
        <w:t xml:space="preserve">Pindyck e </w:t>
      </w:r>
      <w:hyperlink r:id="rId1" w:tgtFrame="_blank" w:tooltip="Oferta de Econometria - Rubinfeld, Daniel L.; Pindyck, Robert S." w:history="1">
        <w:r w:rsidRPr="008151E5">
          <w:rPr>
            <w:rStyle w:val="Hyperlink"/>
            <w:color w:val="auto"/>
            <w:sz w:val="20"/>
            <w:szCs w:val="20"/>
            <w:u w:val="none"/>
          </w:rPr>
          <w:t xml:space="preserve">Rubinfeld  </w:t>
        </w:r>
      </w:hyperlink>
      <w:r w:rsidRPr="008151E5">
        <w:rPr>
          <w:sz w:val="20"/>
          <w:szCs w:val="20"/>
        </w:rPr>
        <w:t xml:space="preserve"> (2004).</w:t>
      </w:r>
    </w:p>
  </w:footnote>
  <w:footnote w:id="7">
    <w:p w:rsidR="00AC40E6" w:rsidRDefault="00AC40E6" w:rsidP="00FB3208">
      <w:pPr>
        <w:pStyle w:val="Textodenotaderodap"/>
        <w:jc w:val="both"/>
      </w:pPr>
      <w:r>
        <w:rPr>
          <w:rStyle w:val="Refdenotaderodap"/>
        </w:rPr>
        <w:footnoteRef/>
      </w:r>
      <w:r>
        <w:t xml:space="preserve"> Sobre transformações </w:t>
      </w:r>
      <w:r w:rsidRPr="00621650">
        <w:t>monótonas, ver Simon &amp; Blume (2004).</w:t>
      </w:r>
    </w:p>
  </w:footnote>
  <w:footnote w:id="8">
    <w:p w:rsidR="00AC40E6" w:rsidRPr="00FB3208" w:rsidRDefault="00AC40E6" w:rsidP="00FB3208">
      <w:pPr>
        <w:pStyle w:val="Textodenotaderodap"/>
        <w:jc w:val="both"/>
      </w:pPr>
      <w:r>
        <w:rPr>
          <w:rStyle w:val="Refdenotaderodap"/>
        </w:rPr>
        <w:footnoteRef/>
      </w:r>
      <w:r>
        <w:t xml:space="preserve"> </w:t>
      </w:r>
      <w:r w:rsidRPr="00FB3208">
        <w:t>As variáveis</w:t>
      </w:r>
      <w:r>
        <w:t xml:space="preserve">: Y, K, L e H(b) </w:t>
      </w:r>
      <w:r w:rsidRPr="00FB3208">
        <w:t xml:space="preserve">utilizadas nas estimações, para os </w:t>
      </w:r>
      <w:r w:rsidRPr="00621650">
        <w:t xml:space="preserve">anos de 1991 e 2000, podem ser obtidas junto ao banco de dados do Instituto de Pesquisa Econômica Aplicada – IPEA (2008). Disponível </w:t>
      </w:r>
      <w:r w:rsidRPr="00621650">
        <w:rPr>
          <w:i/>
        </w:rPr>
        <w:t>on line</w:t>
      </w:r>
      <w:r w:rsidRPr="00621650">
        <w:t xml:space="preserve">: </w:t>
      </w:r>
      <w:hyperlink r:id="rId2" w:history="1">
        <w:r w:rsidRPr="00621650">
          <w:rPr>
            <w:rStyle w:val="Hyperlink"/>
            <w:color w:val="auto"/>
            <w:u w:val="none"/>
          </w:rPr>
          <w:t>www.</w:t>
        </w:r>
        <w:r w:rsidRPr="00621650">
          <w:rPr>
            <w:rStyle w:val="Hyperlink"/>
            <w:b/>
            <w:bCs/>
            <w:color w:val="auto"/>
            <w:u w:val="none"/>
          </w:rPr>
          <w:t>ipea</w:t>
        </w:r>
        <w:r w:rsidRPr="00621650">
          <w:rPr>
            <w:rStyle w:val="Hyperlink"/>
            <w:color w:val="auto"/>
            <w:u w:val="none"/>
          </w:rPr>
          <w:t>data.gov.br</w:t>
        </w:r>
      </w:hyperlink>
      <w:r w:rsidRPr="00621650">
        <w:rPr>
          <w:rStyle w:val="a"/>
        </w:rPr>
        <w:t>. A variável H(a) foi construída com base em dados do IPEA (2008) enquanto</w:t>
      </w:r>
      <w:r>
        <w:rPr>
          <w:rStyle w:val="a"/>
        </w:rPr>
        <w:t xml:space="preserve"> A foi obtida via estimação do resíduo de Solow.</w:t>
      </w:r>
    </w:p>
  </w:footnote>
  <w:footnote w:id="9">
    <w:p w:rsidR="00AC40E6" w:rsidRDefault="00AC40E6" w:rsidP="00C50CA6">
      <w:pPr>
        <w:pStyle w:val="Textodenotaderodap"/>
        <w:jc w:val="both"/>
      </w:pPr>
      <w:r>
        <w:rPr>
          <w:rStyle w:val="Refdenotaderodap"/>
        </w:rPr>
        <w:footnoteRef/>
      </w:r>
      <w:r>
        <w:t xml:space="preserve"> Foram também utilizadas as matrizes de pesos espaciais com K=10, K=15, K=20, além das convenções “Rainha” e “Torre” (Maiores detalhes sobre a determinação das matrizes de pesos espaciais em Anselin, 1988).</w:t>
      </w:r>
    </w:p>
  </w:footnote>
  <w:footnote w:id="10">
    <w:p w:rsidR="00AC40E6" w:rsidRDefault="00AC40E6">
      <w:pPr>
        <w:pStyle w:val="Textodenotaderodap"/>
      </w:pPr>
      <w:r>
        <w:rPr>
          <w:rStyle w:val="Refdenotaderodap"/>
        </w:rPr>
        <w:footnoteRef/>
      </w:r>
      <w:r>
        <w:t xml:space="preserve"> Cabe salientar que</w:t>
      </w:r>
      <w:r w:rsidRPr="006D3A3D">
        <w:t xml:space="preserve"> este</w:t>
      </w:r>
      <w:r>
        <w:t xml:space="preserve"> índice</w:t>
      </w:r>
      <w:r w:rsidRPr="006D3A3D">
        <w:t xml:space="preserve"> varia entre</w:t>
      </w:r>
      <w:r>
        <w:t xml:space="preserve">  </w:t>
      </w:r>
      <w:r w:rsidRPr="006D3A3D">
        <w:t xml:space="preserve">-1 e </w:t>
      </w:r>
      <w:r>
        <w:t>1.</w:t>
      </w:r>
    </w:p>
  </w:footnote>
  <w:footnote w:id="11">
    <w:p w:rsidR="00AC40E6" w:rsidRDefault="00AC40E6" w:rsidP="00C50CA6">
      <w:pPr>
        <w:pStyle w:val="Textodenotaderodap"/>
        <w:jc w:val="both"/>
      </w:pPr>
      <w:r>
        <w:rPr>
          <w:rStyle w:val="Refdenotaderodap"/>
        </w:rPr>
        <w:footnoteRef/>
      </w:r>
      <w:r>
        <w:t xml:space="preserve"> Existem outras estatísticas do tipo LISA na literatura além do I de moran Local. Tais como o c de Geary local e o Gama Local (ANSELIN, 1995).</w:t>
      </w:r>
    </w:p>
  </w:footnote>
  <w:footnote w:id="12">
    <w:p w:rsidR="00AC40E6" w:rsidRPr="00A754B0" w:rsidRDefault="00AC40E6" w:rsidP="00A754B0">
      <w:pPr>
        <w:autoSpaceDE w:val="0"/>
        <w:autoSpaceDN w:val="0"/>
        <w:adjustRightInd w:val="0"/>
        <w:jc w:val="both"/>
        <w:rPr>
          <w:sz w:val="19"/>
          <w:szCs w:val="19"/>
        </w:rPr>
      </w:pPr>
      <w:r>
        <w:rPr>
          <w:rStyle w:val="Refdenotaderodap"/>
        </w:rPr>
        <w:footnoteRef/>
      </w:r>
      <w:r>
        <w:t xml:space="preserve"> </w:t>
      </w:r>
      <w:r w:rsidRPr="00A754B0">
        <w:rPr>
          <w:sz w:val="20"/>
          <w:szCs w:val="20"/>
        </w:rPr>
        <w:t xml:space="preserve">Os níveis de significância das distribuições marginais </w:t>
      </w:r>
      <w:r>
        <w:rPr>
          <w:sz w:val="20"/>
          <w:szCs w:val="20"/>
        </w:rPr>
        <w:t>podem ser</w:t>
      </w:r>
      <w:r w:rsidRPr="00A754B0">
        <w:rPr>
          <w:sz w:val="20"/>
          <w:szCs w:val="20"/>
        </w:rPr>
        <w:t xml:space="preserve"> aproximados por intermédio das desigualdades de Bonferroni ou por meio da estrutura proposta por Sidák (1967) </w:t>
      </w:r>
      <w:r w:rsidRPr="00A754B0">
        <w:rPr>
          <w:i/>
          <w:iCs/>
          <w:sz w:val="20"/>
          <w:szCs w:val="20"/>
        </w:rPr>
        <w:t xml:space="preserve">apud in </w:t>
      </w:r>
      <w:r w:rsidRPr="00A754B0">
        <w:rPr>
          <w:sz w:val="20"/>
          <w:szCs w:val="20"/>
        </w:rPr>
        <w:t>Anselin (1995).</w:t>
      </w:r>
      <w:r>
        <w:rPr>
          <w:sz w:val="20"/>
          <w:szCs w:val="20"/>
        </w:rPr>
        <w:t xml:space="preserve"> </w:t>
      </w:r>
      <w:r>
        <w:rPr>
          <w:sz w:val="19"/>
          <w:szCs w:val="19"/>
        </w:rPr>
        <w:t>Neste trabalho, a análise de Bonferroni será utilizada.</w:t>
      </w:r>
    </w:p>
  </w:footnote>
  <w:footnote w:id="13">
    <w:p w:rsidR="00AC40E6" w:rsidRDefault="00AC40E6" w:rsidP="000A4A41">
      <w:pPr>
        <w:pStyle w:val="Textodenotaderodap"/>
        <w:jc w:val="both"/>
      </w:pPr>
      <w:r>
        <w:rPr>
          <w:rStyle w:val="Refdenotaderodap"/>
        </w:rPr>
        <w:footnoteRef/>
      </w:r>
      <w:r>
        <w:t xml:space="preserve"> O modelo MRW foi estimado duas vezes por MQO com diferentes “</w:t>
      </w:r>
      <w:r w:rsidRPr="008164FC">
        <w:rPr>
          <w:i/>
        </w:rPr>
        <w:t>proxies</w:t>
      </w:r>
      <w:r>
        <w:t>” representativas do capital humano, H(a) e H(b). Para maiores detalhes, rever seção 2.</w:t>
      </w:r>
    </w:p>
  </w:footnote>
  <w:footnote w:id="14">
    <w:p w:rsidR="00AC40E6" w:rsidRPr="0047140A" w:rsidRDefault="00AC40E6" w:rsidP="000A4A41">
      <w:pPr>
        <w:autoSpaceDE w:val="0"/>
        <w:autoSpaceDN w:val="0"/>
        <w:adjustRightInd w:val="0"/>
        <w:jc w:val="both"/>
        <w:rPr>
          <w:rFonts w:ascii="TimesNewRoman" w:hAnsi="TimesNewRoman" w:cs="TimesNewRoman"/>
          <w:sz w:val="20"/>
          <w:szCs w:val="20"/>
        </w:rPr>
      </w:pPr>
      <w:r>
        <w:rPr>
          <w:rStyle w:val="Refdenotaderodap"/>
        </w:rPr>
        <w:footnoteRef/>
      </w:r>
      <w:r>
        <w:t xml:space="preserve"> </w:t>
      </w:r>
      <w:r w:rsidRPr="0047140A">
        <w:rPr>
          <w:sz w:val="20"/>
          <w:szCs w:val="20"/>
        </w:rPr>
        <w:t xml:space="preserve">Lembrando que </w:t>
      </w:r>
      <w:r>
        <w:rPr>
          <w:sz w:val="20"/>
          <w:szCs w:val="20"/>
        </w:rPr>
        <w:t>“</w:t>
      </w:r>
      <w:r>
        <w:rPr>
          <w:sz w:val="20"/>
          <w:szCs w:val="20"/>
        </w:rPr>
        <w:sym w:font="Symbol" w:char="F065"/>
      </w:r>
      <w:r>
        <w:rPr>
          <w:sz w:val="20"/>
          <w:szCs w:val="20"/>
        </w:rPr>
        <w:t xml:space="preserve">” </w:t>
      </w:r>
      <w:r w:rsidRPr="0047140A">
        <w:rPr>
          <w:sz w:val="20"/>
          <w:szCs w:val="20"/>
        </w:rPr>
        <w:t>representa um termo de erro normalmente distribuído</w:t>
      </w:r>
      <w:r>
        <w:rPr>
          <w:sz w:val="20"/>
          <w:szCs w:val="20"/>
        </w:rPr>
        <w:t>,</w:t>
      </w:r>
      <w:r w:rsidRPr="0047140A">
        <w:rPr>
          <w:sz w:val="20"/>
          <w:szCs w:val="20"/>
        </w:rPr>
        <w:t xml:space="preserve"> com média zero e variância constante</w:t>
      </w:r>
      <w:r>
        <w:rPr>
          <w:sz w:val="20"/>
          <w:szCs w:val="20"/>
        </w:rPr>
        <w:t>.</w:t>
      </w:r>
    </w:p>
  </w:footnote>
  <w:footnote w:id="15">
    <w:p w:rsidR="00AC40E6" w:rsidRDefault="00AC40E6" w:rsidP="00D12136">
      <w:pPr>
        <w:pStyle w:val="Textodenotaderodap"/>
      </w:pPr>
      <w:r>
        <w:rPr>
          <w:rStyle w:val="Refdenotaderodap"/>
        </w:rPr>
        <w:footnoteRef/>
      </w:r>
      <w:r>
        <w:t xml:space="preserve"> Para maiores detalhes sobre a função de máxima verossimilhança (LIK), consultar Pindyck (2004).</w:t>
      </w:r>
    </w:p>
  </w:footnote>
  <w:footnote w:id="16">
    <w:p w:rsidR="00AC40E6" w:rsidRDefault="00AC40E6" w:rsidP="00D12136">
      <w:pPr>
        <w:pStyle w:val="Textodenotaderodap"/>
        <w:jc w:val="both"/>
      </w:pPr>
      <w:r>
        <w:rPr>
          <w:rStyle w:val="Refdenotaderodap"/>
        </w:rPr>
        <w:footnoteRef/>
      </w:r>
      <w:r>
        <w:t xml:space="preserve"> Para todos os testes referidos nesta seção ( Modelos e Analise de resultados) será adotado um nível de significância de 1%.</w:t>
      </w:r>
    </w:p>
  </w:footnote>
  <w:footnote w:id="17">
    <w:p w:rsidR="00AC40E6" w:rsidRDefault="00AC40E6" w:rsidP="00D12136">
      <w:pPr>
        <w:pStyle w:val="Textodenotaderodap"/>
      </w:pPr>
      <w:r>
        <w:rPr>
          <w:rStyle w:val="Refdenotaderodap"/>
        </w:rPr>
        <w:footnoteRef/>
      </w:r>
      <w:r>
        <w:t xml:space="preserve"> Para maiores detalhes sobre os critérios AIC e SC, consultar Pindyck (2004).</w:t>
      </w:r>
    </w:p>
  </w:footnote>
  <w:footnote w:id="18">
    <w:p w:rsidR="00AC40E6" w:rsidRPr="00421F33" w:rsidRDefault="00AC40E6" w:rsidP="00421F33">
      <w:pPr>
        <w:autoSpaceDE w:val="0"/>
        <w:autoSpaceDN w:val="0"/>
        <w:adjustRightInd w:val="0"/>
        <w:jc w:val="both"/>
        <w:rPr>
          <w:rFonts w:eastAsia="SymbolMT"/>
          <w:sz w:val="20"/>
          <w:szCs w:val="20"/>
        </w:rPr>
      </w:pPr>
      <w:r>
        <w:rPr>
          <w:rStyle w:val="Refdenotaderodap"/>
        </w:rPr>
        <w:footnoteRef/>
      </w:r>
      <w:r>
        <w:t xml:space="preserve"> </w:t>
      </w:r>
      <w:r w:rsidRPr="00421F33">
        <w:rPr>
          <w:sz w:val="20"/>
          <w:szCs w:val="20"/>
        </w:rPr>
        <w:t>O valor “</w:t>
      </w:r>
      <w:smartTag w:uri="urn:schemas-microsoft-com:office:smarttags" w:element="metricconverter">
        <w:smartTagPr>
          <w:attr w:name="ProductID" w:val="0”"/>
        </w:smartTagPr>
        <w:r w:rsidRPr="00421F33">
          <w:rPr>
            <w:sz w:val="20"/>
            <w:szCs w:val="20"/>
          </w:rPr>
          <w:t>0”</w:t>
        </w:r>
      </w:smartTag>
      <w:r w:rsidRPr="00421F33">
        <w:rPr>
          <w:sz w:val="20"/>
          <w:szCs w:val="20"/>
        </w:rPr>
        <w:t xml:space="preserve"> representa a média do termo de erro </w:t>
      </w:r>
      <w:r>
        <w:rPr>
          <w:sz w:val="20"/>
          <w:szCs w:val="20"/>
        </w:rPr>
        <w:t>“</w:t>
      </w:r>
      <w:r>
        <w:rPr>
          <w:sz w:val="20"/>
          <w:szCs w:val="20"/>
        </w:rPr>
        <w:sym w:font="Symbol" w:char="F065"/>
      </w:r>
      <w:r>
        <w:rPr>
          <w:sz w:val="20"/>
          <w:szCs w:val="20"/>
        </w:rPr>
        <w:t xml:space="preserve">” </w:t>
      </w:r>
      <w:r w:rsidRPr="00421F33">
        <w:rPr>
          <w:sz w:val="20"/>
          <w:szCs w:val="20"/>
        </w:rPr>
        <w:t xml:space="preserve">e </w:t>
      </w:r>
      <w:r>
        <w:rPr>
          <w:sz w:val="20"/>
          <w:szCs w:val="20"/>
        </w:rPr>
        <w:t>“</w:t>
      </w:r>
      <w:r w:rsidRPr="00421F33">
        <w:rPr>
          <w:rFonts w:eastAsia="SymbolMT"/>
          <w:sz w:val="20"/>
          <w:szCs w:val="20"/>
        </w:rPr>
        <w:t>Ω</w:t>
      </w:r>
      <w:r>
        <w:rPr>
          <w:rFonts w:eastAsia="SymbolMT"/>
          <w:sz w:val="20"/>
          <w:szCs w:val="20"/>
        </w:rPr>
        <w:t>”</w:t>
      </w:r>
      <w:r w:rsidRPr="00421F33">
        <w:rPr>
          <w:rFonts w:eastAsia="SymbolMT"/>
          <w:sz w:val="20"/>
          <w:szCs w:val="20"/>
        </w:rPr>
        <w:t xml:space="preserve"> representa a matriz de variância-covariância cujos termos da diagonal principal não são constantes.</w:t>
      </w:r>
    </w:p>
  </w:footnote>
  <w:footnote w:id="19">
    <w:p w:rsidR="00AC40E6" w:rsidRDefault="00AC40E6" w:rsidP="00FD5903">
      <w:pPr>
        <w:pStyle w:val="Textodenotaderodap"/>
        <w:jc w:val="both"/>
      </w:pPr>
      <w:r>
        <w:rPr>
          <w:rStyle w:val="Refdenotaderodap"/>
        </w:rPr>
        <w:footnoteRef/>
      </w:r>
      <w:r>
        <w:t xml:space="preserve"> W</w:t>
      </w:r>
      <w:r w:rsidRPr="00071C28">
        <w:rPr>
          <w:vertAlign w:val="subscript"/>
        </w:rPr>
        <w:t>1</w:t>
      </w:r>
      <w:r>
        <w:t xml:space="preserve"> é a matriz dos 5 vizinhos mais próximos e W</w:t>
      </w:r>
      <w:r w:rsidRPr="00071C28">
        <w:rPr>
          <w:vertAlign w:val="subscript"/>
        </w:rPr>
        <w:t>2</w:t>
      </w:r>
      <w:r>
        <w:t xml:space="preserve"> é a matriz de pesos espaciais binários com a convenção de contigüidade “rainha”.</w:t>
      </w:r>
    </w:p>
  </w:footnote>
  <w:footnote w:id="20">
    <w:p w:rsidR="00AC40E6" w:rsidRDefault="00AC40E6" w:rsidP="00FD5903">
      <w:pPr>
        <w:pStyle w:val="Textodenotaderodap"/>
        <w:jc w:val="both"/>
      </w:pPr>
      <w:r>
        <w:rPr>
          <w:rStyle w:val="Refdenotaderodap"/>
        </w:rPr>
        <w:footnoteRef/>
      </w:r>
      <w:r>
        <w:t xml:space="preserve"> Foram selecionados três grupos “G”, com base no Mapa de Clusters (Figura 1), visando “suavizar” a heterogeneidade espacial, onde G1 corresponde aos municípios AA, G2 são os BB e G3 os demais municípios. </w:t>
      </w:r>
    </w:p>
  </w:footnote>
  <w:footnote w:id="21">
    <w:p w:rsidR="00AC40E6" w:rsidRPr="006D4B81" w:rsidRDefault="00AC40E6" w:rsidP="006D4B81">
      <w:pPr>
        <w:autoSpaceDE w:val="0"/>
        <w:autoSpaceDN w:val="0"/>
        <w:adjustRightInd w:val="0"/>
        <w:jc w:val="both"/>
        <w:rPr>
          <w:sz w:val="20"/>
          <w:szCs w:val="20"/>
        </w:rPr>
      </w:pPr>
      <w:r>
        <w:rPr>
          <w:rStyle w:val="Refdenotaderodap"/>
        </w:rPr>
        <w:footnoteRef/>
      </w:r>
      <w:r>
        <w:t xml:space="preserve"> </w:t>
      </w:r>
      <w:r w:rsidRPr="006D4B81">
        <w:rPr>
          <w:sz w:val="20"/>
          <w:szCs w:val="20"/>
        </w:rPr>
        <w:t>A matriz de pesos espaciais usada na</w:t>
      </w:r>
      <w:r>
        <w:rPr>
          <w:sz w:val="20"/>
          <w:szCs w:val="20"/>
        </w:rPr>
        <w:t>s estimações foi baseada nos k=5 vizinhos mais próximos</w:t>
      </w:r>
      <w:r w:rsidRPr="006D4B81">
        <w:rPr>
          <w:sz w:val="20"/>
          <w:szCs w:val="20"/>
        </w:rPr>
        <w:t>. Consulte Anselin (1988) para maiores detalhes técnicos a respeito de matrizes de pesos espaciais.</w:t>
      </w:r>
    </w:p>
  </w:footnote>
  <w:footnote w:id="22">
    <w:p w:rsidR="00AC40E6" w:rsidRDefault="00AC40E6">
      <w:pPr>
        <w:pStyle w:val="Textodenotaderodap"/>
      </w:pPr>
      <w:r>
        <w:rPr>
          <w:rStyle w:val="Refdenotaderodap"/>
        </w:rPr>
        <w:footnoteRef/>
      </w:r>
      <w:r>
        <w:t xml:space="preserve"> O nível de significância utilizado é de 1%.</w:t>
      </w:r>
    </w:p>
  </w:footnote>
  <w:footnote w:id="23">
    <w:p w:rsidR="00AC40E6" w:rsidRDefault="00AC40E6">
      <w:pPr>
        <w:pStyle w:val="Textodenotaderodap"/>
      </w:pPr>
      <w:r>
        <w:rPr>
          <w:rStyle w:val="Refdenotaderodap"/>
        </w:rPr>
        <w:footnoteRef/>
      </w:r>
      <w:r>
        <w:t xml:space="preserve"> Pois este é multiplicado pela tecnologia, análise </w:t>
      </w:r>
      <w:r>
        <w:rPr>
          <w:i/>
        </w:rPr>
        <w:t>Hicks Neutral</w:t>
      </w:r>
      <w:r>
        <w:t>.</w:t>
      </w:r>
    </w:p>
  </w:footnote>
  <w:footnote w:id="24">
    <w:p w:rsidR="00AC40E6" w:rsidRDefault="00AC40E6">
      <w:pPr>
        <w:pStyle w:val="Textodenotaderodap"/>
      </w:pPr>
      <w:r>
        <w:rPr>
          <w:rStyle w:val="Refdenotaderodap"/>
        </w:rPr>
        <w:footnoteRef/>
      </w:r>
      <w:r>
        <w:t xml:space="preserve"> Para maiores detalhes sobre a análise de modelos com regimes espaciais ver Anselin (1992), cap.32, p.238.</w:t>
      </w:r>
    </w:p>
  </w:footnote>
  <w:footnote w:id="25">
    <w:p w:rsidR="00AC40E6" w:rsidRDefault="00AC40E6">
      <w:pPr>
        <w:pStyle w:val="Textodenotaderodap"/>
      </w:pPr>
      <w:r>
        <w:rPr>
          <w:rStyle w:val="Refdenotaderodap"/>
        </w:rPr>
        <w:footnoteRef/>
      </w:r>
      <w:r>
        <w:t xml:space="preserve"> Para maiores detalhes, rever seção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74754EA"/>
    <w:multiLevelType w:val="hybridMultilevel"/>
    <w:tmpl w:val="CA50F54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AA6484"/>
    <w:multiLevelType w:val="hybridMultilevel"/>
    <w:tmpl w:val="BB309D60"/>
    <w:lvl w:ilvl="0" w:tplc="17DC9192">
      <w:start w:val="1"/>
      <w:numFmt w:val="bullet"/>
      <w:lvlText w:val="•"/>
      <w:lvlJc w:val="left"/>
      <w:pPr>
        <w:tabs>
          <w:tab w:val="num" w:pos="720"/>
        </w:tabs>
        <w:ind w:left="720" w:hanging="360"/>
      </w:pPr>
      <w:rPr>
        <w:rFonts w:ascii="Times New Roman" w:hAnsi="Times New Roman" w:hint="default"/>
      </w:rPr>
    </w:lvl>
    <w:lvl w:ilvl="1" w:tplc="24344BB0" w:tentative="1">
      <w:start w:val="1"/>
      <w:numFmt w:val="bullet"/>
      <w:lvlText w:val="•"/>
      <w:lvlJc w:val="left"/>
      <w:pPr>
        <w:tabs>
          <w:tab w:val="num" w:pos="1440"/>
        </w:tabs>
        <w:ind w:left="1440" w:hanging="360"/>
      </w:pPr>
      <w:rPr>
        <w:rFonts w:ascii="Times New Roman" w:hAnsi="Times New Roman" w:hint="default"/>
      </w:rPr>
    </w:lvl>
    <w:lvl w:ilvl="2" w:tplc="085C3566" w:tentative="1">
      <w:start w:val="1"/>
      <w:numFmt w:val="bullet"/>
      <w:lvlText w:val="•"/>
      <w:lvlJc w:val="left"/>
      <w:pPr>
        <w:tabs>
          <w:tab w:val="num" w:pos="2160"/>
        </w:tabs>
        <w:ind w:left="2160" w:hanging="360"/>
      </w:pPr>
      <w:rPr>
        <w:rFonts w:ascii="Times New Roman" w:hAnsi="Times New Roman" w:hint="default"/>
      </w:rPr>
    </w:lvl>
    <w:lvl w:ilvl="3" w:tplc="F3C21458" w:tentative="1">
      <w:start w:val="1"/>
      <w:numFmt w:val="bullet"/>
      <w:lvlText w:val="•"/>
      <w:lvlJc w:val="left"/>
      <w:pPr>
        <w:tabs>
          <w:tab w:val="num" w:pos="2880"/>
        </w:tabs>
        <w:ind w:left="2880" w:hanging="360"/>
      </w:pPr>
      <w:rPr>
        <w:rFonts w:ascii="Times New Roman" w:hAnsi="Times New Roman" w:hint="default"/>
      </w:rPr>
    </w:lvl>
    <w:lvl w:ilvl="4" w:tplc="FAC84C2C" w:tentative="1">
      <w:start w:val="1"/>
      <w:numFmt w:val="bullet"/>
      <w:lvlText w:val="•"/>
      <w:lvlJc w:val="left"/>
      <w:pPr>
        <w:tabs>
          <w:tab w:val="num" w:pos="3600"/>
        </w:tabs>
        <w:ind w:left="3600" w:hanging="360"/>
      </w:pPr>
      <w:rPr>
        <w:rFonts w:ascii="Times New Roman" w:hAnsi="Times New Roman" w:hint="default"/>
      </w:rPr>
    </w:lvl>
    <w:lvl w:ilvl="5" w:tplc="AFCC9F3E" w:tentative="1">
      <w:start w:val="1"/>
      <w:numFmt w:val="bullet"/>
      <w:lvlText w:val="•"/>
      <w:lvlJc w:val="left"/>
      <w:pPr>
        <w:tabs>
          <w:tab w:val="num" w:pos="4320"/>
        </w:tabs>
        <w:ind w:left="4320" w:hanging="360"/>
      </w:pPr>
      <w:rPr>
        <w:rFonts w:ascii="Times New Roman" w:hAnsi="Times New Roman" w:hint="default"/>
      </w:rPr>
    </w:lvl>
    <w:lvl w:ilvl="6" w:tplc="9258E31E" w:tentative="1">
      <w:start w:val="1"/>
      <w:numFmt w:val="bullet"/>
      <w:lvlText w:val="•"/>
      <w:lvlJc w:val="left"/>
      <w:pPr>
        <w:tabs>
          <w:tab w:val="num" w:pos="5040"/>
        </w:tabs>
        <w:ind w:left="5040" w:hanging="360"/>
      </w:pPr>
      <w:rPr>
        <w:rFonts w:ascii="Times New Roman" w:hAnsi="Times New Roman" w:hint="default"/>
      </w:rPr>
    </w:lvl>
    <w:lvl w:ilvl="7" w:tplc="AA44804A" w:tentative="1">
      <w:start w:val="1"/>
      <w:numFmt w:val="bullet"/>
      <w:lvlText w:val="•"/>
      <w:lvlJc w:val="left"/>
      <w:pPr>
        <w:tabs>
          <w:tab w:val="num" w:pos="5760"/>
        </w:tabs>
        <w:ind w:left="5760" w:hanging="360"/>
      </w:pPr>
      <w:rPr>
        <w:rFonts w:ascii="Times New Roman" w:hAnsi="Times New Roman" w:hint="default"/>
      </w:rPr>
    </w:lvl>
    <w:lvl w:ilvl="8" w:tplc="FBAE07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580FBD"/>
    <w:multiLevelType w:val="hybridMultilevel"/>
    <w:tmpl w:val="02DAA73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nsid w:val="0DA515BB"/>
    <w:multiLevelType w:val="hybridMultilevel"/>
    <w:tmpl w:val="B8342E9C"/>
    <w:lvl w:ilvl="0" w:tplc="811A3BE6">
      <w:start w:val="1"/>
      <w:numFmt w:val="bullet"/>
      <w:lvlText w:val="•"/>
      <w:lvlJc w:val="left"/>
      <w:pPr>
        <w:tabs>
          <w:tab w:val="num" w:pos="720"/>
        </w:tabs>
        <w:ind w:left="720" w:hanging="360"/>
      </w:pPr>
      <w:rPr>
        <w:rFonts w:ascii="Times New Roman" w:hAnsi="Times New Roman" w:hint="default"/>
      </w:rPr>
    </w:lvl>
    <w:lvl w:ilvl="1" w:tplc="736C8AB8" w:tentative="1">
      <w:start w:val="1"/>
      <w:numFmt w:val="bullet"/>
      <w:lvlText w:val="•"/>
      <w:lvlJc w:val="left"/>
      <w:pPr>
        <w:tabs>
          <w:tab w:val="num" w:pos="1440"/>
        </w:tabs>
        <w:ind w:left="1440" w:hanging="360"/>
      </w:pPr>
      <w:rPr>
        <w:rFonts w:ascii="Times New Roman" w:hAnsi="Times New Roman" w:hint="default"/>
      </w:rPr>
    </w:lvl>
    <w:lvl w:ilvl="2" w:tplc="3E3AC2B4" w:tentative="1">
      <w:start w:val="1"/>
      <w:numFmt w:val="bullet"/>
      <w:lvlText w:val="•"/>
      <w:lvlJc w:val="left"/>
      <w:pPr>
        <w:tabs>
          <w:tab w:val="num" w:pos="2160"/>
        </w:tabs>
        <w:ind w:left="2160" w:hanging="360"/>
      </w:pPr>
      <w:rPr>
        <w:rFonts w:ascii="Times New Roman" w:hAnsi="Times New Roman" w:hint="default"/>
      </w:rPr>
    </w:lvl>
    <w:lvl w:ilvl="3" w:tplc="E90E82F8" w:tentative="1">
      <w:start w:val="1"/>
      <w:numFmt w:val="bullet"/>
      <w:lvlText w:val="•"/>
      <w:lvlJc w:val="left"/>
      <w:pPr>
        <w:tabs>
          <w:tab w:val="num" w:pos="2880"/>
        </w:tabs>
        <w:ind w:left="2880" w:hanging="360"/>
      </w:pPr>
      <w:rPr>
        <w:rFonts w:ascii="Times New Roman" w:hAnsi="Times New Roman" w:hint="default"/>
      </w:rPr>
    </w:lvl>
    <w:lvl w:ilvl="4" w:tplc="D01ECA18" w:tentative="1">
      <w:start w:val="1"/>
      <w:numFmt w:val="bullet"/>
      <w:lvlText w:val="•"/>
      <w:lvlJc w:val="left"/>
      <w:pPr>
        <w:tabs>
          <w:tab w:val="num" w:pos="3600"/>
        </w:tabs>
        <w:ind w:left="3600" w:hanging="360"/>
      </w:pPr>
      <w:rPr>
        <w:rFonts w:ascii="Times New Roman" w:hAnsi="Times New Roman" w:hint="default"/>
      </w:rPr>
    </w:lvl>
    <w:lvl w:ilvl="5" w:tplc="947AB0DE" w:tentative="1">
      <w:start w:val="1"/>
      <w:numFmt w:val="bullet"/>
      <w:lvlText w:val="•"/>
      <w:lvlJc w:val="left"/>
      <w:pPr>
        <w:tabs>
          <w:tab w:val="num" w:pos="4320"/>
        </w:tabs>
        <w:ind w:left="4320" w:hanging="360"/>
      </w:pPr>
      <w:rPr>
        <w:rFonts w:ascii="Times New Roman" w:hAnsi="Times New Roman" w:hint="default"/>
      </w:rPr>
    </w:lvl>
    <w:lvl w:ilvl="6" w:tplc="E41CA4C2" w:tentative="1">
      <w:start w:val="1"/>
      <w:numFmt w:val="bullet"/>
      <w:lvlText w:val="•"/>
      <w:lvlJc w:val="left"/>
      <w:pPr>
        <w:tabs>
          <w:tab w:val="num" w:pos="5040"/>
        </w:tabs>
        <w:ind w:left="5040" w:hanging="360"/>
      </w:pPr>
      <w:rPr>
        <w:rFonts w:ascii="Times New Roman" w:hAnsi="Times New Roman" w:hint="default"/>
      </w:rPr>
    </w:lvl>
    <w:lvl w:ilvl="7" w:tplc="0E88DFA0" w:tentative="1">
      <w:start w:val="1"/>
      <w:numFmt w:val="bullet"/>
      <w:lvlText w:val="•"/>
      <w:lvlJc w:val="left"/>
      <w:pPr>
        <w:tabs>
          <w:tab w:val="num" w:pos="5760"/>
        </w:tabs>
        <w:ind w:left="5760" w:hanging="360"/>
      </w:pPr>
      <w:rPr>
        <w:rFonts w:ascii="Times New Roman" w:hAnsi="Times New Roman" w:hint="default"/>
      </w:rPr>
    </w:lvl>
    <w:lvl w:ilvl="8" w:tplc="7DBE559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CC24CE"/>
    <w:multiLevelType w:val="hybridMultilevel"/>
    <w:tmpl w:val="3EEC784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nsid w:val="1C5105E8"/>
    <w:multiLevelType w:val="hybridMultilevel"/>
    <w:tmpl w:val="655AA290"/>
    <w:lvl w:ilvl="0" w:tplc="15DAA21A">
      <w:start w:val="1"/>
      <w:numFmt w:val="bullet"/>
      <w:lvlText w:val=""/>
      <w:lvlPicBulletId w:val="0"/>
      <w:lvlJc w:val="left"/>
      <w:pPr>
        <w:tabs>
          <w:tab w:val="num" w:pos="720"/>
        </w:tabs>
        <w:ind w:left="720" w:hanging="360"/>
      </w:pPr>
      <w:rPr>
        <w:rFonts w:ascii="Symbol" w:hAnsi="Symbol" w:hint="default"/>
      </w:rPr>
    </w:lvl>
    <w:lvl w:ilvl="1" w:tplc="47A879FC" w:tentative="1">
      <w:start w:val="1"/>
      <w:numFmt w:val="bullet"/>
      <w:lvlText w:val=""/>
      <w:lvlPicBulletId w:val="0"/>
      <w:lvlJc w:val="left"/>
      <w:pPr>
        <w:tabs>
          <w:tab w:val="num" w:pos="1440"/>
        </w:tabs>
        <w:ind w:left="1440" w:hanging="360"/>
      </w:pPr>
      <w:rPr>
        <w:rFonts w:ascii="Symbol" w:hAnsi="Symbol" w:hint="default"/>
      </w:rPr>
    </w:lvl>
    <w:lvl w:ilvl="2" w:tplc="40CAE7B4" w:tentative="1">
      <w:start w:val="1"/>
      <w:numFmt w:val="bullet"/>
      <w:lvlText w:val=""/>
      <w:lvlPicBulletId w:val="0"/>
      <w:lvlJc w:val="left"/>
      <w:pPr>
        <w:tabs>
          <w:tab w:val="num" w:pos="2160"/>
        </w:tabs>
        <w:ind w:left="2160" w:hanging="360"/>
      </w:pPr>
      <w:rPr>
        <w:rFonts w:ascii="Symbol" w:hAnsi="Symbol" w:hint="default"/>
      </w:rPr>
    </w:lvl>
    <w:lvl w:ilvl="3" w:tplc="9768ED68" w:tentative="1">
      <w:start w:val="1"/>
      <w:numFmt w:val="bullet"/>
      <w:lvlText w:val=""/>
      <w:lvlPicBulletId w:val="0"/>
      <w:lvlJc w:val="left"/>
      <w:pPr>
        <w:tabs>
          <w:tab w:val="num" w:pos="2880"/>
        </w:tabs>
        <w:ind w:left="2880" w:hanging="360"/>
      </w:pPr>
      <w:rPr>
        <w:rFonts w:ascii="Symbol" w:hAnsi="Symbol" w:hint="default"/>
      </w:rPr>
    </w:lvl>
    <w:lvl w:ilvl="4" w:tplc="2EB4039A" w:tentative="1">
      <w:start w:val="1"/>
      <w:numFmt w:val="bullet"/>
      <w:lvlText w:val=""/>
      <w:lvlPicBulletId w:val="0"/>
      <w:lvlJc w:val="left"/>
      <w:pPr>
        <w:tabs>
          <w:tab w:val="num" w:pos="3600"/>
        </w:tabs>
        <w:ind w:left="3600" w:hanging="360"/>
      </w:pPr>
      <w:rPr>
        <w:rFonts w:ascii="Symbol" w:hAnsi="Symbol" w:hint="default"/>
      </w:rPr>
    </w:lvl>
    <w:lvl w:ilvl="5" w:tplc="917A7B02" w:tentative="1">
      <w:start w:val="1"/>
      <w:numFmt w:val="bullet"/>
      <w:lvlText w:val=""/>
      <w:lvlPicBulletId w:val="0"/>
      <w:lvlJc w:val="left"/>
      <w:pPr>
        <w:tabs>
          <w:tab w:val="num" w:pos="4320"/>
        </w:tabs>
        <w:ind w:left="4320" w:hanging="360"/>
      </w:pPr>
      <w:rPr>
        <w:rFonts w:ascii="Symbol" w:hAnsi="Symbol" w:hint="default"/>
      </w:rPr>
    </w:lvl>
    <w:lvl w:ilvl="6" w:tplc="5862FA2A" w:tentative="1">
      <w:start w:val="1"/>
      <w:numFmt w:val="bullet"/>
      <w:lvlText w:val=""/>
      <w:lvlPicBulletId w:val="0"/>
      <w:lvlJc w:val="left"/>
      <w:pPr>
        <w:tabs>
          <w:tab w:val="num" w:pos="5040"/>
        </w:tabs>
        <w:ind w:left="5040" w:hanging="360"/>
      </w:pPr>
      <w:rPr>
        <w:rFonts w:ascii="Symbol" w:hAnsi="Symbol" w:hint="default"/>
      </w:rPr>
    </w:lvl>
    <w:lvl w:ilvl="7" w:tplc="D4AC4F72" w:tentative="1">
      <w:start w:val="1"/>
      <w:numFmt w:val="bullet"/>
      <w:lvlText w:val=""/>
      <w:lvlPicBulletId w:val="0"/>
      <w:lvlJc w:val="left"/>
      <w:pPr>
        <w:tabs>
          <w:tab w:val="num" w:pos="5760"/>
        </w:tabs>
        <w:ind w:left="5760" w:hanging="360"/>
      </w:pPr>
      <w:rPr>
        <w:rFonts w:ascii="Symbol" w:hAnsi="Symbol" w:hint="default"/>
      </w:rPr>
    </w:lvl>
    <w:lvl w:ilvl="8" w:tplc="1E54D52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6DA42C0"/>
    <w:multiLevelType w:val="hybridMultilevel"/>
    <w:tmpl w:val="0ACA460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5527051B"/>
    <w:multiLevelType w:val="hybridMultilevel"/>
    <w:tmpl w:val="F878E0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7FC2BEC"/>
    <w:multiLevelType w:val="hybridMultilevel"/>
    <w:tmpl w:val="7E4E00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4B42218"/>
    <w:multiLevelType w:val="hybridMultilevel"/>
    <w:tmpl w:val="7010985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74BE6524"/>
    <w:multiLevelType w:val="hybridMultilevel"/>
    <w:tmpl w:val="3CD4EB7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nsid w:val="78594512"/>
    <w:multiLevelType w:val="hybridMultilevel"/>
    <w:tmpl w:val="EA623390"/>
    <w:lvl w:ilvl="0" w:tplc="04160017">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9323D13"/>
    <w:multiLevelType w:val="hybridMultilevel"/>
    <w:tmpl w:val="8E1C4F1E"/>
    <w:lvl w:ilvl="0" w:tplc="8FA2CF96">
      <w:start w:val="1"/>
      <w:numFmt w:val="bullet"/>
      <w:lvlText w:val="•"/>
      <w:lvlJc w:val="left"/>
      <w:pPr>
        <w:tabs>
          <w:tab w:val="num" w:pos="720"/>
        </w:tabs>
        <w:ind w:left="720" w:hanging="360"/>
      </w:pPr>
      <w:rPr>
        <w:rFonts w:ascii="Times New Roman" w:hAnsi="Times New Roman" w:hint="default"/>
      </w:rPr>
    </w:lvl>
    <w:lvl w:ilvl="1" w:tplc="68DE6F54" w:tentative="1">
      <w:start w:val="1"/>
      <w:numFmt w:val="bullet"/>
      <w:lvlText w:val="•"/>
      <w:lvlJc w:val="left"/>
      <w:pPr>
        <w:tabs>
          <w:tab w:val="num" w:pos="1440"/>
        </w:tabs>
        <w:ind w:left="1440" w:hanging="360"/>
      </w:pPr>
      <w:rPr>
        <w:rFonts w:ascii="Times New Roman" w:hAnsi="Times New Roman" w:hint="default"/>
      </w:rPr>
    </w:lvl>
    <w:lvl w:ilvl="2" w:tplc="61464F02" w:tentative="1">
      <w:start w:val="1"/>
      <w:numFmt w:val="bullet"/>
      <w:lvlText w:val="•"/>
      <w:lvlJc w:val="left"/>
      <w:pPr>
        <w:tabs>
          <w:tab w:val="num" w:pos="2160"/>
        </w:tabs>
        <w:ind w:left="2160" w:hanging="360"/>
      </w:pPr>
      <w:rPr>
        <w:rFonts w:ascii="Times New Roman" w:hAnsi="Times New Roman" w:hint="default"/>
      </w:rPr>
    </w:lvl>
    <w:lvl w:ilvl="3" w:tplc="8076A5FC" w:tentative="1">
      <w:start w:val="1"/>
      <w:numFmt w:val="bullet"/>
      <w:lvlText w:val="•"/>
      <w:lvlJc w:val="left"/>
      <w:pPr>
        <w:tabs>
          <w:tab w:val="num" w:pos="2880"/>
        </w:tabs>
        <w:ind w:left="2880" w:hanging="360"/>
      </w:pPr>
      <w:rPr>
        <w:rFonts w:ascii="Times New Roman" w:hAnsi="Times New Roman" w:hint="default"/>
      </w:rPr>
    </w:lvl>
    <w:lvl w:ilvl="4" w:tplc="4802F038" w:tentative="1">
      <w:start w:val="1"/>
      <w:numFmt w:val="bullet"/>
      <w:lvlText w:val="•"/>
      <w:lvlJc w:val="left"/>
      <w:pPr>
        <w:tabs>
          <w:tab w:val="num" w:pos="3600"/>
        </w:tabs>
        <w:ind w:left="3600" w:hanging="360"/>
      </w:pPr>
      <w:rPr>
        <w:rFonts w:ascii="Times New Roman" w:hAnsi="Times New Roman" w:hint="default"/>
      </w:rPr>
    </w:lvl>
    <w:lvl w:ilvl="5" w:tplc="49A0CF08" w:tentative="1">
      <w:start w:val="1"/>
      <w:numFmt w:val="bullet"/>
      <w:lvlText w:val="•"/>
      <w:lvlJc w:val="left"/>
      <w:pPr>
        <w:tabs>
          <w:tab w:val="num" w:pos="4320"/>
        </w:tabs>
        <w:ind w:left="4320" w:hanging="360"/>
      </w:pPr>
      <w:rPr>
        <w:rFonts w:ascii="Times New Roman" w:hAnsi="Times New Roman" w:hint="default"/>
      </w:rPr>
    </w:lvl>
    <w:lvl w:ilvl="6" w:tplc="134A57D0" w:tentative="1">
      <w:start w:val="1"/>
      <w:numFmt w:val="bullet"/>
      <w:lvlText w:val="•"/>
      <w:lvlJc w:val="left"/>
      <w:pPr>
        <w:tabs>
          <w:tab w:val="num" w:pos="5040"/>
        </w:tabs>
        <w:ind w:left="5040" w:hanging="360"/>
      </w:pPr>
      <w:rPr>
        <w:rFonts w:ascii="Times New Roman" w:hAnsi="Times New Roman" w:hint="default"/>
      </w:rPr>
    </w:lvl>
    <w:lvl w:ilvl="7" w:tplc="1E10B760" w:tentative="1">
      <w:start w:val="1"/>
      <w:numFmt w:val="bullet"/>
      <w:lvlText w:val="•"/>
      <w:lvlJc w:val="left"/>
      <w:pPr>
        <w:tabs>
          <w:tab w:val="num" w:pos="5760"/>
        </w:tabs>
        <w:ind w:left="5760" w:hanging="360"/>
      </w:pPr>
      <w:rPr>
        <w:rFonts w:ascii="Times New Roman" w:hAnsi="Times New Roman" w:hint="default"/>
      </w:rPr>
    </w:lvl>
    <w:lvl w:ilvl="8" w:tplc="92F40BD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8"/>
  </w:num>
  <w:num w:numId="4">
    <w:abstractNumId w:val="6"/>
  </w:num>
  <w:num w:numId="5">
    <w:abstractNumId w:val="9"/>
  </w:num>
  <w:num w:numId="6">
    <w:abstractNumId w:val="2"/>
  </w:num>
  <w:num w:numId="7">
    <w:abstractNumId w:val="3"/>
  </w:num>
  <w:num w:numId="8">
    <w:abstractNumId w:val="1"/>
  </w:num>
  <w:num w:numId="9">
    <w:abstractNumId w:val="12"/>
  </w:num>
  <w:num w:numId="10">
    <w:abstractNumId w:val="4"/>
  </w:num>
  <w:num w:numId="11">
    <w:abstractNumId w:val="7"/>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37D92"/>
    <w:rsid w:val="00000A8D"/>
    <w:rsid w:val="00001D17"/>
    <w:rsid w:val="00002650"/>
    <w:rsid w:val="000026F4"/>
    <w:rsid w:val="00004075"/>
    <w:rsid w:val="00012E7F"/>
    <w:rsid w:val="00015507"/>
    <w:rsid w:val="00025E27"/>
    <w:rsid w:val="00042440"/>
    <w:rsid w:val="00045FD6"/>
    <w:rsid w:val="000463DF"/>
    <w:rsid w:val="00054BA1"/>
    <w:rsid w:val="0006329A"/>
    <w:rsid w:val="000644A5"/>
    <w:rsid w:val="00071C28"/>
    <w:rsid w:val="00073689"/>
    <w:rsid w:val="00080F71"/>
    <w:rsid w:val="000834E0"/>
    <w:rsid w:val="000836AA"/>
    <w:rsid w:val="00085FD4"/>
    <w:rsid w:val="00087B00"/>
    <w:rsid w:val="000A097A"/>
    <w:rsid w:val="000A4A41"/>
    <w:rsid w:val="000B4056"/>
    <w:rsid w:val="000B6450"/>
    <w:rsid w:val="000C1EB3"/>
    <w:rsid w:val="000E3AC7"/>
    <w:rsid w:val="000F0200"/>
    <w:rsid w:val="000F248D"/>
    <w:rsid w:val="00111266"/>
    <w:rsid w:val="001171CE"/>
    <w:rsid w:val="0011792F"/>
    <w:rsid w:val="001207A1"/>
    <w:rsid w:val="00120800"/>
    <w:rsid w:val="00121386"/>
    <w:rsid w:val="00130F2B"/>
    <w:rsid w:val="00133B30"/>
    <w:rsid w:val="00140F86"/>
    <w:rsid w:val="0014540E"/>
    <w:rsid w:val="00146336"/>
    <w:rsid w:val="00147348"/>
    <w:rsid w:val="00150860"/>
    <w:rsid w:val="00157A96"/>
    <w:rsid w:val="00162CCD"/>
    <w:rsid w:val="00163411"/>
    <w:rsid w:val="00167995"/>
    <w:rsid w:val="00170C59"/>
    <w:rsid w:val="00176CCA"/>
    <w:rsid w:val="00185D85"/>
    <w:rsid w:val="00187883"/>
    <w:rsid w:val="00190E5E"/>
    <w:rsid w:val="00193FAD"/>
    <w:rsid w:val="001A0809"/>
    <w:rsid w:val="001A4CAE"/>
    <w:rsid w:val="001B6928"/>
    <w:rsid w:val="001C00C1"/>
    <w:rsid w:val="001D0026"/>
    <w:rsid w:val="001D5F80"/>
    <w:rsid w:val="001D630B"/>
    <w:rsid w:val="001E1E1C"/>
    <w:rsid w:val="001E201A"/>
    <w:rsid w:val="00202762"/>
    <w:rsid w:val="00207D35"/>
    <w:rsid w:val="002122F0"/>
    <w:rsid w:val="00237B51"/>
    <w:rsid w:val="00247C99"/>
    <w:rsid w:val="002712E6"/>
    <w:rsid w:val="00272450"/>
    <w:rsid w:val="0027255E"/>
    <w:rsid w:val="00281126"/>
    <w:rsid w:val="00286C3C"/>
    <w:rsid w:val="00290514"/>
    <w:rsid w:val="00290F60"/>
    <w:rsid w:val="002911DB"/>
    <w:rsid w:val="002912CC"/>
    <w:rsid w:val="002917FA"/>
    <w:rsid w:val="0029544B"/>
    <w:rsid w:val="002A171A"/>
    <w:rsid w:val="002A4830"/>
    <w:rsid w:val="002A4F2B"/>
    <w:rsid w:val="002A6407"/>
    <w:rsid w:val="002C0615"/>
    <w:rsid w:val="002E0988"/>
    <w:rsid w:val="002E75BF"/>
    <w:rsid w:val="00300EC1"/>
    <w:rsid w:val="00303020"/>
    <w:rsid w:val="00306FAA"/>
    <w:rsid w:val="003104DC"/>
    <w:rsid w:val="00311071"/>
    <w:rsid w:val="00313B71"/>
    <w:rsid w:val="003230F7"/>
    <w:rsid w:val="00327139"/>
    <w:rsid w:val="003326CC"/>
    <w:rsid w:val="00333657"/>
    <w:rsid w:val="00336D4C"/>
    <w:rsid w:val="0033736D"/>
    <w:rsid w:val="00337D92"/>
    <w:rsid w:val="003436B7"/>
    <w:rsid w:val="0034642B"/>
    <w:rsid w:val="003575C5"/>
    <w:rsid w:val="0037401F"/>
    <w:rsid w:val="00374FB1"/>
    <w:rsid w:val="003838B9"/>
    <w:rsid w:val="00383A1F"/>
    <w:rsid w:val="003A24F0"/>
    <w:rsid w:val="003B5AE2"/>
    <w:rsid w:val="003B7CFB"/>
    <w:rsid w:val="003B7D7B"/>
    <w:rsid w:val="003C172A"/>
    <w:rsid w:val="003C6AFD"/>
    <w:rsid w:val="003D2B77"/>
    <w:rsid w:val="003D38B2"/>
    <w:rsid w:val="003D5898"/>
    <w:rsid w:val="003D679D"/>
    <w:rsid w:val="003E1C66"/>
    <w:rsid w:val="003E4972"/>
    <w:rsid w:val="003F1653"/>
    <w:rsid w:val="003F59E8"/>
    <w:rsid w:val="0040084E"/>
    <w:rsid w:val="00405A08"/>
    <w:rsid w:val="004207D3"/>
    <w:rsid w:val="00421AD8"/>
    <w:rsid w:val="00421C97"/>
    <w:rsid w:val="00421F33"/>
    <w:rsid w:val="00424182"/>
    <w:rsid w:val="00424600"/>
    <w:rsid w:val="0042686A"/>
    <w:rsid w:val="00437106"/>
    <w:rsid w:val="00440914"/>
    <w:rsid w:val="00440C8B"/>
    <w:rsid w:val="00443582"/>
    <w:rsid w:val="00445022"/>
    <w:rsid w:val="00454128"/>
    <w:rsid w:val="00456229"/>
    <w:rsid w:val="0045676E"/>
    <w:rsid w:val="00464224"/>
    <w:rsid w:val="004674D1"/>
    <w:rsid w:val="0047140A"/>
    <w:rsid w:val="00476C41"/>
    <w:rsid w:val="004830C6"/>
    <w:rsid w:val="00486D10"/>
    <w:rsid w:val="00492ECF"/>
    <w:rsid w:val="00495989"/>
    <w:rsid w:val="004A09E3"/>
    <w:rsid w:val="004A60E1"/>
    <w:rsid w:val="004A6EE4"/>
    <w:rsid w:val="004B106D"/>
    <w:rsid w:val="004D4AB2"/>
    <w:rsid w:val="004E34D0"/>
    <w:rsid w:val="004F0B88"/>
    <w:rsid w:val="004F1F27"/>
    <w:rsid w:val="004F2390"/>
    <w:rsid w:val="004F52A9"/>
    <w:rsid w:val="00500BC9"/>
    <w:rsid w:val="005055F1"/>
    <w:rsid w:val="00514C68"/>
    <w:rsid w:val="00530E3A"/>
    <w:rsid w:val="00530EE2"/>
    <w:rsid w:val="00537F9C"/>
    <w:rsid w:val="00542175"/>
    <w:rsid w:val="005536C5"/>
    <w:rsid w:val="00564F9A"/>
    <w:rsid w:val="00566859"/>
    <w:rsid w:val="0057280D"/>
    <w:rsid w:val="0057438C"/>
    <w:rsid w:val="005746DB"/>
    <w:rsid w:val="00574B7C"/>
    <w:rsid w:val="00587F7E"/>
    <w:rsid w:val="00590B19"/>
    <w:rsid w:val="005926B8"/>
    <w:rsid w:val="00593CA7"/>
    <w:rsid w:val="005A113C"/>
    <w:rsid w:val="005A2588"/>
    <w:rsid w:val="005A268F"/>
    <w:rsid w:val="005A4A13"/>
    <w:rsid w:val="005C30A8"/>
    <w:rsid w:val="005C6564"/>
    <w:rsid w:val="005E2CBC"/>
    <w:rsid w:val="005F3DC8"/>
    <w:rsid w:val="005F5BA4"/>
    <w:rsid w:val="005F7015"/>
    <w:rsid w:val="00603A81"/>
    <w:rsid w:val="00605ECA"/>
    <w:rsid w:val="00610EEB"/>
    <w:rsid w:val="00613F3D"/>
    <w:rsid w:val="006150C1"/>
    <w:rsid w:val="0061642A"/>
    <w:rsid w:val="00616BFA"/>
    <w:rsid w:val="00621650"/>
    <w:rsid w:val="006430AE"/>
    <w:rsid w:val="0064521E"/>
    <w:rsid w:val="00645617"/>
    <w:rsid w:val="00645F08"/>
    <w:rsid w:val="00646B21"/>
    <w:rsid w:val="00650661"/>
    <w:rsid w:val="00656B32"/>
    <w:rsid w:val="00663333"/>
    <w:rsid w:val="0066458B"/>
    <w:rsid w:val="00664EEA"/>
    <w:rsid w:val="00670F06"/>
    <w:rsid w:val="006738CE"/>
    <w:rsid w:val="006766C3"/>
    <w:rsid w:val="00677FBF"/>
    <w:rsid w:val="00682662"/>
    <w:rsid w:val="006836B9"/>
    <w:rsid w:val="00687085"/>
    <w:rsid w:val="00687334"/>
    <w:rsid w:val="00692710"/>
    <w:rsid w:val="00694362"/>
    <w:rsid w:val="006948D5"/>
    <w:rsid w:val="00695D9B"/>
    <w:rsid w:val="006A4D5E"/>
    <w:rsid w:val="006A4D6B"/>
    <w:rsid w:val="006B084C"/>
    <w:rsid w:val="006B0FF4"/>
    <w:rsid w:val="006B1AAB"/>
    <w:rsid w:val="006B3CF5"/>
    <w:rsid w:val="006B67A5"/>
    <w:rsid w:val="006C4AAB"/>
    <w:rsid w:val="006D0300"/>
    <w:rsid w:val="006D125E"/>
    <w:rsid w:val="006D1822"/>
    <w:rsid w:val="006D3212"/>
    <w:rsid w:val="006D3A3D"/>
    <w:rsid w:val="006D4789"/>
    <w:rsid w:val="006D4B81"/>
    <w:rsid w:val="006E130B"/>
    <w:rsid w:val="006E37E5"/>
    <w:rsid w:val="006E7082"/>
    <w:rsid w:val="006E7CD1"/>
    <w:rsid w:val="00701F04"/>
    <w:rsid w:val="00705F29"/>
    <w:rsid w:val="00712E34"/>
    <w:rsid w:val="00716B30"/>
    <w:rsid w:val="00724D0E"/>
    <w:rsid w:val="00724E5C"/>
    <w:rsid w:val="007278CE"/>
    <w:rsid w:val="0073064A"/>
    <w:rsid w:val="00730B8E"/>
    <w:rsid w:val="007364CA"/>
    <w:rsid w:val="007406C5"/>
    <w:rsid w:val="0074276A"/>
    <w:rsid w:val="007541F3"/>
    <w:rsid w:val="00757AED"/>
    <w:rsid w:val="00757CFB"/>
    <w:rsid w:val="00764AF3"/>
    <w:rsid w:val="007650E7"/>
    <w:rsid w:val="007723EC"/>
    <w:rsid w:val="00774D34"/>
    <w:rsid w:val="007805CD"/>
    <w:rsid w:val="00780D8A"/>
    <w:rsid w:val="00782558"/>
    <w:rsid w:val="00784B61"/>
    <w:rsid w:val="0078674A"/>
    <w:rsid w:val="00787ECC"/>
    <w:rsid w:val="00787F94"/>
    <w:rsid w:val="00794326"/>
    <w:rsid w:val="0079516F"/>
    <w:rsid w:val="007954D8"/>
    <w:rsid w:val="00795AA7"/>
    <w:rsid w:val="00796F80"/>
    <w:rsid w:val="007A73F3"/>
    <w:rsid w:val="007C3396"/>
    <w:rsid w:val="007C624C"/>
    <w:rsid w:val="007D18FC"/>
    <w:rsid w:val="007D3287"/>
    <w:rsid w:val="007D3E67"/>
    <w:rsid w:val="007D62AC"/>
    <w:rsid w:val="007E1186"/>
    <w:rsid w:val="007E6238"/>
    <w:rsid w:val="007F3F7A"/>
    <w:rsid w:val="007F656E"/>
    <w:rsid w:val="008060BB"/>
    <w:rsid w:val="008079E8"/>
    <w:rsid w:val="00810100"/>
    <w:rsid w:val="008143AB"/>
    <w:rsid w:val="008151E5"/>
    <w:rsid w:val="008164FC"/>
    <w:rsid w:val="00831567"/>
    <w:rsid w:val="00831EE5"/>
    <w:rsid w:val="00847EF8"/>
    <w:rsid w:val="0085095D"/>
    <w:rsid w:val="00851412"/>
    <w:rsid w:val="00852AD7"/>
    <w:rsid w:val="0085458C"/>
    <w:rsid w:val="0085622D"/>
    <w:rsid w:val="008653C0"/>
    <w:rsid w:val="00866434"/>
    <w:rsid w:val="00875A7B"/>
    <w:rsid w:val="0088028F"/>
    <w:rsid w:val="0088177D"/>
    <w:rsid w:val="00885508"/>
    <w:rsid w:val="00886DE1"/>
    <w:rsid w:val="00893732"/>
    <w:rsid w:val="00897307"/>
    <w:rsid w:val="00897710"/>
    <w:rsid w:val="00897D0F"/>
    <w:rsid w:val="008A2F39"/>
    <w:rsid w:val="008A76B1"/>
    <w:rsid w:val="008B5DD8"/>
    <w:rsid w:val="008B6A5F"/>
    <w:rsid w:val="008C6246"/>
    <w:rsid w:val="008D2D69"/>
    <w:rsid w:val="008E5E58"/>
    <w:rsid w:val="008F0328"/>
    <w:rsid w:val="008F4C03"/>
    <w:rsid w:val="008F5D0C"/>
    <w:rsid w:val="0090294A"/>
    <w:rsid w:val="0090640F"/>
    <w:rsid w:val="00915FFB"/>
    <w:rsid w:val="009164CE"/>
    <w:rsid w:val="009169A6"/>
    <w:rsid w:val="00916F22"/>
    <w:rsid w:val="009200A2"/>
    <w:rsid w:val="00931B25"/>
    <w:rsid w:val="00931F0E"/>
    <w:rsid w:val="00934CCC"/>
    <w:rsid w:val="00944A43"/>
    <w:rsid w:val="00944E9B"/>
    <w:rsid w:val="0094592B"/>
    <w:rsid w:val="00946F26"/>
    <w:rsid w:val="009529A6"/>
    <w:rsid w:val="0096598E"/>
    <w:rsid w:val="009709E5"/>
    <w:rsid w:val="00980D21"/>
    <w:rsid w:val="00983348"/>
    <w:rsid w:val="00990A67"/>
    <w:rsid w:val="00990AFF"/>
    <w:rsid w:val="0099123F"/>
    <w:rsid w:val="00991BB4"/>
    <w:rsid w:val="00996FB9"/>
    <w:rsid w:val="009A12D0"/>
    <w:rsid w:val="009A70AC"/>
    <w:rsid w:val="009B0400"/>
    <w:rsid w:val="009B2140"/>
    <w:rsid w:val="009B5D24"/>
    <w:rsid w:val="009B60E1"/>
    <w:rsid w:val="009B77E6"/>
    <w:rsid w:val="009C110F"/>
    <w:rsid w:val="009C74BB"/>
    <w:rsid w:val="009C77B4"/>
    <w:rsid w:val="009D03B9"/>
    <w:rsid w:val="009D59C2"/>
    <w:rsid w:val="009E1CA3"/>
    <w:rsid w:val="009E20A3"/>
    <w:rsid w:val="009E2148"/>
    <w:rsid w:val="009E7671"/>
    <w:rsid w:val="009F180F"/>
    <w:rsid w:val="00A0257D"/>
    <w:rsid w:val="00A0395E"/>
    <w:rsid w:val="00A03965"/>
    <w:rsid w:val="00A03C14"/>
    <w:rsid w:val="00A17EBE"/>
    <w:rsid w:val="00A20A8C"/>
    <w:rsid w:val="00A20AB9"/>
    <w:rsid w:val="00A311E9"/>
    <w:rsid w:val="00A33397"/>
    <w:rsid w:val="00A3380A"/>
    <w:rsid w:val="00A35A33"/>
    <w:rsid w:val="00A35DB5"/>
    <w:rsid w:val="00A37EDF"/>
    <w:rsid w:val="00A44BDE"/>
    <w:rsid w:val="00A45F08"/>
    <w:rsid w:val="00A51803"/>
    <w:rsid w:val="00A51F8E"/>
    <w:rsid w:val="00A544FF"/>
    <w:rsid w:val="00A55109"/>
    <w:rsid w:val="00A569D6"/>
    <w:rsid w:val="00A616CD"/>
    <w:rsid w:val="00A67285"/>
    <w:rsid w:val="00A73E9B"/>
    <w:rsid w:val="00A754B0"/>
    <w:rsid w:val="00A775D1"/>
    <w:rsid w:val="00A84147"/>
    <w:rsid w:val="00A86D8C"/>
    <w:rsid w:val="00A86DA5"/>
    <w:rsid w:val="00A959AA"/>
    <w:rsid w:val="00AA2E64"/>
    <w:rsid w:val="00AA4051"/>
    <w:rsid w:val="00AA5366"/>
    <w:rsid w:val="00AB105F"/>
    <w:rsid w:val="00AB3A8A"/>
    <w:rsid w:val="00AB6110"/>
    <w:rsid w:val="00AC16B8"/>
    <w:rsid w:val="00AC4059"/>
    <w:rsid w:val="00AC40E6"/>
    <w:rsid w:val="00AC6A60"/>
    <w:rsid w:val="00AD0AD5"/>
    <w:rsid w:val="00AD294A"/>
    <w:rsid w:val="00AD60FC"/>
    <w:rsid w:val="00AE0B11"/>
    <w:rsid w:val="00AE0D78"/>
    <w:rsid w:val="00AE2FEA"/>
    <w:rsid w:val="00AF628C"/>
    <w:rsid w:val="00B10A42"/>
    <w:rsid w:val="00B27153"/>
    <w:rsid w:val="00B308C0"/>
    <w:rsid w:val="00B3685B"/>
    <w:rsid w:val="00B377F0"/>
    <w:rsid w:val="00B410F0"/>
    <w:rsid w:val="00B45333"/>
    <w:rsid w:val="00B64B44"/>
    <w:rsid w:val="00B65062"/>
    <w:rsid w:val="00B678F9"/>
    <w:rsid w:val="00B7199B"/>
    <w:rsid w:val="00B82904"/>
    <w:rsid w:val="00B8584B"/>
    <w:rsid w:val="00B9190C"/>
    <w:rsid w:val="00B92CC4"/>
    <w:rsid w:val="00B94A5B"/>
    <w:rsid w:val="00B968D5"/>
    <w:rsid w:val="00B96DD8"/>
    <w:rsid w:val="00B97F94"/>
    <w:rsid w:val="00BA2114"/>
    <w:rsid w:val="00BA3724"/>
    <w:rsid w:val="00BB0CA4"/>
    <w:rsid w:val="00BB3430"/>
    <w:rsid w:val="00BB4F0C"/>
    <w:rsid w:val="00BB4FF8"/>
    <w:rsid w:val="00BD19F8"/>
    <w:rsid w:val="00BD3664"/>
    <w:rsid w:val="00BF4278"/>
    <w:rsid w:val="00BF44C3"/>
    <w:rsid w:val="00C009D4"/>
    <w:rsid w:val="00C00D79"/>
    <w:rsid w:val="00C03257"/>
    <w:rsid w:val="00C1258F"/>
    <w:rsid w:val="00C230D0"/>
    <w:rsid w:val="00C241EE"/>
    <w:rsid w:val="00C30034"/>
    <w:rsid w:val="00C304D0"/>
    <w:rsid w:val="00C3205A"/>
    <w:rsid w:val="00C35433"/>
    <w:rsid w:val="00C44946"/>
    <w:rsid w:val="00C50CA6"/>
    <w:rsid w:val="00C6051B"/>
    <w:rsid w:val="00C6088F"/>
    <w:rsid w:val="00C678AE"/>
    <w:rsid w:val="00C715D0"/>
    <w:rsid w:val="00C720D2"/>
    <w:rsid w:val="00C76BCB"/>
    <w:rsid w:val="00C8397C"/>
    <w:rsid w:val="00C848E4"/>
    <w:rsid w:val="00CA0285"/>
    <w:rsid w:val="00CA6322"/>
    <w:rsid w:val="00CB04C6"/>
    <w:rsid w:val="00CB185E"/>
    <w:rsid w:val="00CB2BFB"/>
    <w:rsid w:val="00CB30B2"/>
    <w:rsid w:val="00CB6FBD"/>
    <w:rsid w:val="00CC2DDE"/>
    <w:rsid w:val="00CC47D4"/>
    <w:rsid w:val="00CC63C9"/>
    <w:rsid w:val="00CD7241"/>
    <w:rsid w:val="00CE0765"/>
    <w:rsid w:val="00CE27D1"/>
    <w:rsid w:val="00CE3E97"/>
    <w:rsid w:val="00CE491C"/>
    <w:rsid w:val="00CF1E01"/>
    <w:rsid w:val="00CF21A3"/>
    <w:rsid w:val="00CF706A"/>
    <w:rsid w:val="00D04183"/>
    <w:rsid w:val="00D12136"/>
    <w:rsid w:val="00D13DCB"/>
    <w:rsid w:val="00D22196"/>
    <w:rsid w:val="00D2285D"/>
    <w:rsid w:val="00D341EF"/>
    <w:rsid w:val="00D37773"/>
    <w:rsid w:val="00D40730"/>
    <w:rsid w:val="00D4206F"/>
    <w:rsid w:val="00D61224"/>
    <w:rsid w:val="00D702E2"/>
    <w:rsid w:val="00D72F68"/>
    <w:rsid w:val="00D74C2B"/>
    <w:rsid w:val="00D75297"/>
    <w:rsid w:val="00D75F8F"/>
    <w:rsid w:val="00D77F20"/>
    <w:rsid w:val="00DA6461"/>
    <w:rsid w:val="00DA68A4"/>
    <w:rsid w:val="00DB4DC6"/>
    <w:rsid w:val="00DB7725"/>
    <w:rsid w:val="00DC5144"/>
    <w:rsid w:val="00DD2B7F"/>
    <w:rsid w:val="00DD35B3"/>
    <w:rsid w:val="00DD6634"/>
    <w:rsid w:val="00DD6821"/>
    <w:rsid w:val="00DE7950"/>
    <w:rsid w:val="00DE7B24"/>
    <w:rsid w:val="00DF3855"/>
    <w:rsid w:val="00E02A02"/>
    <w:rsid w:val="00E02EF7"/>
    <w:rsid w:val="00E07781"/>
    <w:rsid w:val="00E07A68"/>
    <w:rsid w:val="00E15192"/>
    <w:rsid w:val="00E17FEB"/>
    <w:rsid w:val="00E23DBF"/>
    <w:rsid w:val="00E246C3"/>
    <w:rsid w:val="00E32BBA"/>
    <w:rsid w:val="00E33418"/>
    <w:rsid w:val="00E400B9"/>
    <w:rsid w:val="00E41419"/>
    <w:rsid w:val="00E51620"/>
    <w:rsid w:val="00E62D09"/>
    <w:rsid w:val="00E67202"/>
    <w:rsid w:val="00E743FC"/>
    <w:rsid w:val="00E77A5E"/>
    <w:rsid w:val="00E82158"/>
    <w:rsid w:val="00E92BEE"/>
    <w:rsid w:val="00E9605B"/>
    <w:rsid w:val="00E97D2D"/>
    <w:rsid w:val="00EA2DF2"/>
    <w:rsid w:val="00EA40AE"/>
    <w:rsid w:val="00EA5189"/>
    <w:rsid w:val="00EA6305"/>
    <w:rsid w:val="00EB29A2"/>
    <w:rsid w:val="00EB30A8"/>
    <w:rsid w:val="00EB4560"/>
    <w:rsid w:val="00EC03AD"/>
    <w:rsid w:val="00EC7634"/>
    <w:rsid w:val="00ED64D5"/>
    <w:rsid w:val="00EE354F"/>
    <w:rsid w:val="00EE37AA"/>
    <w:rsid w:val="00EE3860"/>
    <w:rsid w:val="00EE553E"/>
    <w:rsid w:val="00EF5174"/>
    <w:rsid w:val="00EF5B53"/>
    <w:rsid w:val="00EF6464"/>
    <w:rsid w:val="00F138B2"/>
    <w:rsid w:val="00F26413"/>
    <w:rsid w:val="00F26A40"/>
    <w:rsid w:val="00F278D7"/>
    <w:rsid w:val="00F3297B"/>
    <w:rsid w:val="00F342B8"/>
    <w:rsid w:val="00F36D9B"/>
    <w:rsid w:val="00F414FC"/>
    <w:rsid w:val="00F42B12"/>
    <w:rsid w:val="00F62640"/>
    <w:rsid w:val="00F641BE"/>
    <w:rsid w:val="00F645FE"/>
    <w:rsid w:val="00F71371"/>
    <w:rsid w:val="00F73A0B"/>
    <w:rsid w:val="00F748C4"/>
    <w:rsid w:val="00F80A14"/>
    <w:rsid w:val="00F83C46"/>
    <w:rsid w:val="00F84DF4"/>
    <w:rsid w:val="00F86C44"/>
    <w:rsid w:val="00F93D54"/>
    <w:rsid w:val="00F94BA0"/>
    <w:rsid w:val="00FA196A"/>
    <w:rsid w:val="00FA242B"/>
    <w:rsid w:val="00FA77AC"/>
    <w:rsid w:val="00FA7E5A"/>
    <w:rsid w:val="00FB0873"/>
    <w:rsid w:val="00FB3208"/>
    <w:rsid w:val="00FB57C0"/>
    <w:rsid w:val="00FC1D58"/>
    <w:rsid w:val="00FC205A"/>
    <w:rsid w:val="00FC330D"/>
    <w:rsid w:val="00FC4D3A"/>
    <w:rsid w:val="00FD091D"/>
    <w:rsid w:val="00FD1019"/>
    <w:rsid w:val="00FD151A"/>
    <w:rsid w:val="00FD2D4E"/>
    <w:rsid w:val="00FD3205"/>
    <w:rsid w:val="00FD5903"/>
    <w:rsid w:val="00FD6EA6"/>
    <w:rsid w:val="00FE3436"/>
    <w:rsid w:val="00FE3685"/>
    <w:rsid w:val="00FE61F3"/>
    <w:rsid w:val="00FF2B93"/>
    <w:rsid w:val="00FF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D92"/>
    <w:rPr>
      <w:sz w:val="24"/>
      <w:szCs w:val="24"/>
    </w:rPr>
  </w:style>
  <w:style w:type="paragraph" w:styleId="Ttulo3">
    <w:name w:val="heading 3"/>
    <w:basedOn w:val="Normal"/>
    <w:next w:val="Normal"/>
    <w:link w:val="Ttulo3Char"/>
    <w:semiHidden/>
    <w:unhideWhenUsed/>
    <w:qFormat/>
    <w:rsid w:val="000A4A41"/>
    <w:pPr>
      <w:keepNext/>
      <w:keepLines/>
      <w:spacing w:before="200"/>
      <w:outlineLvl w:val="2"/>
    </w:pPr>
    <w:rPr>
      <w:rFonts w:ascii="Cambria" w:hAnsi="Cambria"/>
      <w:b/>
      <w:bCs/>
      <w:color w:val="4F81BD"/>
    </w:rPr>
  </w:style>
  <w:style w:type="paragraph" w:styleId="Ttulo5">
    <w:name w:val="heading 5"/>
    <w:basedOn w:val="Normal"/>
    <w:next w:val="Normal"/>
    <w:qFormat/>
    <w:rsid w:val="00B94A5B"/>
    <w:pPr>
      <w:keepNext/>
      <w:jc w:val="center"/>
      <w:outlineLvl w:val="4"/>
    </w:pPr>
    <w:rPr>
      <w:rFonts w:ascii="Arial" w:hAnsi="Arial" w:cs="Arial"/>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B94A5B"/>
    <w:pPr>
      <w:jc w:val="center"/>
    </w:pPr>
    <w:rPr>
      <w:rFonts w:ascii="Arial" w:hAnsi="Arial" w:cs="Arial"/>
      <w:b/>
      <w:bCs/>
      <w:i/>
      <w:iCs/>
      <w:sz w:val="40"/>
    </w:rPr>
  </w:style>
  <w:style w:type="character" w:customStyle="1" w:styleId="a">
    <w:name w:val="a"/>
    <w:basedOn w:val="Fontepargpadro"/>
    <w:rsid w:val="00C230D0"/>
  </w:style>
  <w:style w:type="character" w:styleId="Hyperlink">
    <w:name w:val="Hyperlink"/>
    <w:basedOn w:val="Fontepargpadro"/>
    <w:rsid w:val="0064521E"/>
    <w:rPr>
      <w:color w:val="0000FF"/>
      <w:u w:val="single"/>
    </w:rPr>
  </w:style>
  <w:style w:type="paragraph" w:styleId="Rodap">
    <w:name w:val="footer"/>
    <w:basedOn w:val="Normal"/>
    <w:rsid w:val="00C304D0"/>
    <w:pPr>
      <w:tabs>
        <w:tab w:val="center" w:pos="4252"/>
        <w:tab w:val="right" w:pos="8504"/>
      </w:tabs>
    </w:pPr>
  </w:style>
  <w:style w:type="character" w:styleId="Nmerodepgina">
    <w:name w:val="page number"/>
    <w:basedOn w:val="Fontepargpadro"/>
    <w:rsid w:val="00C304D0"/>
  </w:style>
  <w:style w:type="paragraph" w:styleId="Cabealho">
    <w:name w:val="header"/>
    <w:basedOn w:val="Normal"/>
    <w:rsid w:val="00045FD6"/>
    <w:pPr>
      <w:tabs>
        <w:tab w:val="center" w:pos="4252"/>
        <w:tab w:val="right" w:pos="8504"/>
      </w:tabs>
    </w:pPr>
  </w:style>
  <w:style w:type="paragraph" w:styleId="Textodenotaderodap">
    <w:name w:val="footnote text"/>
    <w:basedOn w:val="Normal"/>
    <w:semiHidden/>
    <w:rsid w:val="00897D0F"/>
    <w:rPr>
      <w:sz w:val="20"/>
      <w:szCs w:val="20"/>
    </w:rPr>
  </w:style>
  <w:style w:type="character" w:styleId="Refdenotaderodap">
    <w:name w:val="footnote reference"/>
    <w:basedOn w:val="Fontepargpadro"/>
    <w:semiHidden/>
    <w:rsid w:val="00897D0F"/>
    <w:rPr>
      <w:vertAlign w:val="superscript"/>
    </w:rPr>
  </w:style>
  <w:style w:type="table" w:styleId="Tabelacomgrade">
    <w:name w:val="Table Grid"/>
    <w:basedOn w:val="Tabelanormal"/>
    <w:rsid w:val="0030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E07781"/>
    <w:rPr>
      <w:rFonts w:ascii="Tahoma" w:hAnsi="Tahoma" w:cs="Tahoma"/>
      <w:sz w:val="16"/>
      <w:szCs w:val="16"/>
    </w:rPr>
  </w:style>
  <w:style w:type="character" w:customStyle="1" w:styleId="TextodebaloChar">
    <w:name w:val="Texto de balão Char"/>
    <w:basedOn w:val="Fontepargpadro"/>
    <w:link w:val="Textodebalo"/>
    <w:rsid w:val="00E07781"/>
    <w:rPr>
      <w:rFonts w:ascii="Tahoma" w:hAnsi="Tahoma" w:cs="Tahoma"/>
      <w:sz w:val="16"/>
      <w:szCs w:val="16"/>
    </w:rPr>
  </w:style>
  <w:style w:type="paragraph" w:styleId="PargrafodaLista">
    <w:name w:val="List Paragraph"/>
    <w:basedOn w:val="Normal"/>
    <w:uiPriority w:val="34"/>
    <w:qFormat/>
    <w:rsid w:val="00000A8D"/>
    <w:pPr>
      <w:ind w:left="720"/>
      <w:contextualSpacing/>
    </w:pPr>
  </w:style>
  <w:style w:type="character" w:customStyle="1" w:styleId="Ttulo3Char">
    <w:name w:val="Título 3 Char"/>
    <w:basedOn w:val="Fontepargpadro"/>
    <w:link w:val="Ttulo3"/>
    <w:semiHidden/>
    <w:rsid w:val="000A4A41"/>
    <w:rPr>
      <w:rFonts w:ascii="Cambria" w:eastAsia="Times New Roman" w:hAnsi="Cambria" w:cs="Times New Roman"/>
      <w:b/>
      <w:bCs/>
      <w:color w:val="4F81BD"/>
      <w:sz w:val="24"/>
      <w:szCs w:val="24"/>
    </w:rPr>
  </w:style>
  <w:style w:type="paragraph" w:customStyle="1" w:styleId="Default">
    <w:name w:val="Default"/>
    <w:rsid w:val="00002650"/>
    <w:pPr>
      <w:autoSpaceDE w:val="0"/>
      <w:autoSpaceDN w:val="0"/>
      <w:adjustRightInd w:val="0"/>
    </w:pPr>
    <w:rPr>
      <w:rFonts w:ascii="Arial" w:hAnsi="Arial" w:cs="Arial"/>
      <w:color w:val="000000"/>
      <w:sz w:val="24"/>
      <w:szCs w:val="24"/>
    </w:rPr>
  </w:style>
  <w:style w:type="character" w:styleId="CitaoHTML">
    <w:name w:val="HTML Cite"/>
    <w:basedOn w:val="Fontepargpadro"/>
    <w:uiPriority w:val="99"/>
    <w:unhideWhenUsed/>
    <w:rsid w:val="00002650"/>
    <w:rPr>
      <w:i/>
      <w:iCs/>
    </w:rPr>
  </w:style>
  <w:style w:type="character" w:styleId="HiperlinkVisitado">
    <w:name w:val="FollowedHyperlink"/>
    <w:basedOn w:val="Fontepargpadro"/>
    <w:rsid w:val="008151E5"/>
    <w:rPr>
      <w:color w:val="800080"/>
      <w:u w:val="single"/>
    </w:rPr>
  </w:style>
  <w:style w:type="character" w:styleId="Forte">
    <w:name w:val="Strong"/>
    <w:basedOn w:val="Fontepargpadro"/>
    <w:uiPriority w:val="22"/>
    <w:qFormat/>
    <w:rsid w:val="00621650"/>
    <w:rPr>
      <w:b/>
      <w:bCs/>
    </w:rPr>
  </w:style>
  <w:style w:type="character" w:customStyle="1" w:styleId="longtext">
    <w:name w:val="long_text"/>
    <w:basedOn w:val="Fontepargpadro"/>
    <w:rsid w:val="00AC40E6"/>
  </w:style>
  <w:style w:type="character" w:customStyle="1" w:styleId="hps">
    <w:name w:val="hps"/>
    <w:basedOn w:val="Fontepargpadro"/>
    <w:rsid w:val="007C3396"/>
  </w:style>
</w:styles>
</file>

<file path=word/webSettings.xml><?xml version="1.0" encoding="utf-8"?>
<w:webSettings xmlns:r="http://schemas.openxmlformats.org/officeDocument/2006/relationships" xmlns:w="http://schemas.openxmlformats.org/wordprocessingml/2006/main">
  <w:divs>
    <w:div w:id="74858733">
      <w:bodyDiv w:val="1"/>
      <w:marLeft w:val="0"/>
      <w:marRight w:val="0"/>
      <w:marTop w:val="0"/>
      <w:marBottom w:val="0"/>
      <w:divBdr>
        <w:top w:val="none" w:sz="0" w:space="0" w:color="auto"/>
        <w:left w:val="none" w:sz="0" w:space="0" w:color="auto"/>
        <w:bottom w:val="none" w:sz="0" w:space="0" w:color="auto"/>
        <w:right w:val="none" w:sz="0" w:space="0" w:color="auto"/>
      </w:divBdr>
    </w:div>
    <w:div w:id="249313926">
      <w:bodyDiv w:val="1"/>
      <w:marLeft w:val="0"/>
      <w:marRight w:val="0"/>
      <w:marTop w:val="0"/>
      <w:marBottom w:val="0"/>
      <w:divBdr>
        <w:top w:val="none" w:sz="0" w:space="0" w:color="auto"/>
        <w:left w:val="none" w:sz="0" w:space="0" w:color="auto"/>
        <w:bottom w:val="none" w:sz="0" w:space="0" w:color="auto"/>
        <w:right w:val="none" w:sz="0" w:space="0" w:color="auto"/>
      </w:divBdr>
      <w:divsChild>
        <w:div w:id="1011184428">
          <w:marLeft w:val="0"/>
          <w:marRight w:val="0"/>
          <w:marTop w:val="0"/>
          <w:marBottom w:val="0"/>
          <w:divBdr>
            <w:top w:val="none" w:sz="0" w:space="0" w:color="auto"/>
            <w:left w:val="none" w:sz="0" w:space="0" w:color="auto"/>
            <w:bottom w:val="none" w:sz="0" w:space="0" w:color="auto"/>
            <w:right w:val="none" w:sz="0" w:space="0" w:color="auto"/>
          </w:divBdr>
        </w:div>
      </w:divsChild>
    </w:div>
    <w:div w:id="658383524">
      <w:bodyDiv w:val="1"/>
      <w:marLeft w:val="0"/>
      <w:marRight w:val="0"/>
      <w:marTop w:val="0"/>
      <w:marBottom w:val="0"/>
      <w:divBdr>
        <w:top w:val="none" w:sz="0" w:space="0" w:color="auto"/>
        <w:left w:val="none" w:sz="0" w:space="0" w:color="auto"/>
        <w:bottom w:val="none" w:sz="0" w:space="0" w:color="auto"/>
        <w:right w:val="none" w:sz="0" w:space="0" w:color="auto"/>
      </w:divBdr>
      <w:divsChild>
        <w:div w:id="1301420605">
          <w:marLeft w:val="0"/>
          <w:marRight w:val="0"/>
          <w:marTop w:val="0"/>
          <w:marBottom w:val="0"/>
          <w:divBdr>
            <w:top w:val="none" w:sz="0" w:space="0" w:color="auto"/>
            <w:left w:val="none" w:sz="0" w:space="0" w:color="auto"/>
            <w:bottom w:val="none" w:sz="0" w:space="0" w:color="auto"/>
            <w:right w:val="none" w:sz="0" w:space="0" w:color="auto"/>
          </w:divBdr>
          <w:divsChild>
            <w:div w:id="123474060">
              <w:marLeft w:val="0"/>
              <w:marRight w:val="0"/>
              <w:marTop w:val="0"/>
              <w:marBottom w:val="0"/>
              <w:divBdr>
                <w:top w:val="none" w:sz="0" w:space="0" w:color="auto"/>
                <w:left w:val="none" w:sz="0" w:space="0" w:color="auto"/>
                <w:bottom w:val="none" w:sz="0" w:space="0" w:color="auto"/>
                <w:right w:val="none" w:sz="0" w:space="0" w:color="auto"/>
              </w:divBdr>
            </w:div>
            <w:div w:id="1272779150">
              <w:marLeft w:val="0"/>
              <w:marRight w:val="0"/>
              <w:marTop w:val="0"/>
              <w:marBottom w:val="0"/>
              <w:divBdr>
                <w:top w:val="none" w:sz="0" w:space="0" w:color="auto"/>
                <w:left w:val="none" w:sz="0" w:space="0" w:color="auto"/>
                <w:bottom w:val="none" w:sz="0" w:space="0" w:color="auto"/>
                <w:right w:val="none" w:sz="0" w:space="0" w:color="auto"/>
              </w:divBdr>
            </w:div>
            <w:div w:id="20785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14814">
      <w:bodyDiv w:val="1"/>
      <w:marLeft w:val="0"/>
      <w:marRight w:val="0"/>
      <w:marTop w:val="0"/>
      <w:marBottom w:val="0"/>
      <w:divBdr>
        <w:top w:val="none" w:sz="0" w:space="0" w:color="auto"/>
        <w:left w:val="none" w:sz="0" w:space="0" w:color="auto"/>
        <w:bottom w:val="none" w:sz="0" w:space="0" w:color="auto"/>
        <w:right w:val="none" w:sz="0" w:space="0" w:color="auto"/>
      </w:divBdr>
      <w:divsChild>
        <w:div w:id="681710921">
          <w:marLeft w:val="0"/>
          <w:marRight w:val="0"/>
          <w:marTop w:val="0"/>
          <w:marBottom w:val="0"/>
          <w:divBdr>
            <w:top w:val="none" w:sz="0" w:space="0" w:color="auto"/>
            <w:left w:val="none" w:sz="0" w:space="0" w:color="auto"/>
            <w:bottom w:val="none" w:sz="0" w:space="0" w:color="auto"/>
            <w:right w:val="none" w:sz="0" w:space="0" w:color="auto"/>
          </w:divBdr>
        </w:div>
      </w:divsChild>
    </w:div>
    <w:div w:id="977807762">
      <w:bodyDiv w:val="1"/>
      <w:marLeft w:val="0"/>
      <w:marRight w:val="0"/>
      <w:marTop w:val="0"/>
      <w:marBottom w:val="0"/>
      <w:divBdr>
        <w:top w:val="none" w:sz="0" w:space="0" w:color="auto"/>
        <w:left w:val="none" w:sz="0" w:space="0" w:color="auto"/>
        <w:bottom w:val="none" w:sz="0" w:space="0" w:color="auto"/>
        <w:right w:val="none" w:sz="0" w:space="0" w:color="auto"/>
      </w:divBdr>
    </w:div>
    <w:div w:id="995452780">
      <w:bodyDiv w:val="1"/>
      <w:marLeft w:val="0"/>
      <w:marRight w:val="0"/>
      <w:marTop w:val="0"/>
      <w:marBottom w:val="0"/>
      <w:divBdr>
        <w:top w:val="none" w:sz="0" w:space="0" w:color="auto"/>
        <w:left w:val="none" w:sz="0" w:space="0" w:color="auto"/>
        <w:bottom w:val="none" w:sz="0" w:space="0" w:color="auto"/>
        <w:right w:val="none" w:sz="0" w:space="0" w:color="auto"/>
      </w:divBdr>
    </w:div>
    <w:div w:id="1014575880">
      <w:bodyDiv w:val="1"/>
      <w:marLeft w:val="0"/>
      <w:marRight w:val="0"/>
      <w:marTop w:val="0"/>
      <w:marBottom w:val="0"/>
      <w:divBdr>
        <w:top w:val="none" w:sz="0" w:space="0" w:color="auto"/>
        <w:left w:val="none" w:sz="0" w:space="0" w:color="auto"/>
        <w:bottom w:val="none" w:sz="0" w:space="0" w:color="auto"/>
        <w:right w:val="none" w:sz="0" w:space="0" w:color="auto"/>
      </w:divBdr>
    </w:div>
    <w:div w:id="1482846602">
      <w:bodyDiv w:val="1"/>
      <w:marLeft w:val="0"/>
      <w:marRight w:val="0"/>
      <w:marTop w:val="0"/>
      <w:marBottom w:val="0"/>
      <w:divBdr>
        <w:top w:val="none" w:sz="0" w:space="0" w:color="auto"/>
        <w:left w:val="none" w:sz="0" w:space="0" w:color="auto"/>
        <w:bottom w:val="none" w:sz="0" w:space="0" w:color="auto"/>
        <w:right w:val="none" w:sz="0" w:space="0" w:color="auto"/>
      </w:divBdr>
      <w:divsChild>
        <w:div w:id="125050457">
          <w:marLeft w:val="0"/>
          <w:marRight w:val="0"/>
          <w:marTop w:val="0"/>
          <w:marBottom w:val="0"/>
          <w:divBdr>
            <w:top w:val="none" w:sz="0" w:space="0" w:color="auto"/>
            <w:left w:val="none" w:sz="0" w:space="0" w:color="auto"/>
            <w:bottom w:val="none" w:sz="0" w:space="0" w:color="auto"/>
            <w:right w:val="none" w:sz="0" w:space="0" w:color="auto"/>
          </w:divBdr>
          <w:divsChild>
            <w:div w:id="8920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0237">
      <w:bodyDiv w:val="1"/>
      <w:marLeft w:val="0"/>
      <w:marRight w:val="0"/>
      <w:marTop w:val="0"/>
      <w:marBottom w:val="0"/>
      <w:divBdr>
        <w:top w:val="none" w:sz="0" w:space="0" w:color="auto"/>
        <w:left w:val="none" w:sz="0" w:space="0" w:color="auto"/>
        <w:bottom w:val="none" w:sz="0" w:space="0" w:color="auto"/>
        <w:right w:val="none" w:sz="0" w:space="0" w:color="auto"/>
      </w:divBdr>
      <w:divsChild>
        <w:div w:id="529532751">
          <w:marLeft w:val="0"/>
          <w:marRight w:val="0"/>
          <w:marTop w:val="0"/>
          <w:marBottom w:val="0"/>
          <w:divBdr>
            <w:top w:val="none" w:sz="0" w:space="0" w:color="auto"/>
            <w:left w:val="none" w:sz="0" w:space="0" w:color="auto"/>
            <w:bottom w:val="none" w:sz="0" w:space="0" w:color="auto"/>
            <w:right w:val="none" w:sz="0" w:space="0" w:color="auto"/>
          </w:divBdr>
          <w:divsChild>
            <w:div w:id="103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hyperlink" Target="http://www.economiaetecnologia.ufpr.br/textos_discussao/texto_para_discussao_ano_2010_texto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notes.xml.rels><?xml version="1.0" encoding="UTF-8" standalone="yes"?>
<Relationships xmlns="http://schemas.openxmlformats.org/package/2006/relationships"><Relationship Id="rId2" Type="http://schemas.openxmlformats.org/officeDocument/2006/relationships/hyperlink" Target="http://www.ipeadata.gov.br" TargetMode="External"/><Relationship Id="rId1" Type="http://schemas.openxmlformats.org/officeDocument/2006/relationships/hyperlink" Target="http://click.shopping.uol.com.br/click-log?id=32726897&amp;tipo=1&amp;par=uol&amp;fBhAsH=R2DumDbGXvVf71GhFFvVUEy9WQbUF80I%2BlRw9CoZYAI%3D&amp;bur=X1mrpKI32GnP6uNxb6oxQ5UH40AODTIaqzSq5sasjeWTJAICsQ47Juv3birj9%2FPGNNiKIBrBFNNVZYxR9KjGjegK8%2F39gbUXs5%2BtmWQlkkuexdb9TXmwcTXa8c%2FIgoLeKxfD6cHntF4vYvjSy3gwP52atxVU9yRi%2F79zPxKUjDdYZWzlFqeFP33bUHrrPSQK6gz7Y7Yt1ohcJM%2FMVr6lfABMqDgEL6z%2FEqJwlFw2FWk5HDlXbEjdfOkWLSwqXPOdxbjwc%2BRhtqqKCOhEAH%2BuWIGjOGnIeLDh%2BIAX72dO2T6DolBCdw5ptYVu9fd%2BA81AjU3sye2cn7yZ4hqTXCoKfxk08974u%2B%2BPITGAlA92hKkDF5vH1HTF0roHY0i6l73ZT%2F3EHwotbJfe290sCdQggzAfIXqNpiCiXHOpzHsck1MYmceTNHxO54yhZHpuKhE9Jc5upNMu4Bl0qT1IQ8qhAw%3D%3D&amp;page=1&amp;pos=2&amp;pagetp=3&amp;h=9209a97a01e20dcc5482075f6228644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16BA-9625-4A68-9186-77B80C96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8892</Words>
  <Characters>48018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ORDINARY LEAST SQUARES ESTIMATION</vt:lpstr>
    </vt:vector>
  </TitlesOfParts>
  <Company>UNIVERSOFT</Company>
  <LinksUpToDate>false</LinksUpToDate>
  <CharactersWithSpaces>56797</CharactersWithSpaces>
  <SharedDoc>false</SharedDoc>
  <HLinks>
    <vt:vector size="18" baseType="variant">
      <vt:variant>
        <vt:i4>7929876</vt:i4>
      </vt:variant>
      <vt:variant>
        <vt:i4>3</vt:i4>
      </vt:variant>
      <vt:variant>
        <vt:i4>0</vt:i4>
      </vt:variant>
      <vt:variant>
        <vt:i4>5</vt:i4>
      </vt:variant>
      <vt:variant>
        <vt:lpwstr>http://www.economiaetecnologia.ufpr.br/textos_discussao/texto_para_discussao_ano_2010_texto_12.pdf</vt:lpwstr>
      </vt:variant>
      <vt:variant>
        <vt:lpwstr/>
      </vt:variant>
      <vt:variant>
        <vt:i4>2752562</vt:i4>
      </vt:variant>
      <vt:variant>
        <vt:i4>3</vt:i4>
      </vt:variant>
      <vt:variant>
        <vt:i4>0</vt:i4>
      </vt:variant>
      <vt:variant>
        <vt:i4>5</vt:i4>
      </vt:variant>
      <vt:variant>
        <vt:lpwstr>http://www.ipeadata.gov.br/</vt:lpwstr>
      </vt:variant>
      <vt:variant>
        <vt:lpwstr/>
      </vt:variant>
      <vt:variant>
        <vt:i4>2162739</vt:i4>
      </vt:variant>
      <vt:variant>
        <vt:i4>0</vt:i4>
      </vt:variant>
      <vt:variant>
        <vt:i4>0</vt:i4>
      </vt:variant>
      <vt:variant>
        <vt:i4>5</vt:i4>
      </vt:variant>
      <vt:variant>
        <vt:lpwstr>http://click.shopping.uol.com.br/click-log?id=32726897&amp;tipo=1&amp;par=uol&amp;fBhAsH=R2DumDbGXvVf71GhFFvVUEy9WQbUF80I%2BlRw9CoZYAI%3D&amp;bur=X1mrpKI32GnP6uNxb6oxQ5UH40AODTIaqzSq5sasjeWTJAICsQ47Juv3birj9%2FPGNNiKIBrBFNNVZYxR9KjGjegK8%2F39gbUXs5%2BtmWQlkkuexdb9TXmwcTXa8c%2FIgoLeKxfD6cHntF4vYvjSy3gwP52atxVU9yRi%2F79zPxKUjDdYZWzlFqeFP33bUHrrPSQK6gz7Y7Yt1ohcJM%2FMVr6lfABMqDgEL6z%2FEqJwlFw2FWk5HDlXbEjdfOkWLSwqXPOdxbjwc%2BRhtqqKCOhEAH%2BuWIGjOGnIeLDh%2BIAX72dO2T6DolBCdw5ptYVu9fd%2BA81AjU3sye2cn7yZ4hqTXCoKfxk08974u%2B%2BPITGAlA92hKkDF5vH1HTF0roHY0i6l73ZT%2F3EHwotbJfe290sCdQggzAfIXqNpiCiXHOpzHsck1MYmceTNHxO54yhZHpuKhE9Jc5upNMu4Bl0qT1IQ8qhAw%3D%3D&amp;page=1&amp;pos=2&amp;pagetp=3&amp;h=9209a97a01e20dcc5482075f6228644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LEAST SQUARES ESTIMATION</dc:title>
  <dc:subject/>
  <dc:creator>VINICIUS</dc:creator>
  <cp:keywords/>
  <dc:description/>
  <cp:lastModifiedBy>Pessoal</cp:lastModifiedBy>
  <cp:revision>7</cp:revision>
  <dcterms:created xsi:type="dcterms:W3CDTF">2011-07-20T08:53:00Z</dcterms:created>
  <dcterms:modified xsi:type="dcterms:W3CDTF">2011-07-20T10:16:00Z</dcterms:modified>
</cp:coreProperties>
</file>